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北京市通州区司法局</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年政府信息公开</w:t>
      </w:r>
    </w:p>
    <w:p>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工作年度报告</w:t>
      </w:r>
    </w:p>
    <w:p>
      <w:pPr>
        <w:spacing w:line="560" w:lineRule="exact"/>
        <w:jc w:val="both"/>
        <w:rPr>
          <w:sz w:val="44"/>
          <w:szCs w:val="44"/>
        </w:rPr>
      </w:pP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ascii="黑体" w:hAnsi="黑体" w:eastAsia="黑体" w:cs="宋体"/>
          <w:spacing w:val="8"/>
          <w:kern w:val="0"/>
          <w:sz w:val="32"/>
          <w:szCs w:val="32"/>
          <w:highlight w:val="none"/>
        </w:rPr>
      </w:pPr>
      <w:r>
        <w:rPr>
          <w:rFonts w:ascii="黑体" w:hAnsi="黑体" w:eastAsia="黑体" w:cs="宋体"/>
          <w:spacing w:val="8"/>
          <w:kern w:val="0"/>
          <w:sz w:val="32"/>
          <w:szCs w:val="32"/>
          <w:highlight w:val="none"/>
        </w:rPr>
        <w:t>一、总体情况</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宋体" w:eastAsia="仿宋_GB2312" w:cs="宋体"/>
          <w:spacing w:val="8"/>
          <w:sz w:val="32"/>
          <w:szCs w:val="32"/>
        </w:rPr>
        <w:t>《政府信息公开条例》</w:t>
      </w:r>
      <w:r>
        <w:rPr>
          <w:rFonts w:hint="eastAsia" w:ascii="仿宋_GB2312" w:hAnsi="仿宋_GB2312" w:eastAsia="仿宋_GB2312" w:cs="仿宋_GB2312"/>
          <w:sz w:val="32"/>
          <w:szCs w:val="32"/>
        </w:rPr>
        <w:t>要求,通州区司法局编制了202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年度政府信息公开年度报告。本报告中所列数据的统计期限自202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年1月1日起至202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年12月31日止。</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年,通州区司法局政府信息公开工作坚持以习近平新时代中国特色社会主义思想为指导，按照市、区统一安排部署为统领，结合通州区司法行政工作实际，不断丰富政府信息公开内容和载体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及时公开202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年度政府信息公开年报，以及部门预算、决算信息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法治政府建设情况报告等。截至202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年底,我局政府信息公开工作运行正常,政府信息公开咨询、申请以及答复工作顺利开展。</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（一）加强组织保障</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为更好地开展政府信息与政务公开，使广大民众更好地了解司法行政工作，提供更为快捷方便的法律服务，将相关工作落到实处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我局进一步加强政府信息公开工作的队伍管理，明确专门负责政府信息与政务公开的</w:t>
      </w:r>
      <w:r>
        <w:rPr>
          <w:rFonts w:hint="eastAsia" w:ascii="仿宋_GB2312" w:hAnsi="仿宋_GB2312" w:eastAsia="仿宋_GB2312" w:cs="仿宋_GB2312"/>
          <w:sz w:val="32"/>
          <w:szCs w:val="32"/>
          <w:lang w:eastAsia="zh-CN"/>
        </w:rPr>
        <w:t>主管领导、责任科室及</w:t>
      </w:r>
      <w:r>
        <w:rPr>
          <w:rFonts w:hint="eastAsia" w:ascii="仿宋_GB2312" w:hAnsi="仿宋_GB2312" w:eastAsia="仿宋_GB2312" w:cs="仿宋_GB2312"/>
          <w:sz w:val="32"/>
          <w:szCs w:val="32"/>
        </w:rPr>
        <w:t>具体工作人员。</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rPr>
        <w:t>主动公开</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年度我局在网站主动公开信息</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条。在区政府官网“行政复议公开”栏目，及时公布复议决定</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件、典型案例</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篇。在</w:t>
      </w:r>
      <w:r>
        <w:rPr>
          <w:rFonts w:hint="eastAsia" w:ascii="仿宋_GB2312" w:hAnsi="仿宋_GB2312" w:eastAsia="仿宋_GB2312" w:cs="仿宋_GB2312"/>
          <w:sz w:val="32"/>
          <w:szCs w:val="32"/>
          <w:lang w:eastAsia="zh-CN"/>
        </w:rPr>
        <w:t>“北京通州”</w:t>
      </w:r>
      <w:r>
        <w:rPr>
          <w:rFonts w:hint="eastAsia" w:ascii="仿宋_GB2312" w:hAnsi="仿宋_GB2312" w:eastAsia="仿宋_GB2312" w:cs="仿宋_GB2312"/>
          <w:sz w:val="32"/>
          <w:szCs w:val="32"/>
        </w:rPr>
        <w:t>网站对办公时间</w:t>
      </w:r>
      <w:r>
        <w:rPr>
          <w:rFonts w:hint="eastAsia" w:ascii="仿宋_GB2312" w:hAnsi="仿宋_GB2312" w:eastAsia="仿宋_GB2312" w:cs="仿宋_GB2312"/>
          <w:sz w:val="32"/>
          <w:szCs w:val="32"/>
          <w:lang w:eastAsia="zh-CN"/>
        </w:rPr>
        <w:t>、办公地点、咨询电话</w:t>
      </w:r>
      <w:r>
        <w:rPr>
          <w:rFonts w:hint="eastAsia" w:ascii="仿宋_GB2312" w:hAnsi="仿宋_GB2312" w:eastAsia="仿宋_GB2312" w:cs="仿宋_GB2312"/>
          <w:sz w:val="32"/>
          <w:szCs w:val="32"/>
        </w:rPr>
        <w:t>等进行了公开。另外，我局依托</w:t>
      </w:r>
      <w:r>
        <w:rPr>
          <w:rFonts w:hint="eastAsia" w:ascii="仿宋_GB2312" w:hAnsi="仿宋_GB2312" w:eastAsia="仿宋_GB2312" w:cs="仿宋_GB2312"/>
          <w:sz w:val="32"/>
          <w:szCs w:val="32"/>
          <w:lang w:eastAsia="zh-CN"/>
        </w:rPr>
        <w:t>“法治副中心”</w:t>
      </w:r>
      <w:r>
        <w:rPr>
          <w:rFonts w:hint="eastAsia" w:ascii="仿宋_GB2312" w:hAnsi="仿宋_GB2312" w:eastAsia="仿宋_GB2312" w:cs="仿宋_GB2312"/>
          <w:sz w:val="32"/>
          <w:szCs w:val="32"/>
        </w:rPr>
        <w:t>微信公众号，开展普法</w:t>
      </w:r>
      <w:r>
        <w:rPr>
          <w:rFonts w:hint="eastAsia" w:ascii="仿宋_GB2312" w:hAnsi="仿宋_GB2312" w:eastAsia="仿宋_GB2312" w:cs="仿宋_GB2312"/>
          <w:sz w:val="32"/>
          <w:szCs w:val="32"/>
          <w:lang w:eastAsia="zh-CN"/>
        </w:rPr>
        <w:t>信息</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法治政府建设</w:t>
      </w:r>
      <w:r>
        <w:rPr>
          <w:rFonts w:hint="eastAsia" w:ascii="仿宋_GB2312" w:hAnsi="仿宋_GB2312" w:eastAsia="仿宋_GB2312" w:cs="仿宋_GB2312"/>
          <w:sz w:val="32"/>
          <w:szCs w:val="32"/>
        </w:rPr>
        <w:t>相关信息的发布。</w:t>
      </w:r>
      <w:r>
        <w:rPr>
          <w:rFonts w:hint="eastAsia" w:ascii="仿宋_GB2312" w:hAnsi="仿宋_GB2312" w:eastAsia="仿宋_GB2312" w:cs="仿宋_GB2312"/>
          <w:sz w:val="32"/>
          <w:szCs w:val="32"/>
          <w:lang w:val="en-US" w:eastAsia="zh-CN"/>
        </w:rPr>
        <w:t>2025年11月</w:t>
      </w:r>
      <w:r>
        <w:rPr>
          <w:rFonts w:hint="eastAsia" w:ascii="仿宋_GB2312" w:hAnsi="仿宋_GB2312" w:eastAsia="仿宋_GB2312" w:cs="仿宋_GB2312"/>
          <w:sz w:val="32"/>
          <w:szCs w:val="32"/>
        </w:rPr>
        <w:t>召开</w:t>
      </w:r>
      <w:r>
        <w:rPr>
          <w:rFonts w:hint="eastAsia" w:ascii="仿宋_GB2312" w:hAnsi="仿宋_GB2312" w:eastAsia="仿宋_GB2312" w:cs="仿宋_GB2312"/>
          <w:sz w:val="32"/>
          <w:szCs w:val="32"/>
          <w:lang w:eastAsia="zh-CN"/>
        </w:rPr>
        <w:t>“以法治护航发展</w:t>
      </w:r>
      <w:r>
        <w:rPr>
          <w:rFonts w:hint="eastAsia" w:ascii="仿宋_GB2312" w:hAnsi="仿宋_GB2312" w:eastAsia="仿宋_GB2312" w:cs="仿宋_GB2312"/>
          <w:sz w:val="32"/>
          <w:szCs w:val="32"/>
          <w:lang w:val="en-US" w:eastAsia="zh-CN"/>
        </w:rPr>
        <w:t xml:space="preserve"> 以专业赋能决策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新闻发布会，及时发布信息、回应关注。</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rPr>
        <w:t>依申请公开</w:t>
      </w:r>
    </w:p>
    <w:p>
      <w:pPr>
        <w:pStyle w:val="3"/>
        <w:widowControl/>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202</w:t>
      </w: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年我局共受理公民提出的政府信息公开申请</w:t>
      </w:r>
      <w:r>
        <w:rPr>
          <w:rFonts w:hint="eastAsia" w:ascii="仿宋_GB2312" w:hAnsi="仿宋_GB2312" w:eastAsia="仿宋_GB2312" w:cs="仿宋_GB2312"/>
          <w:sz w:val="32"/>
          <w:szCs w:val="32"/>
          <w:u w:val="none"/>
          <w:lang w:val="en-US" w:eastAsia="zh-CN"/>
        </w:rPr>
        <w:t>18</w:t>
      </w:r>
      <w:r>
        <w:rPr>
          <w:rFonts w:hint="eastAsia" w:ascii="仿宋_GB2312" w:hAnsi="仿宋_GB2312" w:eastAsia="仿宋_GB2312" w:cs="仿宋_GB2312"/>
          <w:sz w:val="32"/>
          <w:szCs w:val="32"/>
          <w:u w:val="none"/>
        </w:rPr>
        <w:t>件，</w:t>
      </w:r>
      <w:r>
        <w:rPr>
          <w:rFonts w:hint="eastAsia" w:ascii="仿宋_GB2312" w:hAnsi="仿宋_GB2312" w:eastAsia="仿宋_GB2312" w:cs="仿宋_GB2312"/>
          <w:sz w:val="32"/>
          <w:szCs w:val="32"/>
          <w:u w:val="none"/>
          <w:lang w:eastAsia="zh-CN"/>
        </w:rPr>
        <w:t>已全部办结</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r>
    </w:tbl>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744"/>
        <w:gridCol w:w="63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spacing w:line="560" w:lineRule="exact"/>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96"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33" w:type="dxa"/>
            <w:vMerge w:val="restart"/>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spacing w:line="560" w:lineRule="exact"/>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74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33" w:type="dxa"/>
            <w:vMerge w:val="continue"/>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Calibri" w:hAnsi="Calibri" w:cs="Calibri"/>
                <w:kern w:val="0"/>
                <w:sz w:val="20"/>
                <w:szCs w:val="20"/>
                <w:lang w:val="en-US" w:eastAsia="zh-CN" w:bidi="ar"/>
              </w:rPr>
              <w:t>18</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eastAsia="zh-CN"/>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eastAsia="zh-CN"/>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eastAsiaTheme="minorEastAsia"/>
                <w:lang w:val="en-US" w:eastAsia="zh-CN"/>
              </w:rPr>
            </w:pPr>
            <w:r>
              <w:rPr>
                <w:rFonts w:hint="eastAsia" w:ascii="Calibri" w:hAnsi="Calibri" w:cs="Calibri"/>
                <w:kern w:val="0"/>
                <w:sz w:val="20"/>
                <w:szCs w:val="20"/>
                <w:lang w:val="en-US" w:eastAsia="zh-CN" w:bidi="ar"/>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bookmarkStart w:id="0" w:name="OLE_LINK1" w:colFirst="1" w:colLast="7"/>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bookmarkEnd w:id="0"/>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4"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11</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18</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0" w:type="auto"/>
            <w:tcBorders>
              <w:top w:val="outset" w:color="auto" w:sz="6" w:space="0"/>
              <w:left w:val="single" w:color="auto" w:sz="0" w:space="0"/>
              <w:bottom w:val="outset" w:color="auto" w:sz="6" w:space="0"/>
              <w:right w:val="outset" w:color="auto" w:sz="6" w:space="0"/>
            </w:tcBorders>
            <w:noWrap w:val="0"/>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744" w:type="dxa"/>
            <w:tcBorders>
              <w:top w:val="outset" w:color="auto" w:sz="6" w:space="0"/>
              <w:left w:val="single" w:color="auto" w:sz="0" w:space="0"/>
              <w:bottom w:val="outset" w:color="auto" w:sz="6" w:space="0"/>
              <w:right w:val="outset" w:color="auto" w:sz="6" w:space="0"/>
            </w:tcBorders>
            <w:noWrap w:val="0"/>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33" w:type="dxa"/>
            <w:tcBorders>
              <w:top w:val="outset" w:color="auto" w:sz="6" w:space="0"/>
              <w:left w:val="single" w:color="auto" w:sz="0" w:space="0"/>
              <w:bottom w:val="outset" w:color="auto" w:sz="6" w:space="0"/>
              <w:right w:val="outset" w:color="auto" w:sz="6" w:space="0"/>
            </w:tcBorders>
            <w:noWrap w:val="0"/>
            <w:vAlign w:val="top"/>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bl>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1</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1</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lang w:val="en-US" w:eastAsia="zh-CN"/>
              </w:rPr>
            </w:pPr>
            <w:r>
              <w:rPr>
                <w:rFonts w:hint="eastAsia"/>
                <w:lang w:val="en-US" w:eastAsia="zh-CN"/>
              </w:rPr>
              <w:t>1</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lang w:val="en-US" w:eastAsia="zh-CN"/>
              </w:rPr>
            </w:pPr>
            <w:r>
              <w:rPr>
                <w:rFonts w:hint="eastAsia"/>
                <w:lang w:val="en-US" w:eastAsia="zh-CN"/>
              </w:rPr>
              <w:t>1</w:t>
            </w:r>
          </w:p>
        </w:tc>
      </w:tr>
    </w:tbl>
    <w:p>
      <w:pPr>
        <w:widowControl/>
        <w:spacing w:line="560" w:lineRule="exact"/>
        <w:ind w:firstLine="672" w:firstLineChars="200"/>
        <w:jc w:val="left"/>
        <w:rPr>
          <w:rFonts w:ascii="宋体" w:hAnsi="宋体" w:cs="宋体"/>
          <w:spacing w:val="8"/>
          <w:kern w:val="0"/>
          <w:sz w:val="24"/>
          <w:highlight w:val="none"/>
        </w:rPr>
      </w:pPr>
      <w:bookmarkStart w:id="1" w:name="_GoBack"/>
      <w:r>
        <w:rPr>
          <w:rFonts w:ascii="黑体" w:hAnsi="黑体" w:eastAsia="黑体" w:cs="宋体"/>
          <w:spacing w:val="8"/>
          <w:kern w:val="0"/>
          <w:sz w:val="32"/>
          <w:szCs w:val="32"/>
          <w:highlight w:val="none"/>
        </w:rPr>
        <w:t>五、存在的主要问题及改进情况</w:t>
      </w:r>
    </w:p>
    <w:bookmarkEnd w:id="1"/>
    <w:p>
      <w:pPr>
        <w:widowControl/>
        <w:spacing w:line="560" w:lineRule="exact"/>
        <w:ind w:firstLine="640" w:firstLineChars="200"/>
        <w:jc w:val="left"/>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202</w:t>
      </w:r>
      <w:r>
        <w:rPr>
          <w:rFonts w:hint="eastAsia" w:ascii="仿宋_GB2312" w:hAnsi="仿宋_GB2312" w:eastAsia="仿宋_GB2312" w:cs="仿宋_GB2312"/>
          <w:bCs/>
          <w:sz w:val="32"/>
          <w:szCs w:val="32"/>
          <w:shd w:val="clear" w:color="auto" w:fill="FFFFFF"/>
          <w:lang w:val="en-US" w:eastAsia="zh-CN"/>
        </w:rPr>
        <w:t>5</w:t>
      </w:r>
      <w:r>
        <w:rPr>
          <w:rFonts w:hint="eastAsia" w:ascii="仿宋_GB2312" w:hAnsi="仿宋_GB2312" w:eastAsia="仿宋_GB2312" w:cs="仿宋_GB2312"/>
          <w:bCs/>
          <w:sz w:val="32"/>
          <w:szCs w:val="32"/>
          <w:shd w:val="clear" w:color="auto" w:fill="FFFFFF"/>
        </w:rPr>
        <w:t>年我局政务公开工作取得了一定成效，但也存在着不足之处。一是对政务公开与</w:t>
      </w:r>
      <w:r>
        <w:rPr>
          <w:rFonts w:hint="eastAsia" w:ascii="仿宋_GB2312" w:hAnsi="仿宋_GB2312" w:eastAsia="仿宋_GB2312" w:cs="仿宋_GB2312"/>
          <w:bCs/>
          <w:sz w:val="32"/>
          <w:szCs w:val="32"/>
          <w:shd w:val="clear" w:color="auto" w:fill="FFFFFF"/>
          <w:lang w:eastAsia="zh-CN"/>
        </w:rPr>
        <w:t>司法行政</w:t>
      </w:r>
      <w:r>
        <w:rPr>
          <w:rFonts w:hint="eastAsia" w:ascii="仿宋_GB2312" w:hAnsi="仿宋_GB2312" w:eastAsia="仿宋_GB2312" w:cs="仿宋_GB2312"/>
          <w:bCs/>
          <w:sz w:val="32"/>
          <w:szCs w:val="32"/>
          <w:shd w:val="clear" w:color="auto" w:fill="FFFFFF"/>
        </w:rPr>
        <w:t>职能的探索融合有待加强。二是政务公开平台有待进一步优化。</w:t>
      </w:r>
    </w:p>
    <w:p>
      <w:pPr>
        <w:widowControl/>
        <w:spacing w:line="560" w:lineRule="exact"/>
        <w:ind w:firstLine="640" w:firstLineChars="200"/>
        <w:jc w:val="left"/>
        <w:rPr>
          <w:rFonts w:hint="eastAsia" w:ascii="仿宋_GB2312" w:hAnsi="宋体" w:eastAsia="仿宋_GB2312" w:cs="宋体"/>
          <w:spacing w:val="8"/>
          <w:kern w:val="0"/>
          <w:sz w:val="32"/>
          <w:szCs w:val="32"/>
        </w:rPr>
      </w:pPr>
      <w:r>
        <w:rPr>
          <w:rFonts w:hint="eastAsia" w:ascii="仿宋_GB2312" w:hAnsi="仿宋_GB2312" w:eastAsia="仿宋_GB2312" w:cs="仿宋_GB2312"/>
          <w:bCs/>
          <w:sz w:val="32"/>
          <w:szCs w:val="32"/>
          <w:shd w:val="clear" w:color="auto" w:fill="FFFFFF"/>
        </w:rPr>
        <w:t>针对以上问题，我局将采取以下措施积极改进，一是加强对</w:t>
      </w:r>
      <w:r>
        <w:rPr>
          <w:rFonts w:hint="eastAsia" w:ascii="仿宋_GB2312" w:hAnsi="仿宋_GB2312" w:eastAsia="仿宋_GB2312" w:cs="仿宋_GB2312"/>
          <w:bCs/>
          <w:sz w:val="32"/>
          <w:szCs w:val="32"/>
          <w:shd w:val="clear" w:color="auto" w:fill="FFFFFF"/>
          <w:lang w:eastAsia="zh-CN"/>
        </w:rPr>
        <w:t>司法行政领域</w:t>
      </w:r>
      <w:r>
        <w:rPr>
          <w:rFonts w:hint="eastAsia" w:ascii="仿宋_GB2312" w:hAnsi="仿宋_GB2312" w:eastAsia="仿宋_GB2312" w:cs="仿宋_GB2312"/>
          <w:bCs/>
          <w:sz w:val="32"/>
          <w:szCs w:val="32"/>
          <w:shd w:val="clear" w:color="auto" w:fill="FFFFFF"/>
        </w:rPr>
        <w:t>信息和数据特点的分析，加大主动公开力度，丰富公开形式和渠道，实现业务与公开的有机融合。二是加强政府网站和政务新媒体平台系统建设，不断优化各类栏目设置及服务功能，使公众能够更加便捷的获取公开信息。</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pStyle w:val="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eastAsia"/>
        </w:rPr>
      </w:pPr>
      <w:r>
        <w:rPr>
          <w:rFonts w:hint="eastAsia" w:ascii="仿宋_GB2312" w:hAnsi="宋体" w:eastAsia="仿宋_GB2312" w:cs="宋体"/>
          <w:spacing w:val="8"/>
          <w:kern w:val="0"/>
          <w:sz w:val="32"/>
          <w:szCs w:val="32"/>
        </w:rPr>
        <w:t>根据《政府信息公开信息处理费管理办法》(国办函〔2020〕109号)，202</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年度</w:t>
      </w:r>
      <w:r>
        <w:rPr>
          <w:rFonts w:hint="eastAsia" w:ascii="仿宋_GB2312" w:hAnsi="宋体" w:eastAsia="仿宋_GB2312" w:cs="宋体"/>
          <w:spacing w:val="8"/>
          <w:kern w:val="0"/>
          <w:sz w:val="32"/>
          <w:szCs w:val="32"/>
          <w:lang w:eastAsia="zh-CN"/>
        </w:rPr>
        <w:t>通州区司法局</w:t>
      </w:r>
      <w:r>
        <w:rPr>
          <w:rFonts w:hint="eastAsia" w:ascii="仿宋_GB2312" w:hAnsi="宋体" w:eastAsia="仿宋_GB2312" w:cs="宋体"/>
          <w:spacing w:val="8"/>
          <w:kern w:val="0"/>
          <w:sz w:val="32"/>
          <w:szCs w:val="32"/>
        </w:rPr>
        <w:t>收取信息处理费情况为：发出收费通知的件数为</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件，总金额为</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元，实际收取的总金额为</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元。</w:t>
      </w:r>
    </w:p>
    <w:p>
      <w:pPr>
        <w:pStyle w:val="2"/>
        <w:spacing w:line="560" w:lineRule="exact"/>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95884"/>
    <w:rsid w:val="19605313"/>
    <w:rsid w:val="202C7D3D"/>
    <w:rsid w:val="2E5574FE"/>
    <w:rsid w:val="400A05D5"/>
    <w:rsid w:val="4AE014AF"/>
    <w:rsid w:val="5C2E5E61"/>
    <w:rsid w:val="6C195884"/>
    <w:rsid w:val="6E5653C4"/>
    <w:rsid w:val="700E4C63"/>
    <w:rsid w:val="751B503B"/>
    <w:rsid w:val="774E6336"/>
    <w:rsid w:val="7A884E5F"/>
    <w:rsid w:val="7DDFD22F"/>
    <w:rsid w:val="F7FC2657"/>
    <w:rsid w:val="FB7D2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2186</Words>
  <Characters>2319</Characters>
  <Lines>0</Lines>
  <Paragraphs>0</Paragraphs>
  <TotalTime>76</TotalTime>
  <ScaleCrop>false</ScaleCrop>
  <LinksUpToDate>false</LinksUpToDate>
  <CharactersWithSpaces>2319</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2025-01-10T17:11:00Z</dcterms:created>
  <dc:creator>XYSD</dc:creator>
  <cp:lastModifiedBy>user</cp:lastModifiedBy>
  <cp:lastPrinted>2025-01-10T21:55:00Z</cp:lastPrinted>
  <dcterms:modified xsi:type="dcterms:W3CDTF">2026-01-12T10:12:12Z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eyJoZGlkIjoiNmE4NmQ3YjNlZDdkNzdmY2JkNzcxZDgzNmVjZTVjNDYiLCJ1c2VySWQiOiI1ODk5NTU4NzUifQ==</vt:lpwstr>
  </property>
  <property fmtid="{D5CDD505-2E9C-101B-9397-08002B2CF9AE}" pid="4" name="ICV">
    <vt:lpwstr>15EB504A014B49888F6239A75DE47F80_13</vt:lpwstr>
  </property>
</Properties>
</file>