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北京市通州区市场监督管理局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  <w:highlight w:val="none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  <w:highlight w:val="none"/>
        </w:rPr>
        <w:t>一、总体情况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我局坚持以习近平新时代中国特色社会主义思想为指导，全面贯彻落实党的二十届历次全会精神精神，立足副中心“1+1+4”文件精神，紧紧围绕“强党建、稳秩序、促发展、保安全”工作主线，持续深入践行“首善标准 监管为民”文化核心理念，认真落实区委、区政府关于政府信息公开的工作要求，通过健全公开机制、规范公开流程、拓宽公开渠道、强化公开质效，推动政务公开与市场监管主责主业深度融合，为副中心高质量发展提供坚实支撑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eastAsia="zh-CN" w:bidi="ar-SA"/>
        </w:rPr>
        <w:t xml:space="preserve"> 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楷体_GB2312" w:hAnsi="楷体_GB2312" w:eastAsia="楷体_GB2312" w:cs="楷体_GB2312"/>
          <w:color w:val="333333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333333"/>
          <w:sz w:val="32"/>
          <w:szCs w:val="32"/>
          <w:highlight w:val="none"/>
        </w:rPr>
        <w:t>（一）主动公开情况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202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eastAsia="zh-CN" w:bidi="ar-SA"/>
        </w:rPr>
        <w:t>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年1月1日至12月31日，我局在通州区政府门户网站设置通知公告、要闻动态等栏目，发布各类信息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282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条，其中，消费提示、行政公告、通知公告等信息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37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条，行政执法公示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245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条。通过政务微信公众号设置“食安科普”、“事故警示”、“新时代文明实践”等栏目，公开政府信息252条。全年完成行政许可134750件，</w:t>
      </w:r>
      <w:bookmarkStart w:id="0" w:name="OLE_LINK1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行政处罚信息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5139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条，行政强制信息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49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条。</w:t>
      </w:r>
      <w:bookmarkEnd w:id="0"/>
      <w:bookmarkStart w:id="1" w:name="OLE_LINK2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本年度行政事业性项目收费587.273731万元</w:t>
      </w:r>
      <w:bookmarkEnd w:id="1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楷体_GB2312" w:hAnsi="楷体_GB2312" w:eastAsia="楷体_GB2312" w:cs="楷体_GB2312"/>
          <w:color w:val="333333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333333"/>
          <w:sz w:val="32"/>
          <w:szCs w:val="32"/>
          <w:highlight w:val="none"/>
        </w:rPr>
        <w:t>（二）依申请公开办理情况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本年度我局共受理政府信息公开申请1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49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件，已依法办结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139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件，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件正在办理中。在申请来源方面，网络申请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84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件，占比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56.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38%；信函申请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63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件，占比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42.28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%；当面申请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件，占比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1.34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%。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已答复申请人的139件，其中：予以公开的23件，部分公开的18件，不予公开的40件，政府信息不存在的22件，不属于我机关负责公开的11件，撤回申请25件。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本年度我局涉及政府信息公开的行政复议10件，收到涉及政府信息公开的行政诉讼案件3件，未接到有关政府信息公开的投诉举报。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楷体_GB2312" w:hAnsi="楷体_GB2312" w:eastAsia="楷体_GB2312" w:cs="楷体_GB2312"/>
          <w:color w:val="333333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333333"/>
          <w:sz w:val="32"/>
          <w:szCs w:val="32"/>
          <w:highlight w:val="none"/>
        </w:rPr>
        <w:t>（三）政府信息公开监督保障及教育培训情况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我局以严标准落实信息公开工作，以实举措提升业务履职能力，推动政府信息公开工作提质增效。一是对标对表抓规范，严格遵循《中华人民共和国政府信息公开条例》等制度要求，紧扣“应公开尽公开”原则，对公开信息内容开展严格审查，确保信息发布准确合规。二是精准施教强本领，精心组织2025年度政府信息公开业务培训，通过分批分次、线上线下相结合的培训模式，实现88名信息公开兼职人员全覆盖，切实夯实业务工作基础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主动公开政府信息情况</w:t>
      </w:r>
    </w:p>
    <w:p>
      <w:pPr>
        <w:pStyle w:val="2"/>
        <w:spacing w:line="560" w:lineRule="exact"/>
        <w:rPr>
          <w:rFonts w:hint="eastAsia"/>
          <w:highlight w:val="none"/>
        </w:rPr>
      </w:pPr>
    </w:p>
    <w:tbl>
      <w:tblPr>
        <w:tblStyle w:val="4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　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 　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/>
                <w:highlight w:val="none"/>
                <w:lang w:val="en-US"/>
              </w:rPr>
            </w:pPr>
            <w:r>
              <w:rPr>
                <w:rFonts w:ascii="Calibri" w:hAnsi="Calibri" w:cs="Calibri"/>
                <w:kern w:val="0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Calibri" w:hAnsi="Calibri" w:cs="Calibri"/>
                <w:kern w:val="0"/>
                <w:szCs w:val="21"/>
                <w:highlight w:val="none"/>
                <w:lang w:val="en-US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　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 　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highlight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ascii="Calibri" w:hAnsi="Calibri" w:cs="Calibri"/>
                <w:kern w:val="0"/>
                <w:szCs w:val="21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highlight w:val="none"/>
                <w:lang w:bidi="ar"/>
              </w:rPr>
              <w:t>134750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bidi="ar"/>
              </w:rPr>
              <w:t>5139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bidi="ar"/>
              </w:rPr>
              <w:t>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  <w:r>
              <w:rPr>
                <w:rFonts w:hint="eastAsia" w:ascii="宋体"/>
                <w:sz w:val="24"/>
                <w:highlight w:val="none"/>
              </w:rPr>
              <w:t>587.273731</w:t>
            </w:r>
          </w:p>
        </w:tc>
      </w:tr>
    </w:tbl>
    <w:p>
      <w:pPr>
        <w:pStyle w:val="2"/>
        <w:spacing w:line="560" w:lineRule="exact"/>
        <w:rPr>
          <w:rFonts w:hint="eastAsia"/>
          <w:highlight w:val="none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收到和处理政府信息公开申请情况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  <w:highlight w:val="none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2"/>
        <w:gridCol w:w="3210"/>
        <w:gridCol w:w="697"/>
        <w:gridCol w:w="687"/>
        <w:gridCol w:w="687"/>
        <w:gridCol w:w="687"/>
        <w:gridCol w:w="687"/>
        <w:gridCol w:w="687"/>
        <w:gridCol w:w="69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bookmarkStart w:id="2" w:name="_GoBack" w:colFirst="0" w:colLast="9"/>
            <w:r>
              <w:rPr>
                <w:rFonts w:ascii="楷体" w:hAnsi="楷体" w:eastAsia="楷体" w:cs="楷体"/>
                <w:kern w:val="0"/>
                <w:sz w:val="20"/>
                <w:szCs w:val="20"/>
                <w:highlight w:val="none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697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自然人</w:t>
            </w:r>
          </w:p>
        </w:tc>
        <w:tc>
          <w:tcPr>
            <w:tcW w:w="3435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法人或其他组织</w:t>
            </w:r>
          </w:p>
        </w:tc>
        <w:tc>
          <w:tcPr>
            <w:tcW w:w="697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697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企业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机构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社会公益组织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法律服务机构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其他</w:t>
            </w:r>
          </w:p>
        </w:tc>
        <w:tc>
          <w:tcPr>
            <w:tcW w:w="697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一、本年新收政府信息公开申请数量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highlight w:val="none"/>
                <w:lang w:val="en-US" w:bidi="ar"/>
              </w:rPr>
              <w:t>14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highlight w:val="none"/>
                <w:lang w:val="en-US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highlight w:val="none"/>
                <w:lang w:val="en-US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highlight w:val="none"/>
                <w:lang w:val="en-US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highlight w:val="none"/>
                <w:lang w:val="en-US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highlight w:val="none"/>
                <w:lang w:val="en-US" w:bidi="ar"/>
              </w:rPr>
              <w:t>149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二、上年结转政府信息公开申请数量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eastAsia="zh-CN" w:bidi="ar"/>
              </w:rPr>
              <w:t>9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eastAsia="zh-CN" w:bidi="ar"/>
              </w:rPr>
              <w:t>9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三、本年度办理结果</w:t>
            </w:r>
          </w:p>
        </w:tc>
        <w:tc>
          <w:tcPr>
            <w:tcW w:w="41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（一）予以公开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41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highlight w:val="none"/>
                <w:lang w:bidi="ar"/>
              </w:rPr>
              <w:t>（区分处理的，只计这一情形，不计其他情形）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（三）不予公开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1.属于国家秘密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2.其他法律行政法规禁止公开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3.危及“三安全一稳定”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4.保护第三方合法权益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5.属于三类内部事务信息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6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6.属于四类过程性信息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7.属于行政执法案卷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34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34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8.属于行政查询事项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（四）无法提供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1.本机关不掌握相关政府信息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33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34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2.没有现成信息需要另行制作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321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3.补正后申请内容仍不明确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（五）不予处理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1.信访举报投诉类申请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2.重复申请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3.要求提供公开出版物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4.无正当理由大量反复申请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321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5.要求行政机关确认或重新出具已获取信息</w:t>
            </w:r>
          </w:p>
        </w:tc>
        <w:tc>
          <w:tcPr>
            <w:tcW w:w="69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（六）其他处理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3.其他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41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（七）总计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146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148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9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四、结转下年度继续办理</w:t>
            </w:r>
          </w:p>
        </w:tc>
        <w:tc>
          <w:tcPr>
            <w:tcW w:w="69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宋体"/>
                <w:sz w:val="24"/>
                <w:highlight w:val="none"/>
                <w:lang w:val="en-US"/>
              </w:rPr>
            </w:pPr>
            <w:r>
              <w:rPr>
                <w:rFonts w:hint="default" w:ascii="宋体"/>
                <w:sz w:val="24"/>
                <w:highlight w:val="none"/>
                <w:lang w:val="en-US"/>
              </w:rPr>
              <w:t>10</w:t>
            </w:r>
          </w:p>
        </w:tc>
        <w:tc>
          <w:tcPr>
            <w:tcW w:w="68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宋体"/>
                <w:sz w:val="24"/>
                <w:highlight w:val="none"/>
                <w:lang w:val="en-US"/>
              </w:rPr>
            </w:pPr>
            <w:r>
              <w:rPr>
                <w:rFonts w:hint="default" w:ascii="宋体"/>
                <w:sz w:val="24"/>
                <w:highlight w:val="none"/>
                <w:lang w:val="en-US"/>
              </w:rPr>
              <w:t>0</w:t>
            </w:r>
          </w:p>
        </w:tc>
        <w:tc>
          <w:tcPr>
            <w:tcW w:w="68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宋体"/>
                <w:sz w:val="24"/>
                <w:highlight w:val="none"/>
                <w:lang w:val="en-US"/>
              </w:rPr>
            </w:pPr>
            <w:r>
              <w:rPr>
                <w:rFonts w:hint="default" w:ascii="宋体"/>
                <w:sz w:val="24"/>
                <w:highlight w:val="none"/>
                <w:lang w:val="en-US"/>
              </w:rPr>
              <w:t>0</w:t>
            </w:r>
          </w:p>
        </w:tc>
        <w:tc>
          <w:tcPr>
            <w:tcW w:w="68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宋体"/>
                <w:sz w:val="24"/>
                <w:highlight w:val="none"/>
                <w:lang w:val="en-US"/>
              </w:rPr>
            </w:pPr>
            <w:r>
              <w:rPr>
                <w:rFonts w:hint="default" w:ascii="宋体"/>
                <w:sz w:val="24"/>
                <w:highlight w:val="none"/>
                <w:lang w:val="en-US"/>
              </w:rPr>
              <w:t>0</w:t>
            </w:r>
          </w:p>
        </w:tc>
        <w:tc>
          <w:tcPr>
            <w:tcW w:w="68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宋体"/>
                <w:sz w:val="24"/>
                <w:highlight w:val="none"/>
                <w:lang w:val="en-US"/>
              </w:rPr>
            </w:pPr>
            <w:r>
              <w:rPr>
                <w:rFonts w:hint="default" w:ascii="宋体"/>
                <w:sz w:val="24"/>
                <w:highlight w:val="none"/>
                <w:lang w:val="en-US"/>
              </w:rPr>
              <w:t>0</w:t>
            </w:r>
          </w:p>
        </w:tc>
        <w:tc>
          <w:tcPr>
            <w:tcW w:w="68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宋体"/>
                <w:sz w:val="24"/>
                <w:highlight w:val="none"/>
                <w:lang w:val="en-US"/>
              </w:rPr>
            </w:pPr>
            <w:r>
              <w:rPr>
                <w:rFonts w:hint="default" w:ascii="宋体"/>
                <w:sz w:val="24"/>
                <w:highlight w:val="none"/>
                <w:lang w:val="en-US"/>
              </w:rPr>
              <w:t>0</w:t>
            </w:r>
          </w:p>
        </w:tc>
        <w:tc>
          <w:tcPr>
            <w:tcW w:w="69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宋体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/>
                <w:sz w:val="24"/>
                <w:highlight w:val="none"/>
                <w:lang w:val="en-US"/>
              </w:rPr>
              <w:t>10</w:t>
            </w:r>
          </w:p>
        </w:tc>
      </w:tr>
      <w:bookmarkEnd w:id="2"/>
    </w:tbl>
    <w:p>
      <w:pPr>
        <w:pStyle w:val="2"/>
        <w:spacing w:line="560" w:lineRule="exact"/>
        <w:ind w:left="420" w:leftChars="200"/>
        <w:rPr>
          <w:rFonts w:hint="eastAsia"/>
          <w:highlight w:val="none"/>
        </w:rPr>
      </w:pPr>
    </w:p>
    <w:p>
      <w:pPr>
        <w:pStyle w:val="2"/>
        <w:spacing w:line="560" w:lineRule="exact"/>
        <w:ind w:left="420" w:leftChars="200"/>
        <w:rPr>
          <w:rFonts w:hint="eastAsia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四、政府信息公开行政复议、行政诉讼情况</w:t>
      </w:r>
    </w:p>
    <w:p>
      <w:pPr>
        <w:widowControl/>
        <w:spacing w:line="560" w:lineRule="exact"/>
        <w:jc w:val="center"/>
        <w:rPr>
          <w:highlight w:val="none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5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</w:p>
        </w:tc>
      </w:tr>
    </w:tbl>
    <w:p>
      <w:pPr>
        <w:widowControl/>
        <w:spacing w:line="560" w:lineRule="exact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存在的主要问题：一是依申请公开办理规范性有待提升，部分依申请公开事项法律适用不够精准、事实认定不够清晰，出现行政复议被纠正的情况。二是办理队伍业务能力存在短板，对依申请公开领域的复杂疑难问题研判能力不足，面对涉及多重法律关系、敏感信息的申请时，缺乏系统的分析思路和处置经验。</w:t>
      </w:r>
    </w:p>
    <w:p>
      <w:pPr>
        <w:widowControl/>
        <w:spacing w:line="560" w:lineRule="exact"/>
        <w:ind w:firstLine="675"/>
        <w:jc w:val="left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改进情况：一是强化专业化能力建设。聚焦复议纠错案例暴露的问题开展集中培训，以案例研讨、岗位练兵等形式，组织工作人员深入学习法律适用要点和办理技巧，重点提升工作人员的法律素养和问题处置能力。二是完善法治化办理体系。严格对标《中华人民共和国政府信息公开条例》等法规要求，进一步明确受理、检索、审核、答复、归档等全流程操作规范，细化公开范围界定标准和法律适用指引，，对疑难复杂申请实行"一案一研判"，开展前置性"法治体检"，确保答复文书合法有据、逻辑严密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根据《政府信息公开信息处理费管理办法》(国办函〔2020〕109号)，2025年度北京市通州区市场监督管理局收取信息处理费情况为：发出收费通知的件数为0件，总金额为0元，实际收取的总金额为0元。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90565F"/>
    <w:rsid w:val="00903C45"/>
    <w:rsid w:val="0190565F"/>
    <w:rsid w:val="02430C01"/>
    <w:rsid w:val="028920FE"/>
    <w:rsid w:val="04A44FD0"/>
    <w:rsid w:val="052851DF"/>
    <w:rsid w:val="06330CDE"/>
    <w:rsid w:val="06F12116"/>
    <w:rsid w:val="06F37774"/>
    <w:rsid w:val="07204071"/>
    <w:rsid w:val="07474FE1"/>
    <w:rsid w:val="08550306"/>
    <w:rsid w:val="08B63BCD"/>
    <w:rsid w:val="0BC63A34"/>
    <w:rsid w:val="0C3E7A39"/>
    <w:rsid w:val="0E1D6EA1"/>
    <w:rsid w:val="0E341099"/>
    <w:rsid w:val="12267AD6"/>
    <w:rsid w:val="133A7BEF"/>
    <w:rsid w:val="13EE7E50"/>
    <w:rsid w:val="15A56279"/>
    <w:rsid w:val="15B605E5"/>
    <w:rsid w:val="15B81FB9"/>
    <w:rsid w:val="16AF66B2"/>
    <w:rsid w:val="17674272"/>
    <w:rsid w:val="17B54466"/>
    <w:rsid w:val="17E13F3C"/>
    <w:rsid w:val="1C3D1800"/>
    <w:rsid w:val="1E241183"/>
    <w:rsid w:val="1E4470D6"/>
    <w:rsid w:val="1F420C28"/>
    <w:rsid w:val="1FE47C93"/>
    <w:rsid w:val="20694BCD"/>
    <w:rsid w:val="20BF1705"/>
    <w:rsid w:val="20FB17E4"/>
    <w:rsid w:val="22400062"/>
    <w:rsid w:val="2A727105"/>
    <w:rsid w:val="2AD72263"/>
    <w:rsid w:val="2B0325BA"/>
    <w:rsid w:val="2BFF4499"/>
    <w:rsid w:val="2C4E59AD"/>
    <w:rsid w:val="2CC86A45"/>
    <w:rsid w:val="2DB81892"/>
    <w:rsid w:val="2E3F3601"/>
    <w:rsid w:val="2EE06A9A"/>
    <w:rsid w:val="32AD4EF5"/>
    <w:rsid w:val="32BF4AEF"/>
    <w:rsid w:val="3481537F"/>
    <w:rsid w:val="34925C97"/>
    <w:rsid w:val="38747024"/>
    <w:rsid w:val="38BC39D8"/>
    <w:rsid w:val="395417A5"/>
    <w:rsid w:val="3A055959"/>
    <w:rsid w:val="3AA479A0"/>
    <w:rsid w:val="3B563B4D"/>
    <w:rsid w:val="3C3C1253"/>
    <w:rsid w:val="3D391B04"/>
    <w:rsid w:val="3E5C1214"/>
    <w:rsid w:val="3EA00A69"/>
    <w:rsid w:val="3F702A77"/>
    <w:rsid w:val="443E35E3"/>
    <w:rsid w:val="447056D0"/>
    <w:rsid w:val="44811263"/>
    <w:rsid w:val="453F3CA3"/>
    <w:rsid w:val="46744233"/>
    <w:rsid w:val="469D1F35"/>
    <w:rsid w:val="47227BB6"/>
    <w:rsid w:val="49E24D81"/>
    <w:rsid w:val="4A62496B"/>
    <w:rsid w:val="4A7046F7"/>
    <w:rsid w:val="4A7F14D6"/>
    <w:rsid w:val="4E2B509C"/>
    <w:rsid w:val="4EBA2689"/>
    <w:rsid w:val="4EC7074A"/>
    <w:rsid w:val="50AC0C42"/>
    <w:rsid w:val="50CE7C1E"/>
    <w:rsid w:val="51D40BFC"/>
    <w:rsid w:val="521605BB"/>
    <w:rsid w:val="53575126"/>
    <w:rsid w:val="53870B97"/>
    <w:rsid w:val="539F391C"/>
    <w:rsid w:val="55855303"/>
    <w:rsid w:val="55A106D3"/>
    <w:rsid w:val="567A07EF"/>
    <w:rsid w:val="56EE2D2C"/>
    <w:rsid w:val="591848B1"/>
    <w:rsid w:val="59CA0E72"/>
    <w:rsid w:val="5A7E53FE"/>
    <w:rsid w:val="5B1131A2"/>
    <w:rsid w:val="5C590C43"/>
    <w:rsid w:val="5FBE38EB"/>
    <w:rsid w:val="60A31B19"/>
    <w:rsid w:val="60B24CD4"/>
    <w:rsid w:val="611D1AAB"/>
    <w:rsid w:val="6246445C"/>
    <w:rsid w:val="645669EC"/>
    <w:rsid w:val="653528A1"/>
    <w:rsid w:val="66BA5B15"/>
    <w:rsid w:val="68D511B8"/>
    <w:rsid w:val="6A753740"/>
    <w:rsid w:val="6A8118DD"/>
    <w:rsid w:val="6B105EB6"/>
    <w:rsid w:val="6B1A4247"/>
    <w:rsid w:val="6B6B1FD1"/>
    <w:rsid w:val="6D8F6D17"/>
    <w:rsid w:val="6E1E5DE2"/>
    <w:rsid w:val="6EA04641"/>
    <w:rsid w:val="71F335E2"/>
    <w:rsid w:val="72734A0C"/>
    <w:rsid w:val="73A016D5"/>
    <w:rsid w:val="74335A48"/>
    <w:rsid w:val="776A184D"/>
    <w:rsid w:val="7A7E5527"/>
    <w:rsid w:val="7B2A5CF7"/>
    <w:rsid w:val="7C05676B"/>
    <w:rsid w:val="7F5E100A"/>
    <w:rsid w:val="7F7F3529"/>
    <w:rsid w:val="7FCF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2026-01-07T02:57:00Z</dcterms:created>
  <dc:creator>yb</dc:creator>
  <cp:lastModifiedBy>yb</cp:lastModifiedBy>
  <dcterms:modified xsi:type="dcterms:W3CDTF">2026-01-08T10:18:41Z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6F15DF88A7BA445DB1A2C565CF4D3A72</vt:lpwstr>
  </property>
</Properties>
</file>