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bookmarkStart w:id="0" w:name="OLE_LINK3"/>
      <w:r>
        <w:rPr>
          <w:rFonts w:hint="eastAsia" w:ascii="方正小标宋简体" w:hAnsi="方正小标宋简体" w:eastAsia="方正小标宋简体" w:cs="方正小标宋简体"/>
          <w:sz w:val="44"/>
          <w:szCs w:val="44"/>
          <w:lang w:eastAsia="zh-CN"/>
        </w:rPr>
        <w:t>通州区交通委员会</w:t>
      </w:r>
      <w:r>
        <w:rPr>
          <w:rFonts w:hint="eastAsia" w:ascii="方正小标宋简体" w:hAnsi="方正小标宋简体" w:eastAsia="方正小标宋简体" w:cs="方正小标宋简体"/>
          <w:sz w:val="44"/>
          <w:szCs w:val="44"/>
          <w:lang w:val="en-US" w:eastAsia="zh-CN"/>
        </w:rPr>
        <w:t>2025</w:t>
      </w:r>
      <w:r>
        <w:rPr>
          <w:rFonts w:hint="eastAsia" w:ascii="方正小标宋简体" w:hAnsi="方正小标宋简体" w:eastAsia="方正小标宋简体" w:cs="方正小标宋简体"/>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72" w:firstLineChars="200"/>
        <w:jc w:val="left"/>
        <w:textAlignment w:val="auto"/>
        <w:rPr>
          <w:rFonts w:hint="eastAsia"/>
          <w:sz w:val="32"/>
          <w:szCs w:val="32"/>
          <w:lang w:val="en-US" w:eastAsia="zh-CN"/>
        </w:rPr>
      </w:pPr>
      <w:r>
        <w:rPr>
          <w:rFonts w:ascii="黑体" w:hAnsi="黑体" w:eastAsia="黑体" w:cs="宋体"/>
          <w:spacing w:val="8"/>
          <w:kern w:val="0"/>
          <w:sz w:val="32"/>
          <w:szCs w:val="32"/>
        </w:rPr>
        <w:t>总体情况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我委</w:t>
      </w:r>
      <w:r>
        <w:rPr>
          <w:rFonts w:hint="eastAsia" w:ascii="仿宋_GB2312" w:hAnsi="宋体" w:eastAsia="仿宋_GB2312" w:cs="宋体"/>
          <w:spacing w:val="8"/>
          <w:kern w:val="0"/>
          <w:sz w:val="32"/>
          <w:szCs w:val="32"/>
        </w:rPr>
        <w:t>严格落实《条例》各项规定，准确把握政务公开职责定位，健全制度规范，优化方式渠道，提</w:t>
      </w:r>
      <w:r>
        <w:rPr>
          <w:rFonts w:hint="eastAsia" w:ascii="仿宋_GB2312" w:hAnsi="宋体" w:eastAsia="仿宋_GB2312" w:cs="宋体"/>
          <w:spacing w:val="8"/>
          <w:kern w:val="0"/>
          <w:sz w:val="32"/>
          <w:szCs w:val="32"/>
          <w:lang w:eastAsia="zh-CN"/>
        </w:rPr>
        <w:t>升</w:t>
      </w:r>
      <w:r>
        <w:rPr>
          <w:rFonts w:hint="eastAsia" w:ascii="仿宋_GB2312" w:hAnsi="宋体" w:eastAsia="仿宋_GB2312" w:cs="宋体"/>
          <w:spacing w:val="8"/>
          <w:kern w:val="0"/>
          <w:sz w:val="32"/>
          <w:szCs w:val="32"/>
        </w:rPr>
        <w:t>公开质效，</w:t>
      </w:r>
      <w:r>
        <w:rPr>
          <w:rFonts w:hint="eastAsia" w:ascii="仿宋_GB2312" w:hAnsi="宋体" w:eastAsia="仿宋_GB2312" w:cs="宋体"/>
          <w:spacing w:val="8"/>
          <w:kern w:val="0"/>
          <w:sz w:val="32"/>
          <w:szCs w:val="32"/>
          <w:lang w:eastAsia="zh-CN"/>
        </w:rPr>
        <w:t>高质量</w:t>
      </w:r>
      <w:r>
        <w:rPr>
          <w:rFonts w:hint="eastAsia" w:ascii="仿宋_GB2312" w:hAnsi="宋体" w:eastAsia="仿宋_GB2312" w:cs="宋体"/>
          <w:spacing w:val="8"/>
          <w:kern w:val="0"/>
          <w:sz w:val="32"/>
          <w:szCs w:val="32"/>
        </w:rPr>
        <w:t>完成全年各项任务。</w:t>
      </w:r>
    </w:p>
    <w:p>
      <w:pPr>
        <w:keepNext w:val="0"/>
        <w:keepLines w:val="0"/>
        <w:pageBreakBefore w:val="0"/>
        <w:widowControl/>
        <w:tabs>
          <w:tab w:val="left" w:pos="1620"/>
          <w:tab w:val="left" w:pos="3402"/>
          <w:tab w:val="left" w:pos="3564"/>
          <w:tab w:val="left" w:pos="3726"/>
        </w:tabs>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eastAsia="仿宋_GB2312"/>
          <w:b w:val="0"/>
          <w:bCs w:val="0"/>
          <w:sz w:val="32"/>
          <w:szCs w:val="32"/>
          <w:lang w:eastAsia="zh-CN"/>
        </w:rPr>
      </w:pPr>
      <w:r>
        <w:rPr>
          <w:rFonts w:hint="eastAsia" w:ascii="楷体" w:hAnsi="楷体" w:eastAsia="楷体" w:cs="楷体"/>
          <w:color w:val="000000"/>
          <w:kern w:val="0"/>
          <w:sz w:val="32"/>
          <w:szCs w:val="32"/>
          <w:lang w:val="en-US" w:eastAsia="zh-CN" w:bidi="ar"/>
        </w:rPr>
        <w:t>(一）健全制度保障。</w:t>
      </w:r>
      <w:r>
        <w:rPr>
          <w:rFonts w:hint="eastAsia" w:ascii="仿宋_GB2312" w:hAnsi="仿宋_GB2312" w:eastAsia="仿宋_GB2312" w:cs="仿宋_GB2312"/>
          <w:sz w:val="32"/>
          <w:szCs w:val="32"/>
          <w:lang w:val="en-US" w:eastAsia="zh-CN"/>
        </w:rPr>
        <w:t>为深化我委政务公开标准化规范化全清单体系建设，扎实开展公开全清单编制工作，结合“三定”机构职能方案、权责清单以及实际工作职责，对照国务院制定的行业性政务公开标准指引，</w:t>
      </w:r>
      <w:r>
        <w:rPr>
          <w:rFonts w:hint="eastAsia" w:ascii="仿宋_GB2312" w:eastAsia="仿宋_GB2312"/>
          <w:sz w:val="32"/>
          <w:szCs w:val="32"/>
          <w:lang w:eastAsia="zh-CN"/>
        </w:rPr>
        <w:t>对</w:t>
      </w:r>
      <w:bookmarkStart w:id="1" w:name="OLE_LINK4"/>
      <w:r>
        <w:rPr>
          <w:rFonts w:hint="eastAsia" w:ascii="仿宋_GB2312" w:eastAsia="仿宋_GB2312"/>
          <w:sz w:val="32"/>
          <w:szCs w:val="32"/>
          <w:lang w:eastAsia="zh-CN"/>
        </w:rPr>
        <w:t>《通州区交通委</w:t>
      </w:r>
      <w:bookmarkStart w:id="2" w:name="OLE_LINK5"/>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年政务信息主动公开全清单</w:t>
      </w:r>
      <w:bookmarkEnd w:id="2"/>
      <w:r>
        <w:rPr>
          <w:rFonts w:hint="eastAsia" w:ascii="仿宋_GB2312" w:eastAsia="仿宋_GB2312"/>
          <w:sz w:val="32"/>
          <w:szCs w:val="32"/>
          <w:lang w:eastAsia="zh-CN"/>
        </w:rPr>
        <w:t>》</w:t>
      </w:r>
      <w:bookmarkEnd w:id="1"/>
      <w:r>
        <w:rPr>
          <w:rFonts w:hint="eastAsia" w:ascii="仿宋_GB2312" w:eastAsia="仿宋_GB2312"/>
          <w:sz w:val="32"/>
          <w:szCs w:val="32"/>
          <w:lang w:eastAsia="zh-CN"/>
        </w:rPr>
        <w:t>进行调整，实现“应公开尽公开”</w:t>
      </w:r>
      <w:r>
        <w:rPr>
          <w:rFonts w:hint="eastAsia" w:ascii="仿宋_GB2312" w:eastAsia="仿宋_GB2312"/>
          <w:b w:val="0"/>
          <w:bCs w:val="0"/>
          <w:sz w:val="32"/>
          <w:szCs w:val="32"/>
          <w:lang w:eastAsia="zh-CN"/>
        </w:rPr>
        <w:t>。</w:t>
      </w:r>
      <w:r>
        <w:rPr>
          <w:rFonts w:hint="eastAsia" w:ascii="仿宋_GB2312" w:eastAsia="仿宋_GB2312"/>
          <w:sz w:val="32"/>
          <w:lang w:eastAsia="zh-CN"/>
        </w:rPr>
        <w:t>截至目前,我委</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年政务信息主动公开全清单</w:t>
      </w:r>
      <w:r>
        <w:rPr>
          <w:rFonts w:hint="eastAsia" w:ascii="仿宋_GB2312" w:eastAsia="仿宋_GB2312"/>
          <w:sz w:val="32"/>
          <w:lang w:eastAsia="zh-CN"/>
        </w:rPr>
        <w:t>项目共</w:t>
      </w:r>
      <w:r>
        <w:rPr>
          <w:rFonts w:hint="eastAsia" w:ascii="仿宋_GB2312" w:eastAsia="仿宋_GB2312"/>
          <w:sz w:val="32"/>
          <w:lang w:val="en-US" w:eastAsia="zh-CN"/>
        </w:rPr>
        <w:t>40</w:t>
      </w:r>
      <w:r>
        <w:rPr>
          <w:rFonts w:hint="eastAsia" w:ascii="仿宋_GB2312" w:eastAsia="仿宋_GB2312"/>
          <w:sz w:val="32"/>
          <w:lang w:eastAsia="zh-CN"/>
        </w:rPr>
        <w:t>项，其中：主动公开</w:t>
      </w:r>
      <w:r>
        <w:rPr>
          <w:rFonts w:hint="eastAsia" w:ascii="仿宋_GB2312" w:eastAsia="仿宋_GB2312"/>
          <w:sz w:val="32"/>
          <w:lang w:val="en-US" w:eastAsia="zh-CN"/>
        </w:rPr>
        <w:t>15项，依申请公开8项，不予公开17项</w:t>
      </w:r>
      <w:r>
        <w:rPr>
          <w:rFonts w:hint="eastAsia" w:ascii="仿宋_GB2312" w:eastAsia="仿宋_GB2312"/>
          <w:sz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pacing w:val="8"/>
          <w:kern w:val="0"/>
          <w:sz w:val="32"/>
          <w:szCs w:val="32"/>
          <w:lang w:val="en-US" w:eastAsia="zh-CN"/>
        </w:rPr>
      </w:pPr>
      <w:r>
        <w:rPr>
          <w:rFonts w:hint="eastAsia" w:ascii="楷体" w:hAnsi="楷体" w:eastAsia="楷体" w:cs="楷体"/>
          <w:color w:val="000000"/>
          <w:kern w:val="0"/>
          <w:sz w:val="32"/>
          <w:szCs w:val="32"/>
          <w:lang w:val="en-US" w:eastAsia="zh-CN" w:bidi="ar"/>
        </w:rPr>
        <w:t>（二）依法规范公开。</w:t>
      </w:r>
      <w:r>
        <w:rPr>
          <w:rFonts w:hint="eastAsia" w:ascii="仿宋_GB2312" w:hAnsi="宋体" w:eastAsia="仿宋_GB2312"/>
          <w:sz w:val="32"/>
          <w:szCs w:val="32"/>
          <w:lang w:val="en-US" w:eastAsia="zh-CN"/>
        </w:rPr>
        <w:t>将公开属性审查嵌入交通公文制发全流程，严格落实“</w:t>
      </w:r>
      <w:r>
        <w:rPr>
          <w:rFonts w:hint="eastAsia" w:ascii="仿宋_GB2312" w:hAnsi="宋体" w:eastAsia="仿宋_GB2312" w:cs="宋体"/>
          <w:spacing w:val="8"/>
          <w:kern w:val="0"/>
          <w:sz w:val="32"/>
          <w:szCs w:val="32"/>
          <w:lang w:val="en-US" w:eastAsia="zh-CN"/>
        </w:rPr>
        <w:t>科室负责人-分管领导-综合办公室</w:t>
      </w:r>
      <w:r>
        <w:rPr>
          <w:rFonts w:hint="eastAsia" w:ascii="仿宋_GB2312" w:hAnsi="宋体" w:eastAsia="仿宋_GB2312"/>
          <w:sz w:val="32"/>
          <w:szCs w:val="32"/>
          <w:lang w:val="en-US" w:eastAsia="zh-CN"/>
        </w:rPr>
        <w:t>”三级审查机制，重点强化行政执法、预算决算等领域公开审查把关。</w:t>
      </w:r>
      <w:r>
        <w:rPr>
          <w:rFonts w:hint="eastAsia" w:ascii="仿宋_GB2312" w:hAnsi="宋体" w:eastAsia="仿宋_GB2312"/>
          <w:b/>
          <w:bCs/>
          <w:sz w:val="32"/>
          <w:szCs w:val="32"/>
          <w:lang w:val="en-US" w:eastAsia="zh-CN"/>
        </w:rPr>
        <w:t>主动公开方面，</w:t>
      </w:r>
      <w:r>
        <w:rPr>
          <w:rFonts w:hint="eastAsia" w:ascii="仿宋_GB2312" w:hAnsi="宋体" w:eastAsia="仿宋_GB2312" w:cs="宋体"/>
          <w:spacing w:val="8"/>
          <w:kern w:val="0"/>
          <w:sz w:val="32"/>
          <w:szCs w:val="32"/>
          <w:lang w:val="en-US" w:eastAsia="zh-CN"/>
        </w:rPr>
        <w:t>法定主动公开栏目设置规范合理，涵盖通知公告、公开双公示行政许可事项、行政执法公示、机构职能、行政裁量基准等信息，信息发布及时全面，全年通过政府网站发布信息 314 条。</w:t>
      </w:r>
      <w:r>
        <w:rPr>
          <w:rFonts w:hint="eastAsia" w:ascii="仿宋_GB2312" w:hAnsi="宋体" w:eastAsia="仿宋_GB2312"/>
          <w:b/>
          <w:bCs/>
          <w:sz w:val="32"/>
          <w:szCs w:val="32"/>
          <w:lang w:val="en-US" w:eastAsia="zh-CN"/>
        </w:rPr>
        <w:t>依申请公开方面，</w:t>
      </w:r>
      <w:r>
        <w:rPr>
          <w:rFonts w:hint="eastAsia" w:ascii="仿宋_GB2312" w:hAnsi="宋体" w:eastAsia="仿宋_GB2312" w:cs="宋体"/>
          <w:spacing w:val="8"/>
          <w:kern w:val="0"/>
          <w:sz w:val="32"/>
          <w:szCs w:val="32"/>
          <w:lang w:val="en-US" w:eastAsia="zh-CN"/>
        </w:rPr>
        <w:t>严格执行“受理—审查—答复”闭环管理，全年受理依申请公开 13件，均在法定期限内办结，答复准确率100%。</w:t>
      </w:r>
    </w:p>
    <w:p>
      <w:pPr>
        <w:spacing w:line="560" w:lineRule="exact"/>
        <w:ind w:firstLine="672" w:firstLineChars="200"/>
        <w:jc w:val="left"/>
        <w:rPr>
          <w:rFonts w:hint="eastAsia" w:ascii="仿宋_GB2312" w:hAnsi="宋体" w:eastAsia="仿宋_GB2312" w:cs="宋体"/>
          <w:spacing w:val="8"/>
          <w:kern w:val="0"/>
          <w:sz w:val="32"/>
          <w:szCs w:val="32"/>
          <w:lang w:val="en-US" w:eastAsia="zh-CN"/>
        </w:rPr>
      </w:pPr>
      <w:r>
        <w:rPr>
          <w:rFonts w:hint="eastAsia" w:ascii="楷体" w:hAnsi="楷体" w:eastAsia="楷体" w:cs="楷体"/>
          <w:spacing w:val="8"/>
          <w:kern w:val="0"/>
          <w:sz w:val="32"/>
          <w:szCs w:val="32"/>
          <w:lang w:val="en-US" w:eastAsia="zh-CN"/>
        </w:rPr>
        <w:t>（三）</w:t>
      </w:r>
      <w:bookmarkStart w:id="3" w:name="OLE_LINK1"/>
      <w:r>
        <w:rPr>
          <w:rFonts w:hint="eastAsia" w:ascii="楷体" w:hAnsi="楷体" w:eastAsia="楷体" w:cs="楷体"/>
          <w:spacing w:val="8"/>
          <w:kern w:val="0"/>
          <w:sz w:val="32"/>
          <w:szCs w:val="32"/>
          <w:lang w:val="en-US" w:eastAsia="zh-CN"/>
        </w:rPr>
        <w:t>强化监督保障。</w:t>
      </w:r>
      <w:r>
        <w:rPr>
          <w:rFonts w:hint="eastAsia" w:ascii="仿宋_GB2312" w:hAnsi="宋体" w:eastAsia="仿宋_GB2312" w:cs="宋体"/>
          <w:spacing w:val="8"/>
          <w:kern w:val="0"/>
          <w:sz w:val="32"/>
          <w:szCs w:val="32"/>
          <w:lang w:val="en-US" w:eastAsia="zh-CN"/>
        </w:rPr>
        <w:t>将政务公开纳入科室年度考核，综合办公室对各科室及所属事业单位政务信息公开工作进行定期监督。对不按规定公开政务信息的，或者不及时公开已变更政务信息的，及时向主管领导汇报，并责令改正。</w:t>
      </w:r>
    </w:p>
    <w:bookmarkEnd w:id="0"/>
    <w:bookmarkEnd w:id="3"/>
    <w:p>
      <w:pPr>
        <w:keepNext w:val="0"/>
        <w:keepLines w:val="0"/>
        <w:pageBreakBefore w:val="0"/>
        <w:numPr>
          <w:ilvl w:val="0"/>
          <w:numId w:val="2"/>
        </w:numPr>
        <w:kinsoku/>
        <w:wordWrap/>
        <w:overflowPunct/>
        <w:topLinePunct w:val="0"/>
        <w:autoSpaceDE/>
        <w:autoSpaceDN/>
        <w:bidi w:val="0"/>
        <w:adjustRightInd/>
        <w:snapToGrid/>
        <w:spacing w:line="560" w:lineRule="exact"/>
        <w:ind w:left="-10" w:leftChars="0" w:firstLine="640" w:firstLineChars="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tbl>
      <w:tblPr>
        <w:tblStyle w:val="9"/>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lang w:val="en-US" w:eastAsia="zh-CN"/>
              </w:rPr>
              <w:t>6401</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宋体" w:hAnsi="宋体" w:cs="宋体"/>
                <w:color w:val="000000"/>
                <w:kern w:val="0"/>
                <w:sz w:val="20"/>
                <w:szCs w:val="20"/>
                <w:lang w:val="en-US" w:eastAsia="zh-CN" w:bidi="ar"/>
              </w:rPr>
              <w:t>2357</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lang w:val="en-US" w:eastAsia="zh-CN"/>
              </w:rPr>
              <w:t>396</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25"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numPr>
          <w:ilvl w:val="0"/>
          <w:numId w:val="2"/>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8"/>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1"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91"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1"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91"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12</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91"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4</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91"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lang w:val="en-US"/>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91"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lang w:val="en-US" w:eastAsia="zh-CN"/>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Calibri" w:hAnsi="Calibri" w:cs="Calibri"/>
                <w:kern w:val="0"/>
                <w:sz w:val="20"/>
                <w:szCs w:val="20"/>
                <w:lang w:val="en-US" w:eastAsia="zh-CN" w:bidi="ar"/>
              </w:rPr>
              <w:t>12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bookmarkStart w:id="6" w:name="_GoBack"/>
            <w:bookmarkEnd w:id="6"/>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13</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四、结转下年度继续办理</w:t>
            </w:r>
          </w:p>
        </w:tc>
        <w:tc>
          <w:tcPr>
            <w:tcW w:w="691"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r>
    </w:tbl>
    <w:p>
      <w:pPr>
        <w:pStyle w:val="5"/>
        <w:spacing w:line="560" w:lineRule="exact"/>
        <w:ind w:left="420" w:leftChars="200"/>
        <w:rPr>
          <w:rFonts w:hint="eastAsia"/>
        </w:rPr>
      </w:pPr>
    </w:p>
    <w:p>
      <w:pPr>
        <w:pStyle w:val="5"/>
        <w:spacing w:line="560" w:lineRule="exact"/>
        <w:ind w:left="420" w:leftChars="200"/>
        <w:rPr>
          <w:rFonts w:hint="eastAsia"/>
        </w:rPr>
      </w:pPr>
    </w:p>
    <w:p>
      <w:pPr>
        <w:pStyle w:val="5"/>
        <w:spacing w:line="560" w:lineRule="exact"/>
        <w:ind w:left="420" w:leftChars="200"/>
        <w:rPr>
          <w:rFonts w:hint="eastAsia"/>
        </w:rPr>
      </w:pPr>
    </w:p>
    <w:p>
      <w:pPr>
        <w:pStyle w:val="5"/>
        <w:spacing w:line="560" w:lineRule="exact"/>
        <w:ind w:left="420" w:leftChars="200"/>
        <w:rPr>
          <w:rFonts w:hint="eastAsia"/>
        </w:rPr>
      </w:pPr>
    </w:p>
    <w:p>
      <w:pPr>
        <w:pStyle w:val="5"/>
        <w:spacing w:line="560" w:lineRule="exact"/>
        <w:ind w:left="420" w:leftChars="200"/>
        <w:rPr>
          <w:rFonts w:hint="eastAsia"/>
        </w:rPr>
      </w:pPr>
    </w:p>
    <w:p>
      <w:pPr>
        <w:pStyle w:val="5"/>
        <w:spacing w:line="560" w:lineRule="exact"/>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widowControl/>
        <w:spacing w:line="560" w:lineRule="exact"/>
        <w:jc w:val="left"/>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72" w:firstLineChars="200"/>
        <w:jc w:val="both"/>
        <w:textAlignment w:val="auto"/>
        <w:rPr>
          <w:rFonts w:hint="eastAsia" w:ascii="黑体" w:hAnsi="黑体" w:eastAsia="黑体" w:cs="宋体"/>
          <w:spacing w:val="8"/>
          <w:kern w:val="0"/>
          <w:sz w:val="32"/>
          <w:szCs w:val="32"/>
          <w:lang w:eastAsia="zh-CN"/>
        </w:rPr>
      </w:pPr>
      <w:r>
        <w:rPr>
          <w:rFonts w:hint="eastAsia" w:ascii="黑体" w:hAnsi="黑体" w:eastAsia="黑体" w:cs="宋体"/>
          <w:spacing w:val="8"/>
          <w:kern w:val="0"/>
          <w:sz w:val="32"/>
          <w:szCs w:val="32"/>
          <w:lang w:eastAsia="zh-CN"/>
        </w:rPr>
        <w:t>五、</w:t>
      </w:r>
      <w:r>
        <w:rPr>
          <w:rFonts w:ascii="黑体" w:hAnsi="黑体" w:eastAsia="黑体" w:cs="宋体"/>
          <w:spacing w:val="8"/>
          <w:kern w:val="0"/>
          <w:sz w:val="32"/>
          <w:szCs w:val="32"/>
        </w:rPr>
        <w:t>存在的主要问题及</w:t>
      </w:r>
      <w:r>
        <w:rPr>
          <w:rFonts w:hint="eastAsia" w:ascii="黑体" w:hAnsi="黑体" w:eastAsia="黑体" w:cs="宋体"/>
          <w:spacing w:val="8"/>
          <w:kern w:val="0"/>
          <w:sz w:val="32"/>
          <w:szCs w:val="32"/>
          <w:lang w:eastAsia="zh-CN"/>
        </w:rPr>
        <w:t>下一步</w:t>
      </w:r>
      <w:r>
        <w:rPr>
          <w:rFonts w:ascii="黑体" w:hAnsi="黑体" w:eastAsia="黑体" w:cs="宋体"/>
          <w:spacing w:val="8"/>
          <w:kern w:val="0"/>
          <w:sz w:val="32"/>
          <w:szCs w:val="32"/>
        </w:rPr>
        <w:t>改进</w:t>
      </w:r>
      <w:r>
        <w:rPr>
          <w:rFonts w:hint="eastAsia" w:ascii="黑体" w:hAnsi="黑体" w:eastAsia="黑体" w:cs="宋体"/>
          <w:spacing w:val="8"/>
          <w:kern w:val="0"/>
          <w:sz w:val="32"/>
          <w:szCs w:val="32"/>
          <w:lang w:eastAsia="zh-CN"/>
        </w:rPr>
        <w:t>措施</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lang w:eastAsia="zh-CN"/>
        </w:rPr>
      </w:pPr>
      <w:r>
        <w:rPr>
          <w:rFonts w:hint="eastAsia" w:ascii="楷体" w:hAnsi="楷体" w:eastAsia="楷体" w:cs="楷体"/>
          <w:b w:val="0"/>
          <w:bCs/>
          <w:sz w:val="32"/>
          <w:szCs w:val="32"/>
        </w:rPr>
        <w:t>（</w:t>
      </w:r>
      <w:r>
        <w:rPr>
          <w:rFonts w:hint="eastAsia" w:ascii="楷体" w:hAnsi="楷体" w:eastAsia="楷体" w:cs="楷体"/>
          <w:b w:val="0"/>
          <w:bCs/>
          <w:sz w:val="32"/>
          <w:szCs w:val="32"/>
          <w:lang w:eastAsia="zh-CN"/>
        </w:rPr>
        <w:t>一</w:t>
      </w:r>
      <w:r>
        <w:rPr>
          <w:rFonts w:hint="eastAsia" w:ascii="楷体" w:hAnsi="楷体" w:eastAsia="楷体" w:cs="楷体"/>
          <w:b w:val="0"/>
          <w:bCs/>
          <w:sz w:val="32"/>
          <w:szCs w:val="32"/>
        </w:rPr>
        <w:t>）</w:t>
      </w:r>
      <w:r>
        <w:rPr>
          <w:rFonts w:hint="eastAsia" w:ascii="楷体" w:hAnsi="楷体" w:eastAsia="楷体" w:cs="楷体"/>
          <w:b w:val="0"/>
          <w:bCs/>
          <w:sz w:val="32"/>
          <w:szCs w:val="32"/>
          <w:lang w:eastAsia="zh-CN"/>
        </w:rPr>
        <w:t>主要问题</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公开形式创新性不足。信息公开虽运用了图文解读形式，但在新媒体平台应用、可视化呈现等方面存在欠缺。对于群众喜闻乐见的短视频、动漫、在线访谈等互动性强的公开形式探索较少，信息传播的覆盖面和影响力有待提升。</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业务能力建设需持续加强。部分工作人员对《政府信息公开条例》的理解和把握不够精准，在依申请公开办理过程中，对复杂申请事项的甄别、条例适用的准确性等方面仍有提升空间，且内部业务培训的常态化和针对性有待强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 w:hAnsi="楷体" w:eastAsia="楷体" w:cs="楷体"/>
          <w:b w:val="0"/>
          <w:bCs/>
          <w:sz w:val="32"/>
          <w:szCs w:val="32"/>
          <w:lang w:eastAsia="zh-CN"/>
        </w:rPr>
      </w:pPr>
      <w:bookmarkStart w:id="4" w:name="heading_8"/>
      <w:bookmarkStart w:id="5" w:name="OLE_LINK2"/>
      <w:r>
        <w:rPr>
          <w:rFonts w:hint="eastAsia" w:ascii="楷体" w:hAnsi="楷体" w:eastAsia="楷体" w:cs="楷体"/>
          <w:b w:val="0"/>
          <w:bCs/>
          <w:sz w:val="32"/>
          <w:szCs w:val="32"/>
        </w:rPr>
        <w:t>（二）改进</w:t>
      </w:r>
      <w:bookmarkEnd w:id="4"/>
      <w:r>
        <w:rPr>
          <w:rFonts w:hint="eastAsia" w:ascii="楷体" w:hAnsi="楷体" w:eastAsia="楷体" w:cs="楷体"/>
          <w:b w:val="0"/>
          <w:bCs/>
          <w:sz w:val="32"/>
          <w:szCs w:val="32"/>
          <w:lang w:eastAsia="zh-CN"/>
        </w:rPr>
        <w:t>措施</w:t>
      </w:r>
    </w:p>
    <w:bookmarkEnd w:id="5"/>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创新公开传播形式。优化政府网站信息公开专栏功能，同时积极拓展微信公众号、视频号等新媒体公开渠道。针对重要政策和民生关切，制作短视频解读、动漫图解等可视化产品，适时组织在线访谈活动，搭建政民互动桥梁，提升信息公开的可读性和传播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强化业务能力提升。建立常态化业务培训机制，定期组织《政府信息公开条例》及相关政策法规的专题培训，邀请专家开展案例教学，提升工作人员的政策理解和实操能力。规范依申请公开办理流程，制定常见问题答复指引，加强内部审核把关，确保办理过程规范、答复准确。</w:t>
      </w:r>
    </w:p>
    <w:p>
      <w:pPr>
        <w:keepNext w:val="0"/>
        <w:keepLines w:val="0"/>
        <w:pageBreakBefore w:val="0"/>
        <w:widowControl/>
        <w:kinsoku/>
        <w:wordWrap/>
        <w:overflowPunct/>
        <w:topLinePunct w:val="0"/>
        <w:autoSpaceDE/>
        <w:autoSpaceDN/>
        <w:bidi w:val="0"/>
        <w:adjustRightInd/>
        <w:snapToGrid/>
        <w:spacing w:line="560" w:lineRule="exact"/>
        <w:ind w:left="0" w:firstLine="672" w:firstLineChars="200"/>
        <w:jc w:val="both"/>
        <w:textAlignment w:val="auto"/>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2025年度，本机关未向政府信息公开申请人收取任何信息处理费用。除此之外，无其他需要报告的事项。</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pStyle w:val="5"/>
        <w:spacing w:line="560" w:lineRule="exact"/>
        <w:rPr>
          <w:rFonts w:hint="eastAsia"/>
        </w:rPr>
      </w:pPr>
    </w:p>
    <w:p>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jc w:val="left"/>
        <w:textAlignment w:val="auto"/>
        <w:rPr>
          <w:rFonts w:hint="eastAsia" w:ascii="仿宋" w:hAnsi="仿宋" w:eastAsia="仿宋" w:cs="仿宋"/>
          <w:sz w:val="32"/>
          <w:szCs w:val="32"/>
          <w:lang w:val="en-US" w:eastAsia="zh-CN"/>
        </w:rPr>
      </w:pPr>
      <w:r>
        <w:rPr>
          <w:rFonts w:hint="eastAsia" w:ascii="黑体" w:hAnsi="黑体" w:eastAsia="黑体" w:cs="黑体"/>
          <w:color w:val="000000"/>
          <w:sz w:val="32"/>
          <w:szCs w:val="32"/>
          <w:lang w:val="en-US" w:eastAsia="zh-CN"/>
        </w:rPr>
        <w:t xml:space="preserve">                                </w:t>
      </w:r>
      <w:r>
        <w:rPr>
          <w:rFonts w:hint="eastAsia" w:ascii="仿宋" w:hAnsi="仿宋" w:eastAsia="仿宋" w:cs="仿宋"/>
          <w:sz w:val="32"/>
          <w:szCs w:val="32"/>
          <w:lang w:val="en-US" w:eastAsia="zh-CN"/>
        </w:rPr>
        <w:t xml:space="preserve">    通州区交通委</w:t>
      </w:r>
    </w:p>
    <w:p>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2026年1月6日</w:t>
      </w: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pStyle w:val="5"/>
        <w:jc w:val="both"/>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A212E6-E6E0-4AB3-87B7-CF2E8D3BB1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962417E-948D-4B50-9480-2D5584C1D8C3}"/>
  </w:font>
  <w:font w:name="仿宋_GB2312">
    <w:panose1 w:val="02010609030101010101"/>
    <w:charset w:val="86"/>
    <w:family w:val="auto"/>
    <w:pitch w:val="default"/>
    <w:sig w:usb0="00000000" w:usb1="00000000" w:usb2="00000000" w:usb3="00000000" w:csb0="00000000" w:csb1="00000000"/>
    <w:embedRegular r:id="rId3" w:fontKey="{84ADDBFB-3378-4DB7-A2C8-E146A257DAB7}"/>
  </w:font>
  <w:font w:name="方正小标宋简体">
    <w:panose1 w:val="03000509000000000000"/>
    <w:charset w:val="86"/>
    <w:family w:val="auto"/>
    <w:pitch w:val="default"/>
    <w:sig w:usb0="00000000" w:usb1="00000000" w:usb2="00000000" w:usb3="00000000" w:csb0="00000000" w:csb1="00000000"/>
    <w:embedRegular r:id="rId4" w:fontKey="{641D09AE-803F-4C18-8799-BC2890414418}"/>
  </w:font>
  <w:font w:name="微软雅黑">
    <w:panose1 w:val="020B0503020204020204"/>
    <w:charset w:val="86"/>
    <w:family w:val="auto"/>
    <w:pitch w:val="default"/>
    <w:sig w:usb0="80000287" w:usb1="2ACF3C50" w:usb2="00000016" w:usb3="00000000" w:csb0="0004001F" w:csb1="00000000"/>
    <w:embedRegular r:id="rId5" w:fontKey="{7B023868-C9AF-4FA4-A450-30207292A309}"/>
  </w:font>
  <w:font w:name="楷体">
    <w:panose1 w:val="02010609060101010101"/>
    <w:charset w:val="86"/>
    <w:family w:val="modern"/>
    <w:pitch w:val="default"/>
    <w:sig w:usb0="800002BF" w:usb1="38CF7CFA" w:usb2="00000016" w:usb3="00000000" w:csb0="00040001" w:csb1="00000000"/>
    <w:embedRegular r:id="rId6" w:fontKey="{A2A6EC2C-99F9-4D87-80C3-72DFA98EC246}"/>
  </w:font>
  <w:font w:name="仿宋">
    <w:panose1 w:val="02010609060101010101"/>
    <w:charset w:val="86"/>
    <w:family w:val="auto"/>
    <w:pitch w:val="default"/>
    <w:sig w:usb0="800002BF" w:usb1="38CF7CFA" w:usb2="00000016" w:usb3="00000000" w:csb0="00040001" w:csb1="00000000"/>
    <w:embedRegular r:id="rId7" w:fontKey="{B2A95A02-3F97-4388-900D-7F635973EF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abstractNum w:abstractNumId="1">
    <w:nsid w:val="47906E0D"/>
    <w:multiLevelType w:val="singleLevel"/>
    <w:tmpl w:val="47906E0D"/>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1F0403A"/>
    <w:rsid w:val="03D909D4"/>
    <w:rsid w:val="05D85E3B"/>
    <w:rsid w:val="05E4647C"/>
    <w:rsid w:val="06713B9F"/>
    <w:rsid w:val="084B472A"/>
    <w:rsid w:val="0910796B"/>
    <w:rsid w:val="0ABA6173"/>
    <w:rsid w:val="0AE80091"/>
    <w:rsid w:val="0B3506F5"/>
    <w:rsid w:val="0B9064BE"/>
    <w:rsid w:val="0C082AAD"/>
    <w:rsid w:val="0C8A5A23"/>
    <w:rsid w:val="0CC11C92"/>
    <w:rsid w:val="0D142104"/>
    <w:rsid w:val="0D4D52FA"/>
    <w:rsid w:val="0E36675F"/>
    <w:rsid w:val="0E462BA1"/>
    <w:rsid w:val="0F071AFE"/>
    <w:rsid w:val="11205883"/>
    <w:rsid w:val="12DB6CC1"/>
    <w:rsid w:val="13002EED"/>
    <w:rsid w:val="13373808"/>
    <w:rsid w:val="134E798B"/>
    <w:rsid w:val="14225940"/>
    <w:rsid w:val="14795146"/>
    <w:rsid w:val="14A80DA5"/>
    <w:rsid w:val="168E2390"/>
    <w:rsid w:val="176A64E6"/>
    <w:rsid w:val="17D26A70"/>
    <w:rsid w:val="196E6BC6"/>
    <w:rsid w:val="1A7D285E"/>
    <w:rsid w:val="1B2C1A76"/>
    <w:rsid w:val="1B543C65"/>
    <w:rsid w:val="1B666D00"/>
    <w:rsid w:val="1C947772"/>
    <w:rsid w:val="1CFB041C"/>
    <w:rsid w:val="1D155742"/>
    <w:rsid w:val="1DBF0083"/>
    <w:rsid w:val="1E676D91"/>
    <w:rsid w:val="1EDF18B6"/>
    <w:rsid w:val="1FFB0140"/>
    <w:rsid w:val="20BB20C0"/>
    <w:rsid w:val="22C310BD"/>
    <w:rsid w:val="22F619EB"/>
    <w:rsid w:val="23842554"/>
    <w:rsid w:val="23D24851"/>
    <w:rsid w:val="24010760"/>
    <w:rsid w:val="25315F52"/>
    <w:rsid w:val="26913541"/>
    <w:rsid w:val="26FC5A54"/>
    <w:rsid w:val="28EB582E"/>
    <w:rsid w:val="29550541"/>
    <w:rsid w:val="299920BB"/>
    <w:rsid w:val="2A8E0F73"/>
    <w:rsid w:val="2B4A6283"/>
    <w:rsid w:val="2B747456"/>
    <w:rsid w:val="2BEB3657"/>
    <w:rsid w:val="2CE40508"/>
    <w:rsid w:val="2D2F556D"/>
    <w:rsid w:val="2D47153F"/>
    <w:rsid w:val="2D5D48D9"/>
    <w:rsid w:val="2D862FF9"/>
    <w:rsid w:val="2E3C43E6"/>
    <w:rsid w:val="2ED871E9"/>
    <w:rsid w:val="30807B4B"/>
    <w:rsid w:val="31413674"/>
    <w:rsid w:val="318DF538"/>
    <w:rsid w:val="319F2879"/>
    <w:rsid w:val="3221404A"/>
    <w:rsid w:val="327FC6D4"/>
    <w:rsid w:val="332871CB"/>
    <w:rsid w:val="33BD4470"/>
    <w:rsid w:val="34817233"/>
    <w:rsid w:val="36C14165"/>
    <w:rsid w:val="36CF347B"/>
    <w:rsid w:val="373F4A34"/>
    <w:rsid w:val="385E5017"/>
    <w:rsid w:val="3967423C"/>
    <w:rsid w:val="397D7418"/>
    <w:rsid w:val="3A6975A0"/>
    <w:rsid w:val="3B546DFA"/>
    <w:rsid w:val="3BAE1062"/>
    <w:rsid w:val="3BAE423B"/>
    <w:rsid w:val="3BE8322F"/>
    <w:rsid w:val="3BF015BF"/>
    <w:rsid w:val="3C246C86"/>
    <w:rsid w:val="3F177636"/>
    <w:rsid w:val="3F380047"/>
    <w:rsid w:val="3F5F3B36"/>
    <w:rsid w:val="3FD15EAF"/>
    <w:rsid w:val="402779A7"/>
    <w:rsid w:val="40DD0B8E"/>
    <w:rsid w:val="42E97153"/>
    <w:rsid w:val="43202EB0"/>
    <w:rsid w:val="43F21CDD"/>
    <w:rsid w:val="44DA5705"/>
    <w:rsid w:val="44F55CE1"/>
    <w:rsid w:val="47064A15"/>
    <w:rsid w:val="488E7D6F"/>
    <w:rsid w:val="4A751FBB"/>
    <w:rsid w:val="4AC12232"/>
    <w:rsid w:val="4B7A615D"/>
    <w:rsid w:val="4CF21E21"/>
    <w:rsid w:val="4CF54579"/>
    <w:rsid w:val="4D9531E6"/>
    <w:rsid w:val="4E767533"/>
    <w:rsid w:val="4F9E0E2B"/>
    <w:rsid w:val="52305BB2"/>
    <w:rsid w:val="52540883"/>
    <w:rsid w:val="535D2A8E"/>
    <w:rsid w:val="537A699B"/>
    <w:rsid w:val="53A771E4"/>
    <w:rsid w:val="53CD1E8A"/>
    <w:rsid w:val="53D538D6"/>
    <w:rsid w:val="54BC0A6D"/>
    <w:rsid w:val="54DA32C1"/>
    <w:rsid w:val="54FB6504"/>
    <w:rsid w:val="561861CC"/>
    <w:rsid w:val="566E25A6"/>
    <w:rsid w:val="56980686"/>
    <w:rsid w:val="56FD5545"/>
    <w:rsid w:val="584339B6"/>
    <w:rsid w:val="588F2458"/>
    <w:rsid w:val="59C470E1"/>
    <w:rsid w:val="5B282270"/>
    <w:rsid w:val="5B45742E"/>
    <w:rsid w:val="5B885BB0"/>
    <w:rsid w:val="5E005FC3"/>
    <w:rsid w:val="5F0C50B4"/>
    <w:rsid w:val="61B57F26"/>
    <w:rsid w:val="628544F4"/>
    <w:rsid w:val="63941218"/>
    <w:rsid w:val="63E85179"/>
    <w:rsid w:val="661750EF"/>
    <w:rsid w:val="67201D7D"/>
    <w:rsid w:val="67384093"/>
    <w:rsid w:val="67924E8D"/>
    <w:rsid w:val="691875C8"/>
    <w:rsid w:val="6AEE2157"/>
    <w:rsid w:val="6B4A6F94"/>
    <w:rsid w:val="6BA505A7"/>
    <w:rsid w:val="6BD8207B"/>
    <w:rsid w:val="6C660F51"/>
    <w:rsid w:val="6C7926D4"/>
    <w:rsid w:val="6CB25261"/>
    <w:rsid w:val="6D1E25CC"/>
    <w:rsid w:val="6D5D5120"/>
    <w:rsid w:val="6D677B57"/>
    <w:rsid w:val="6DE128CD"/>
    <w:rsid w:val="6EAD309C"/>
    <w:rsid w:val="6EB760D5"/>
    <w:rsid w:val="6FE850EB"/>
    <w:rsid w:val="707668F2"/>
    <w:rsid w:val="71151F93"/>
    <w:rsid w:val="74550C88"/>
    <w:rsid w:val="74AF4CFD"/>
    <w:rsid w:val="74C72DEA"/>
    <w:rsid w:val="75432B9D"/>
    <w:rsid w:val="761942CF"/>
    <w:rsid w:val="782567A5"/>
    <w:rsid w:val="79333E39"/>
    <w:rsid w:val="79756DEC"/>
    <w:rsid w:val="7B0C506C"/>
    <w:rsid w:val="7B366E6B"/>
    <w:rsid w:val="7BDB1E9F"/>
    <w:rsid w:val="7C417667"/>
    <w:rsid w:val="7C55591F"/>
    <w:rsid w:val="7C99604F"/>
    <w:rsid w:val="7ECB27F6"/>
    <w:rsid w:val="7FFA135B"/>
    <w:rsid w:val="B79B2EF7"/>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9"/>
    <w:basedOn w:val="1"/>
    <w:next w:val="1"/>
    <w:unhideWhenUsed/>
    <w:qFormat/>
    <w:uiPriority w:val="99"/>
    <w:pPr>
      <w:widowControl w:val="0"/>
      <w:spacing w:line="560" w:lineRule="exact"/>
      <w:ind w:left="3360" w:firstLine="862" w:firstLineChars="200"/>
      <w:jc w:val="left"/>
    </w:pPr>
    <w:rPr>
      <w:rFonts w:ascii="Times New Roman" w:hAnsi="Times New Roman" w:eastAsia="仿宋_GB2312" w:cs="Times New Roman"/>
      <w:kern w:val="2"/>
      <w:sz w:val="32"/>
      <w:szCs w:val="20"/>
      <w:lang w:val="en-US" w:eastAsia="zh-CN" w:bidi="ar-SA"/>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5743</Words>
  <Characters>6080</Characters>
  <Lines>0</Lines>
  <Paragraphs>0</Paragraphs>
  <TotalTime>4</TotalTime>
  <ScaleCrop>false</ScaleCrop>
  <LinksUpToDate>false</LinksUpToDate>
  <CharactersWithSpaces>6343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2020-12-16T15:14:00Z</dcterms:created>
  <dc:creator>HS</dc:creator>
  <cp:lastModifiedBy>MSI-NB</cp:lastModifiedBy>
  <cp:lastPrinted>2026-01-08T01:47:00Z</cp:lastPrinted>
  <dcterms:modified xsi:type="dcterms:W3CDTF">2026-01-09T09:32:02Z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FE31FDA3AF9A44E7908C228B7DFF7827_13</vt:lpwstr>
  </property>
</Properties>
</file>