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7BE30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40" w:lineRule="exact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w w:val="100"/>
          <w:positio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w w:val="100"/>
          <w:position w:val="0"/>
          <w:sz w:val="44"/>
          <w:szCs w:val="44"/>
        </w:rPr>
        <w:t>关于北京城市副中心支持农业产业</w:t>
      </w:r>
    </w:p>
    <w:p w14:paraId="37381FEB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40" w:lineRule="exact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w w:val="100"/>
          <w:positio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w w:val="100"/>
          <w:position w:val="0"/>
          <w:sz w:val="44"/>
          <w:szCs w:val="44"/>
        </w:rPr>
        <w:t>高质量发展的若干措施</w:t>
      </w:r>
    </w:p>
    <w:p w14:paraId="68851118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40" w:lineRule="exact"/>
        <w:jc w:val="both"/>
        <w:textAlignment w:val="baseline"/>
        <w:rPr>
          <w:rFonts w:ascii="Arial"/>
          <w:sz w:val="21"/>
        </w:rPr>
      </w:pPr>
    </w:p>
    <w:p w14:paraId="4589ED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/>
        <w:jc w:val="center"/>
        <w:textAlignment w:val="auto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第一章 </w:t>
      </w: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pacing w:val="0"/>
          <w:sz w:val="32"/>
          <w:szCs w:val="32"/>
        </w:rPr>
        <w:t>总则</w:t>
      </w:r>
    </w:p>
    <w:p w14:paraId="3E95AB5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40" w:lineRule="exact"/>
        <w:ind w:left="0" w:right="0" w:firstLine="640" w:firstLineChars="200"/>
        <w:jc w:val="both"/>
        <w:textAlignment w:val="baseline"/>
        <w:rPr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为深入落实国家及北京市种业振兴战略部署，激活现代种业、种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养殖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业发展新动能，培育农业新质生产力，助力北京“种业之都”建设，依据《国务院关于支持北京城市副中心高质量发展的意见》（国发〔2021〕15号）、《北京种业振兴实施方案》（京办字〔2022〕5号）、《关于推动种业企业高质量发展的工作意见》（京政农发〔2025〕42号）等文件精神，特制定本措施。</w:t>
      </w:r>
    </w:p>
    <w:p w14:paraId="1C870E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right="0" w:firstLine="0" w:firstLineChars="0"/>
        <w:jc w:val="center"/>
        <w:textAlignment w:val="auto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第</w:t>
      </w:r>
      <w:r>
        <w:rPr>
          <w:rFonts w:hint="eastAsia" w:ascii="黑体" w:hAnsi="黑体" w:eastAsia="黑体" w:cs="黑体"/>
          <w:spacing w:val="0"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spacing w:val="0"/>
          <w:sz w:val="32"/>
          <w:szCs w:val="32"/>
        </w:rPr>
        <w:t>章 </w:t>
      </w: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pacing w:val="0"/>
          <w:sz w:val="32"/>
          <w:szCs w:val="32"/>
        </w:rPr>
        <w:t>支持</w:t>
      </w: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内容</w:t>
      </w:r>
      <w:r>
        <w:rPr>
          <w:rFonts w:hint="eastAsia" w:ascii="黑体" w:hAnsi="黑体" w:eastAsia="黑体" w:cs="黑体"/>
          <w:spacing w:val="0"/>
          <w:sz w:val="32"/>
          <w:szCs w:val="32"/>
        </w:rPr>
        <w:t>及标准</w:t>
      </w:r>
    </w:p>
    <w:p w14:paraId="123FC11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40" w:lineRule="exact"/>
        <w:ind w:left="0" w:righ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en-US"/>
        </w:rPr>
        <w:t>第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en-US"/>
        </w:rPr>
        <w:t>条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支持原则。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本措施所涉支持资金的使用和管理坚持公开、公平、公正，遵循分类培育、全链赋能原则，推动种业与种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养殖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业融合发展。</w:t>
      </w:r>
    </w:p>
    <w:p w14:paraId="732A664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40" w:lineRule="exact"/>
        <w:ind w:left="0" w:righ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第二条 适用范围。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本措施适用于依法经营的种业、种植业、养殖业企业，以及相关服务机构。</w:t>
      </w:r>
    </w:p>
    <w:p w14:paraId="77AEFA0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40" w:lineRule="exact"/>
        <w:ind w:left="0" w:righ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en-US"/>
        </w:rPr>
        <w:t>第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en-US"/>
        </w:rPr>
        <w:t>条 支持全产业链一体化发展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强化全产业链运营能力，支持企业打造“育繁推一体化”“产供销一体化”发展模式，带动种业创新链、种植业产业链协同发展。对“育繁推一体化”或“产供销一体化”的企业，最高给予一次性300万元支持。</w:t>
      </w:r>
    </w:p>
    <w:p w14:paraId="7AA2925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40" w:lineRule="exact"/>
        <w:ind w:left="0" w:righ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en-US"/>
        </w:rPr>
        <w:t>第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en-US"/>
        </w:rPr>
        <w:t>条 推动企业提升服务能力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推动企业自主创新提升研发服务能力，增强产业核心竞争力。对研发服务能力提升的企业，最高给予200万元支持。支持标准：</w:t>
      </w:r>
    </w:p>
    <w:p w14:paraId="331736C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4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）对主要农作物选育生产经营相结合、有效区域为全国的种业企业，拥有专门的育种材料，完整的科研育种档案，作为第一育种者的新品种不少于3个，最高给予200万元支持；</w:t>
      </w:r>
    </w:p>
    <w:p w14:paraId="0AD7A64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4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）对主要农作物杂交种子及其亲本种子的种业企业，具有种子研发的仪器设备，能够开展品种分子鉴定，拥有新品种不少于2个，最高给予100万元支持；</w:t>
      </w:r>
    </w:p>
    <w:p w14:paraId="7206F4D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4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）对主要农作物常规种子或非主要农作物种业企业，具有满足种子质量常规检测需要的检验仪器，拥有新品种不少于1个，最高给予50万元支持；</w:t>
      </w:r>
    </w:p>
    <w:p w14:paraId="0BCBA49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4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）对转基因农作物种子企业，具有农业转基因生物安全管理人员、相应的农业转基因生物安全管理、防范措施，或从事种子进出口业务的，最高给予50万元支持。</w:t>
      </w:r>
    </w:p>
    <w:p w14:paraId="3F99C25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40" w:lineRule="exact"/>
        <w:ind w:left="0" w:righ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en-US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en-US"/>
        </w:rPr>
        <w:t>第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en-US"/>
        </w:rPr>
        <w:t>条 加强科创载体建设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en-US"/>
        </w:rPr>
        <w:t>聚焦种业科技创新核心需求，支持发展建设高水平研发转化载体。对研发中心、成果转化基地、实验站、前沿科学中心、中试转化平台等科创载体建设项目，最高给予一次性50万元支持；对承担省级及以上农业科技项目任务的企业或机构，最高给予一次性80万元支持。</w:t>
      </w:r>
    </w:p>
    <w:p w14:paraId="6CC125C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40" w:lineRule="exact"/>
        <w:ind w:left="0" w:righ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en-US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en-US"/>
        </w:rPr>
        <w:t>第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en-US"/>
        </w:rPr>
        <w:t>条 加大新品种研发创新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en-US"/>
        </w:rPr>
        <w:t>加大育种创新攻关支持力度，支持基因编辑、全基因组选择育种、转基因等国际生物育种前沿技术应用。对开展种子研发，获得新品种权益及自主选育创新成果的，给予阶梯式支持，最高给予100万元支持。支持标准：</w:t>
      </w:r>
    </w:p>
    <w:p w14:paraId="60AC3CC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4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en-US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en-US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en-US"/>
        </w:rPr>
        <w:t>）对新获得的全国推广农作物品种，每个最高给予50万元支持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；对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en-US"/>
        </w:rPr>
        <w:t>新获得的省级推广的农作物品种，每个最高给予20万元支持；单个企业每年最高支持100万元。</w:t>
      </w:r>
    </w:p>
    <w:p w14:paraId="14E0D45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4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en-US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en-US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en-US"/>
        </w:rPr>
        <w:t>）对新获得的植物新品种，每个最高给予10万元支持，单个企业每年最高支持30万元。</w:t>
      </w:r>
    </w:p>
    <w:p w14:paraId="433471B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40" w:lineRule="exact"/>
        <w:ind w:left="0" w:righ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en-US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en-US"/>
        </w:rPr>
        <w:t>第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en-US"/>
        </w:rPr>
        <w:t>条 支持育种科研示范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en-US"/>
        </w:rPr>
        <w:t>立足乡村振兴发展要求，支持开展育种科研和试验示范，对开展种子研发的种业企业或机构，根据种子研发和试验示范的品种，最高给予200万元支持。</w:t>
      </w:r>
    </w:p>
    <w:p w14:paraId="6CAAA01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40" w:lineRule="exact"/>
        <w:ind w:left="0" w:righ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en-US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en-US"/>
        </w:rPr>
        <w:t>第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en-US"/>
        </w:rPr>
        <w:t>条 支持特色农业品牌建设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en-US"/>
        </w:rPr>
        <w:t>因地制宜发展特色农业，打造城市副中心特色农业品牌，加快种业优良品种转化推广。对开展优新品种推广种植、养殖的企业，单个品种最高给予一次性2万元支持，同一单位最高支持10万元。</w:t>
      </w:r>
    </w:p>
    <w:p w14:paraId="714CEDD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40" w:lineRule="exact"/>
        <w:ind w:left="0" w:righ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en-US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en-US"/>
        </w:rPr>
        <w:t>第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九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en-US"/>
        </w:rPr>
        <w:t>条 支持农业科技应用场景建设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en-US"/>
        </w:rPr>
        <w:t>支持智慧农业、农业优新品种、智能育种、生物技术育种产业化、新型微生物产品，以及生态农业、科技绿色农业示范模式等领域的应用场景建设，推动新技术、新产品、新模式，对相关应用场景建设项目，最高给予300万元支持。支持标准：</w:t>
      </w:r>
    </w:p>
    <w:p w14:paraId="4D6406E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4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en-US"/>
        </w:rPr>
        <w:t>对应用场景项目建设完成且投入正式运营后，按照应用场景的研发投入占比、信息化或智能装备率、发明专利、场景示范应用等（以上任一指标表现突出即可），最高支持300万元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。</w:t>
      </w:r>
    </w:p>
    <w:p w14:paraId="79E8759F">
      <w:pPr>
        <w:keepNext w:val="0"/>
        <w:keepLines w:val="0"/>
        <w:pageBreakBefore w:val="0"/>
        <w:widowControl/>
        <w:suppressLineNumbers w:val="0"/>
        <w:wordWrap/>
        <w:overflowPunct/>
        <w:bidi w:val="0"/>
        <w:spacing w:line="540" w:lineRule="exact"/>
        <w:ind w:firstLine="643" w:firstLineChars="200"/>
        <w:jc w:val="both"/>
        <w:rPr>
          <w:sz w:val="32"/>
          <w:szCs w:val="32"/>
        </w:rPr>
      </w:pPr>
      <w:r>
        <w:rPr>
          <w:rFonts w:ascii="仿宋_GB2312" w:hAnsi="宋体" w:eastAsia="仿宋_GB2312" w:cs="仿宋_GB2312"/>
          <w:b/>
          <w:bCs/>
          <w:snapToGrid w:val="0"/>
          <w:color w:val="000000"/>
          <w:kern w:val="0"/>
          <w:sz w:val="32"/>
          <w:szCs w:val="32"/>
          <w:lang w:val="en-US" w:eastAsia="zh-CN" w:bidi="ar"/>
        </w:rPr>
        <w:t xml:space="preserve">第十条 </w:t>
      </w:r>
      <w:r>
        <w:rPr>
          <w:rFonts w:hint="eastAsia" w:ascii="仿宋_GB2312" w:hAnsi="宋体" w:eastAsia="仿宋_GB2312" w:cs="仿宋_GB2312"/>
          <w:b/>
          <w:bCs/>
          <w:snapToGrid w:val="0"/>
          <w:color w:val="000000"/>
          <w:kern w:val="0"/>
          <w:sz w:val="32"/>
          <w:szCs w:val="32"/>
          <w:lang w:val="en-US" w:eastAsia="zh-CN" w:bidi="ar"/>
        </w:rPr>
        <w:t>支持产业协作与科技交流。</w:t>
      </w:r>
      <w:r>
        <w:rPr>
          <w:rFonts w:hint="eastAsia" w:ascii="仿宋_GB2312" w:hAnsi="宋体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  <w:t>鼓励企业参加、举办、承办国际国内相关产业协作或科技交流，支持企业“走出去”开展国际交流合作。对承办的国际国内相关产业协作或科技交流，根据累计参与规模，最高给予50万元支持；对参加国际、国内种业大型产业协作或科技交流的企业，根据参与规模，最高给予10万元支持。</w:t>
      </w:r>
    </w:p>
    <w:p w14:paraId="4D430C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right="0" w:firstLine="0" w:firstLineChars="0"/>
        <w:jc w:val="center"/>
        <w:textAlignment w:val="auto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第</w:t>
      </w: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pacing w:val="0"/>
          <w:sz w:val="32"/>
          <w:szCs w:val="32"/>
        </w:rPr>
        <w:t>章 </w:t>
      </w: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pacing w:val="0"/>
          <w:sz w:val="32"/>
          <w:szCs w:val="32"/>
        </w:rPr>
        <w:t>资金申报与管理</w:t>
      </w:r>
    </w:p>
    <w:p w14:paraId="07815EE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40" w:lineRule="exact"/>
        <w:ind w:left="0" w:righ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en-US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en-US"/>
        </w:rPr>
        <w:t>第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十一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en-US"/>
        </w:rPr>
        <w:t>条 申报流程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en-US"/>
        </w:rPr>
        <w:t>申报主体根据申报通知向通州区农业农村局递交申请材料，通州区农业农村局会同相关部门按照分类审核、专家评审的流程开展审核工作。</w:t>
      </w:r>
    </w:p>
    <w:p w14:paraId="540B343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40" w:lineRule="exact"/>
        <w:ind w:left="0" w:right="0" w:firstLine="643" w:firstLineChars="200"/>
        <w:jc w:val="both"/>
        <w:textAlignment w:val="baseline"/>
        <w:rPr>
          <w:spacing w:val="0"/>
          <w:sz w:val="32"/>
          <w:szCs w:val="32"/>
          <w:lang w:val="en-US" w:eastAsia="en-US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en-US"/>
        </w:rPr>
        <w:t>第十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en-US"/>
        </w:rPr>
        <w:t>条 申报要求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en-US"/>
        </w:rPr>
        <w:t>申报主体对申请材料的合法性、真实性和有效性负全部责任。若申报主体涉及伪造、编造申请资料，或违反相关法律法规获取支持资金，造成严重后果的，将移交司法机关处理。</w:t>
      </w:r>
    </w:p>
    <w:p w14:paraId="7F5234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right="0" w:firstLine="0" w:firstLineChars="0"/>
        <w:jc w:val="center"/>
        <w:textAlignment w:val="auto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第</w:t>
      </w: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pacing w:val="0"/>
          <w:sz w:val="32"/>
          <w:szCs w:val="32"/>
        </w:rPr>
        <w:t>章 </w:t>
      </w: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 xml:space="preserve">  </w:t>
      </w:r>
      <w:r>
        <w:rPr>
          <w:rFonts w:ascii="黑体" w:hAnsi="黑体" w:eastAsia="黑体" w:cs="黑体"/>
          <w:spacing w:val="0"/>
          <w:sz w:val="32"/>
          <w:szCs w:val="32"/>
        </w:rPr>
        <w:t>附则</w:t>
      </w:r>
    </w:p>
    <w:p w14:paraId="5DBE849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40" w:lineRule="exact"/>
        <w:ind w:left="0" w:right="0" w:firstLine="640" w:firstLineChars="200"/>
        <w:jc w:val="both"/>
        <w:textAlignment w:val="baseline"/>
        <w:rPr>
          <w:rFonts w:hint="eastAsia" w:eastAsia="仿宋_GB2312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en-US"/>
        </w:rPr>
        <w:t>本措施由通州区农业农村局负责解释，自发布之日起施行。《关于北京城市副中心农业产业高质量发展的实施细则（修订版）》（通农发〔2025〕2 号）同时废止。同一项目、同一事项同时符合本措施多项条款或通州区其他扶持政策的，按照“从优不重复”原则给予支持。执行期间，</w:t>
      </w:r>
      <w:bookmarkStart w:id="0" w:name="_GoBack"/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en-US"/>
        </w:rPr>
        <w:t>法律、法规</w:t>
      </w:r>
      <w:bookmarkEnd w:id="0"/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en-US"/>
        </w:rPr>
        <w:t>、规章另有规定或遇政策调整的，从其规定。</w:t>
      </w:r>
    </w:p>
    <w:sectPr>
      <w:headerReference r:id="rId5" w:type="default"/>
      <w:footerReference r:id="rId6" w:type="default"/>
      <w:pgSz w:w="11906" w:h="16839"/>
      <w:pgMar w:top="2098" w:right="1474" w:bottom="1984" w:left="1587" w:header="0" w:footer="987" w:gutter="0"/>
      <w:pgNumType w:fmt="decimal" w:start="2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9A38E8">
    <w:pPr>
      <w:spacing w:line="167" w:lineRule="auto"/>
      <w:ind w:left="4287"/>
      <w:rPr>
        <w:rFonts w:ascii="Calibri" w:hAnsi="Calibri" w:eastAsia="Calibri" w:cs="Calibri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AE1BBA">
                          <w:pPr>
                            <w:pStyle w:val="3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AE1BBA">
                    <w:pPr>
                      <w:pStyle w:val="3"/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097886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041558E"/>
    <w:rsid w:val="074C4CDB"/>
    <w:rsid w:val="0F486074"/>
    <w:rsid w:val="0FA24718"/>
    <w:rsid w:val="16D778C3"/>
    <w:rsid w:val="23927C45"/>
    <w:rsid w:val="2C8071F5"/>
    <w:rsid w:val="316F1465"/>
    <w:rsid w:val="371A4404"/>
    <w:rsid w:val="3C7C33B3"/>
    <w:rsid w:val="4108086E"/>
    <w:rsid w:val="605D626C"/>
    <w:rsid w:val="60C45161"/>
    <w:rsid w:val="62CF118C"/>
    <w:rsid w:val="64063620"/>
    <w:rsid w:val="65E87073"/>
    <w:rsid w:val="78842FC0"/>
    <w:rsid w:val="79B249CA"/>
    <w:rsid w:val="7A4E504B"/>
    <w:rsid w:val="7EF65C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74f19410-90b2-4856-87a2-0938b646c99f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5DBE849D</paraID>
      <start>128</start>
      <end>133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9f6f74-2782-40c3-a448-825b67fc258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2181</Words>
  <Characters>2227</Characters>
  <TotalTime>0</TotalTime>
  <ScaleCrop>false</ScaleCrop>
  <LinksUpToDate>false</LinksUpToDate>
  <CharactersWithSpaces>2304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2026-05-24T17:29:00Z</dcterms:created>
  <dc:creator>马思博</dc:creator>
  <cp:lastModifiedBy>Kim</cp:lastModifiedBy>
  <cp:lastPrinted>2026-06-09T01:55:00Z</cp:lastPrinted>
  <dcterms:modified xsi:type="dcterms:W3CDTF">2026-06-12T12:02:14Z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2026-05-24T18:39:01Z</vt:filetime>
  </property>
  <property fmtid="{D5CDD505-2E9C-101B-9397-08002B2CF9AE}" pid="4" name="KSOTemplateDocerSaveRecord">
    <vt:lpwstr>eyJoZGlkIjoiNGMyNGIwYjVlN2M1YWQ5NjlkYjVlNmJmZWNkZmFlMjIiLCJ1c2VySWQiOiIzNDEyMzc1OTMifQ==</vt:lpwstr>
  </property>
  <property fmtid="{D5CDD505-2E9C-101B-9397-08002B2CF9AE}" pid="5" name="KSOProductBuildVer">
    <vt:lpwstr>2052-12.1.0.26895</vt:lpwstr>
  </property>
  <property fmtid="{D5CDD505-2E9C-101B-9397-08002B2CF9AE}" pid="6" name="ICV">
    <vt:lpwstr>AF84C8C5093F490890873B8B294A0E9A_13</vt:lpwstr>
  </property>
</Properties>
</file>