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8190"/>
        </w:tabs>
        <w:kinsoku/>
        <w:wordWrap/>
        <w:overflowPunct/>
        <w:topLinePunct w:val="0"/>
        <w:autoSpaceDE/>
        <w:autoSpaceDN/>
        <w:bidi w:val="0"/>
        <w:adjustRightInd/>
        <w:snapToGrid/>
        <w:spacing w:line="360" w:lineRule="exact"/>
        <w:ind w:firstLine="640" w:firstLineChars="200"/>
        <w:jc w:val="both"/>
        <w:textAlignment w:val="auto"/>
        <w:rPr>
          <w:rFonts w:ascii="仿宋_GB2312" w:hAnsi="宋体" w:eastAsia="仿宋_GB2312" w:cs="Times New Roman"/>
          <w:kern w:val="2"/>
          <w:sz w:val="32"/>
          <w:szCs w:val="32"/>
          <w:lang w:val="en-US" w:eastAsia="zh-CN" w:bidi="ar-SA"/>
        </w:rPr>
      </w:pPr>
      <w:bookmarkStart w:id="0" w:name="_Hlt44488104"/>
      <w:bookmarkEnd w:id="0"/>
    </w:p>
    <w:p>
      <w:pPr>
        <w:keepNext w:val="0"/>
        <w:keepLines w:val="0"/>
        <w:pageBreakBefore w:val="0"/>
        <w:widowControl w:val="0"/>
        <w:tabs>
          <w:tab w:val="left" w:pos="8190"/>
        </w:tabs>
        <w:kinsoku/>
        <w:wordWrap/>
        <w:overflowPunct/>
        <w:topLinePunct w:val="0"/>
        <w:autoSpaceDE/>
        <w:autoSpaceDN/>
        <w:bidi w:val="0"/>
        <w:adjustRightInd/>
        <w:snapToGrid/>
        <w:spacing w:line="360" w:lineRule="exact"/>
        <w:ind w:firstLine="640" w:firstLineChars="200"/>
        <w:jc w:val="both"/>
        <w:textAlignment w:val="auto"/>
        <w:rPr>
          <w:rFonts w:ascii="仿宋_GB2312" w:hAnsi="宋体" w:eastAsia="仿宋_GB2312" w:cs="Times New Roman"/>
          <w:kern w:val="2"/>
          <w:sz w:val="32"/>
          <w:szCs w:val="32"/>
          <w:lang w:val="en-US" w:eastAsia="zh-CN" w:bidi="ar-SA"/>
        </w:rPr>
      </w:pPr>
    </w:p>
    <w:p>
      <w:pPr>
        <w:widowControl w:val="0"/>
        <w:snapToGrid w:val="0"/>
        <w:spacing w:before="561" w:beforeLines="180" w:line="1000" w:lineRule="exact"/>
        <w:jc w:val="center"/>
        <w:rPr>
          <w:rFonts w:ascii="方正小标宋简体" w:hAnsi="小标宋" w:eastAsia="方正小标宋简体" w:cs="Times New Roman"/>
          <w:color w:val="FF0000"/>
          <w:spacing w:val="-12"/>
          <w:w w:val="79"/>
          <w:kern w:val="2"/>
          <w:sz w:val="96"/>
          <w:szCs w:val="96"/>
          <w:lang w:val="en-US" w:eastAsia="zh-CN" w:bidi="ar-SA"/>
        </w:rPr>
      </w:pPr>
      <w:r>
        <w:rPr>
          <w:rFonts w:hint="eastAsia" w:ascii="方正小标宋简体" w:hAnsi="小标宋" w:eastAsia="方正小标宋简体" w:cs="方正小标宋简体"/>
          <w:color w:val="FF0000"/>
          <w:spacing w:val="-12"/>
          <w:w w:val="77"/>
          <w:kern w:val="2"/>
          <w:sz w:val="96"/>
          <w:szCs w:val="96"/>
          <w:lang w:val="en-US" w:eastAsia="zh-CN" w:bidi="ar-SA"/>
        </w:rPr>
        <w:t>北京市通州区人民政府文件</w:t>
      </w:r>
    </w:p>
    <w:p>
      <w:pPr>
        <w:keepNext w:val="0"/>
        <w:keepLines w:val="0"/>
        <w:pageBreakBefore w:val="0"/>
        <w:widowControl w:val="0"/>
        <w:kinsoku/>
        <w:wordWrap/>
        <w:overflowPunct/>
        <w:topLinePunct w:val="0"/>
        <w:autoSpaceDE/>
        <w:autoSpaceDN/>
        <w:bidi w:val="0"/>
        <w:adjustRightInd/>
        <w:snapToGrid/>
        <w:spacing w:after="0" w:line="400" w:lineRule="exact"/>
        <w:ind w:firstLine="640" w:firstLineChars="200"/>
        <w:jc w:val="center"/>
        <w:textAlignment w:val="auto"/>
        <w:rPr>
          <w:rFonts w:ascii="Times New Roman" w:hAnsi="Times New Roman" w:eastAsia="宋体" w:cs="Times New Roman"/>
          <w:sz w:val="32"/>
          <w:szCs w:val="28"/>
        </w:rPr>
      </w:pPr>
    </w:p>
    <w:p>
      <w:pPr>
        <w:keepNext w:val="0"/>
        <w:keepLines w:val="0"/>
        <w:pageBreakBefore w:val="0"/>
        <w:widowControl w:val="0"/>
        <w:kinsoku/>
        <w:wordWrap/>
        <w:overflowPunct/>
        <w:topLinePunct w:val="0"/>
        <w:autoSpaceDE/>
        <w:autoSpaceDN/>
        <w:bidi w:val="0"/>
        <w:adjustRightInd/>
        <w:snapToGrid/>
        <w:spacing w:after="0" w:line="400" w:lineRule="exact"/>
        <w:ind w:firstLine="640" w:firstLineChars="200"/>
        <w:jc w:val="center"/>
        <w:textAlignment w:val="auto"/>
        <w:rPr>
          <w:rFonts w:ascii="Times New Roman" w:hAnsi="Times New Roman" w:eastAsia="宋体" w:cs="Times New Roman"/>
          <w:sz w:val="32"/>
          <w:szCs w:val="28"/>
        </w:rPr>
      </w:pPr>
    </w:p>
    <w:p>
      <w:pPr>
        <w:keepNext w:val="0"/>
        <w:keepLines w:val="0"/>
        <w:pageBreakBefore w:val="0"/>
        <w:widowControl w:val="0"/>
        <w:kinsoku/>
        <w:wordWrap/>
        <w:overflowPunct/>
        <w:topLinePunct w:val="0"/>
        <w:autoSpaceDE/>
        <w:autoSpaceDN/>
        <w:bidi w:val="0"/>
        <w:adjustRightInd/>
        <w:snapToGrid/>
        <w:spacing w:after="160" w:line="400" w:lineRule="exact"/>
        <w:ind w:left="0" w:leftChars="0" w:firstLine="0" w:firstLineChars="0"/>
        <w:jc w:val="center"/>
        <w:textAlignment w:val="auto"/>
        <w:rPr>
          <w:rFonts w:hint="eastAsia" w:ascii="仿宋_GB2312" w:hAnsi="黑体" w:eastAsia="仿宋_GB2312" w:cs="Times New Roman"/>
          <w:sz w:val="32"/>
          <w:szCs w:val="32"/>
        </w:rPr>
      </w:pPr>
      <w:r>
        <w:rPr>
          <w:rFonts w:ascii="Times New Roman" w:hAnsi="Times New Roman" w:eastAsia="仿宋_GB2312" w:cs="Times New Roman"/>
          <w:sz w:val="32"/>
          <w:szCs w:val="28"/>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336550</wp:posOffset>
                </wp:positionV>
                <wp:extent cx="5599430" cy="38100"/>
                <wp:effectExtent l="0" t="17145" r="1270" b="20955"/>
                <wp:wrapNone/>
                <wp:docPr id="5" name="直接连接符 5"/>
                <wp:cNvGraphicFramePr/>
                <a:graphic xmlns:a="http://schemas.openxmlformats.org/drawingml/2006/main">
                  <a:graphicData uri="http://schemas.microsoft.com/office/word/2010/wordprocessingShape">
                    <wps:wsp>
                      <wps:cNvCnPr/>
                      <wps:spPr>
                        <a:xfrm>
                          <a:off x="0" y="0"/>
                          <a:ext cx="5599430" cy="38100"/>
                        </a:xfrm>
                        <a:prstGeom prst="line">
                          <a:avLst/>
                        </a:prstGeom>
                        <a:ln w="34925" cap="flat" cmpd="sng">
                          <a:solidFill>
                            <a:srgbClr val="FF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26.5pt;height:3pt;width:440.9pt;z-index:251664384;mso-width-relative:page;mso-height-relative:page;" filled="f" stroked="t" coordsize="21600,21600" o:gfxdata="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rEDHDdcAAAAGAQAADwAAAAAAAAABACAAAAA4AAAAZHJzL2Rvd25y&#10;ZXYueG1sUEsBAhQAFAAAAAgAh07iQM67CTPpAQAArAMAAA4AAAAAAAAAAQAgAAAAPAEAAGRycy9l&#10;Mm9Eb2MueG1sUEsFBgAAAAAGAAYAWQEAAJcFAAAAAA==&#10;">
                <v:fill on="f" focussize="0,0"/>
                <v:stroke weight="2.75pt" color="#FF0000" joinstyle="round"/>
                <v:imagedata o:title=""/>
                <o:lock v:ext="edit" aspectratio="f"/>
              </v:line>
            </w:pict>
          </mc:Fallback>
        </mc:AlternateContent>
      </w:r>
      <w:r>
        <w:rPr>
          <w:rFonts w:hint="eastAsia" w:ascii="仿宋_GB2312" w:hAnsi="黑体" w:eastAsia="仿宋_GB2312" w:cs="仿宋_GB2312"/>
          <w:sz w:val="32"/>
          <w:szCs w:val="32"/>
        </w:rPr>
        <w:t>通政发〔202</w:t>
      </w:r>
      <w:r>
        <w:rPr>
          <w:rFonts w:hint="eastAsia" w:ascii="仿宋_GB2312" w:hAnsi="黑体" w:eastAsia="仿宋_GB2312" w:cs="仿宋_GB2312"/>
          <w:sz w:val="32"/>
          <w:szCs w:val="32"/>
          <w:lang w:val="en-US" w:eastAsia="zh-CN"/>
        </w:rPr>
        <w:t>6</w:t>
      </w:r>
      <w:r>
        <w:rPr>
          <w:rFonts w:hint="eastAsia" w:ascii="仿宋_GB2312" w:hAnsi="黑体" w:eastAsia="仿宋_GB2312" w:cs="仿宋_GB2312"/>
          <w:sz w:val="32"/>
          <w:szCs w:val="32"/>
        </w:rPr>
        <w:t>〕</w:t>
      </w:r>
      <w:r>
        <w:rPr>
          <w:rFonts w:hint="eastAsia" w:ascii="仿宋_GB2312" w:hAnsi="黑体" w:eastAsia="仿宋_GB2312" w:cs="仿宋_GB2312"/>
          <w:sz w:val="32"/>
          <w:szCs w:val="32"/>
          <w:lang w:val="en-US" w:eastAsia="zh-CN"/>
        </w:rPr>
        <w:t>5</w:t>
      </w:r>
      <w:r>
        <w:rPr>
          <w:rFonts w:hint="eastAsia" w:ascii="仿宋_GB2312" w:hAnsi="黑体"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val="0"/>
        <w:spacing w:line="520" w:lineRule="exact"/>
        <w:jc w:val="both"/>
        <w:textAlignment w:val="auto"/>
        <w:rPr>
          <w:rFonts w:ascii="仿宋_GB2312"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黑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黑体" w:eastAsia="方正小标宋简体"/>
          <w:sz w:val="44"/>
          <w:szCs w:val="44"/>
        </w:rPr>
      </w:pPr>
      <w:bookmarkStart w:id="61" w:name="_GoBack"/>
      <w:r>
        <w:rPr>
          <w:rFonts w:hint="eastAsia" w:ascii="方正小标宋简体" w:hAnsi="黑体" w:eastAsia="方正小标宋简体" w:cs="小标宋"/>
          <w:sz w:val="44"/>
          <w:szCs w:val="44"/>
        </w:rPr>
        <w:t>北京市通州区人民政府</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黑体" w:eastAsia="方正小标宋简体"/>
          <w:sz w:val="44"/>
          <w:szCs w:val="44"/>
        </w:rPr>
      </w:pPr>
      <w:r>
        <w:rPr>
          <w:rFonts w:hint="eastAsia" w:ascii="方正小标宋简体" w:hAnsi="黑体" w:eastAsia="方正小标宋简体" w:cs="小标宋"/>
          <w:sz w:val="44"/>
          <w:szCs w:val="44"/>
        </w:rPr>
        <w:t>关于印发</w:t>
      </w:r>
      <w:r>
        <w:rPr>
          <w:rFonts w:hint="eastAsia" w:ascii="方正小标宋简体" w:hAnsi="黑体" w:eastAsia="方正小标宋简体" w:cs="小标宋"/>
          <w:sz w:val="44"/>
          <w:szCs w:val="44"/>
          <w:lang w:eastAsia="zh-CN"/>
        </w:rPr>
        <w:t>郑皓</w:t>
      </w:r>
      <w:r>
        <w:rPr>
          <w:rFonts w:hint="eastAsia" w:ascii="方正小标宋简体" w:hAnsi="黑体" w:eastAsia="方正小标宋简体" w:cs="小标宋"/>
          <w:sz w:val="44"/>
          <w:szCs w:val="44"/>
        </w:rPr>
        <w:t>同志在区七届人大</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黑体" w:eastAsia="方正小标宋简体"/>
          <w:sz w:val="44"/>
          <w:szCs w:val="44"/>
        </w:rPr>
      </w:pPr>
      <w:r>
        <w:rPr>
          <w:rFonts w:hint="eastAsia" w:ascii="方正小标宋简体" w:hAnsi="黑体" w:eastAsia="方正小标宋简体" w:cs="小标宋"/>
          <w:sz w:val="44"/>
          <w:szCs w:val="44"/>
          <w:lang w:eastAsia="zh-CN"/>
        </w:rPr>
        <w:t>七</w:t>
      </w:r>
      <w:r>
        <w:rPr>
          <w:rFonts w:hint="eastAsia" w:ascii="方正小标宋简体" w:hAnsi="黑体" w:eastAsia="方正小标宋简体" w:cs="小标宋"/>
          <w:sz w:val="44"/>
          <w:szCs w:val="44"/>
        </w:rPr>
        <w:t>次会议上作的《政府工作报告》的通知</w:t>
      </w:r>
      <w:bookmarkEnd w:id="61"/>
    </w:p>
    <w:p>
      <w:pPr>
        <w:keepNext w:val="0"/>
        <w:keepLines w:val="0"/>
        <w:pageBreakBefore w:val="0"/>
        <w:widowControl w:val="0"/>
        <w:kinsoku/>
        <w:wordWrap/>
        <w:overflowPunct/>
        <w:topLinePunct w:val="0"/>
        <w:autoSpaceDE w:val="0"/>
        <w:autoSpaceDN w:val="0"/>
        <w:bidi w:val="0"/>
        <w:adjustRightInd w:val="0"/>
        <w:snapToGrid/>
        <w:spacing w:line="520" w:lineRule="exact"/>
        <w:jc w:val="center"/>
        <w:textAlignment w:val="auto"/>
        <w:outlineLvl w:val="0"/>
        <w:rPr>
          <w:rFonts w:hint="eastAsia" w:ascii="黑体" w:eastAsia="黑体" w:cs="黑体"/>
          <w:sz w:val="44"/>
          <w:szCs w:val="44"/>
        </w:rPr>
      </w:pPr>
    </w:p>
    <w:p>
      <w:pPr>
        <w:keepNext w:val="0"/>
        <w:keepLines w:val="0"/>
        <w:pageBreakBefore w:val="0"/>
        <w:widowControl w:val="0"/>
        <w:kinsoku/>
        <w:wordWrap/>
        <w:overflowPunct/>
        <w:topLinePunct w:val="0"/>
        <w:autoSpaceDE/>
        <w:autoSpaceDN/>
        <w:bidi w:val="0"/>
        <w:adjustRightInd w:val="0"/>
        <w:snapToGrid/>
        <w:spacing w:line="520" w:lineRule="exact"/>
        <w:textAlignment w:val="auto"/>
        <w:outlineLvl w:val="0"/>
        <w:rPr>
          <w:rFonts w:hint="eastAsia" w:ascii="楷体_GB2312" w:eastAsia="楷体_GB2312" w:cs="黑体"/>
          <w:sz w:val="32"/>
          <w:szCs w:val="32"/>
          <w:lang w:val="zh-CN"/>
        </w:rPr>
      </w:pPr>
      <w:r>
        <w:rPr>
          <w:rFonts w:hint="eastAsia" w:ascii="楷体_GB2312" w:eastAsia="楷体_GB2312" w:cs="黑体"/>
          <w:sz w:val="32"/>
          <w:szCs w:val="32"/>
          <w:lang w:val="zh-CN"/>
        </w:rPr>
        <w:t>各街道办事处，各乡、镇人民政府，区政府各委、办、局，各区属机构：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小标宋简体" w:hAnsi="方正小标宋简体" w:eastAsia="方正小标宋简体" w:cs="方正小标宋简体"/>
          <w:b/>
          <w:bCs/>
          <w:sz w:val="32"/>
          <w:szCs w:val="32"/>
        </w:rPr>
      </w:pPr>
      <w:r>
        <w:rPr>
          <w:rFonts w:hint="eastAsia" w:ascii="楷体_GB2312" w:hAnsi="Times New Roman" w:eastAsia="楷体_GB2312" w:cs="黑体"/>
          <w:kern w:val="2"/>
          <w:sz w:val="32"/>
          <w:szCs w:val="32"/>
          <w:lang w:val="en-US" w:eastAsia="zh-CN" w:bidi="ar-SA"/>
        </w:rPr>
        <w:t>郑皓同志在通州区第七届人民代表大会第七次会议上作的《政府工作报告》已经大会审议批准，现印发给你们。请各单位认真组织学习，紧扣报告确定的总体思路和主要任务，扎实有序推进2026年各项工作，进一步提振精神、凝聚合力，以超常担当、持久之功，奋力打造中国式现代化进程中的城市发展样板。</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32"/>
          <w:szCs w:val="32"/>
        </w:rPr>
      </w:pPr>
    </w:p>
    <w:p>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小标宋简体" w:hAnsi="方正小标宋简体" w:eastAsia="方正小标宋简体" w:cs="方正小标宋简体"/>
          <w:sz w:val="32"/>
          <w:szCs w:val="32"/>
        </w:rPr>
      </w:pPr>
    </w:p>
    <w:p>
      <w:pPr>
        <w:keepNext w:val="0"/>
        <w:keepLines w:val="0"/>
        <w:pageBreakBefore w:val="0"/>
        <w:widowControl w:val="0"/>
        <w:tabs>
          <w:tab w:val="left" w:pos="8280"/>
        </w:tabs>
        <w:kinsoku/>
        <w:wordWrap/>
        <w:overflowPunct/>
        <w:topLinePunct w:val="0"/>
        <w:autoSpaceDE/>
        <w:autoSpaceDN/>
        <w:bidi w:val="0"/>
        <w:adjustRightInd/>
        <w:snapToGrid/>
        <w:spacing w:line="400" w:lineRule="exact"/>
        <w:ind w:left="0" w:leftChars="0" w:firstLine="5040" w:firstLineChars="1575"/>
        <w:textAlignment w:val="auto"/>
        <w:rPr>
          <w:rFonts w:ascii="楷体_GB2312" w:eastAsia="楷体_GB2312" w:cs="楷体_GB2312"/>
          <w:sz w:val="32"/>
          <w:szCs w:val="32"/>
        </w:rPr>
      </w:pPr>
      <w:r>
        <w:rPr>
          <w:rFonts w:hint="eastAsia" w:ascii="楷体_GB2312" w:eastAsia="楷体_GB2312" w:cs="楷体_GB2312"/>
          <w:sz w:val="32"/>
          <w:szCs w:val="32"/>
        </w:rPr>
        <w:t>北京市通州区人民政府</w:t>
      </w:r>
      <w:r>
        <w:rPr>
          <w:rFonts w:ascii="楷体_GB2312" w:eastAsia="楷体_GB2312" w:cs="楷体_GB2312"/>
          <w:sz w:val="32"/>
          <w:szCs w:val="32"/>
        </w:rPr>
        <w:t xml:space="preserve">    </w:t>
      </w:r>
    </w:p>
    <w:p>
      <w:pPr>
        <w:keepNext w:val="0"/>
        <w:keepLines w:val="0"/>
        <w:pageBreakBefore w:val="0"/>
        <w:widowControl w:val="0"/>
        <w:tabs>
          <w:tab w:val="left" w:pos="8280"/>
        </w:tabs>
        <w:kinsoku/>
        <w:wordWrap/>
        <w:overflowPunct/>
        <w:topLinePunct w:val="0"/>
        <w:autoSpaceDE/>
        <w:autoSpaceDN/>
        <w:bidi w:val="0"/>
        <w:adjustRightInd/>
        <w:snapToGrid/>
        <w:spacing w:line="400" w:lineRule="exact"/>
        <w:ind w:left="0" w:leftChars="0" w:firstLine="5257" w:firstLineChars="1643"/>
        <w:textAlignment w:val="auto"/>
        <w:rPr>
          <w:rFonts w:ascii="楷体_GB2312" w:eastAsia="楷体_GB2312"/>
          <w:sz w:val="32"/>
          <w:szCs w:val="32"/>
        </w:rPr>
      </w:pPr>
      <w:r>
        <w:rPr>
          <w:rFonts w:ascii="楷体_GB2312" w:eastAsia="楷体_GB2312" w:cs="楷体_GB2312"/>
          <w:sz w:val="32"/>
          <w:szCs w:val="32"/>
        </w:rPr>
        <w:t>202</w:t>
      </w:r>
      <w:r>
        <w:rPr>
          <w:rFonts w:hint="eastAsia" w:ascii="楷体_GB2312" w:eastAsia="楷体_GB2312" w:cs="楷体_GB2312"/>
          <w:sz w:val="32"/>
          <w:szCs w:val="32"/>
          <w:lang w:val="en-US" w:eastAsia="zh-CN"/>
        </w:rPr>
        <w:t>6</w:t>
      </w:r>
      <w:r>
        <w:rPr>
          <w:rFonts w:hint="eastAsia" w:ascii="楷体_GB2312" w:eastAsia="楷体_GB2312" w:cs="楷体_GB2312"/>
          <w:sz w:val="32"/>
          <w:szCs w:val="32"/>
        </w:rPr>
        <w:t>年</w:t>
      </w:r>
      <w:r>
        <w:rPr>
          <w:rFonts w:hint="eastAsia" w:ascii="楷体_GB2312" w:eastAsia="楷体_GB2312" w:cs="楷体_GB2312"/>
          <w:sz w:val="32"/>
          <w:szCs w:val="32"/>
          <w:lang w:val="en-US" w:eastAsia="zh-CN"/>
        </w:rPr>
        <w:t>2</w:t>
      </w:r>
      <w:r>
        <w:rPr>
          <w:rFonts w:hint="eastAsia" w:ascii="楷体_GB2312" w:eastAsia="楷体_GB2312" w:cs="楷体_GB2312"/>
          <w:sz w:val="32"/>
          <w:szCs w:val="32"/>
        </w:rPr>
        <w:t>月</w:t>
      </w:r>
      <w:r>
        <w:rPr>
          <w:rFonts w:hint="eastAsia" w:ascii="楷体_GB2312" w:eastAsia="楷体_GB2312" w:cs="楷体_GB2312"/>
          <w:sz w:val="32"/>
          <w:szCs w:val="32"/>
          <w:lang w:val="en-US" w:eastAsia="zh-CN"/>
        </w:rPr>
        <w:t>27</w:t>
      </w:r>
      <w:r>
        <w:rPr>
          <w:rFonts w:hint="eastAsia" w:ascii="楷体_GB2312" w:eastAsia="楷体_GB2312" w:cs="楷体_GB2312"/>
          <w:sz w:val="32"/>
          <w:szCs w:val="32"/>
        </w:rPr>
        <w:t>日</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both"/>
        <w:textAlignment w:val="auto"/>
        <w:rPr>
          <w:rFonts w:hint="eastAsia" w:ascii="仿宋_GB2312" w:eastAsia="仿宋_GB2312" w:cs="楷体_GB2312"/>
          <w:sz w:val="32"/>
          <w:szCs w:val="32"/>
        </w:rPr>
      </w:pPr>
      <w:r>
        <w:rPr>
          <w:rFonts w:hint="eastAsia" w:ascii="仿宋_GB2312" w:eastAsia="仿宋_GB2312" w:cs="楷体_GB2312"/>
          <w:sz w:val="32"/>
          <w:szCs w:val="32"/>
        </w:rPr>
        <w:t>（此件公开发布）</w:t>
      </w:r>
    </w:p>
    <w:p>
      <w:pPr>
        <w:pStyle w:val="7"/>
        <w:spacing w:line="740" w:lineRule="exact"/>
        <w:ind w:firstLine="0" w:firstLineChars="0"/>
        <w:jc w:val="center"/>
        <w:rPr>
          <w:rFonts w:ascii="楷体_GB2312" w:hAnsi="Calibri" w:eastAsia="楷体_GB2312"/>
          <w:sz w:val="44"/>
          <w:szCs w:val="44"/>
        </w:rPr>
      </w:pPr>
      <w:r>
        <w:rPr>
          <w:rFonts w:hint="eastAsia" w:ascii="方正小标宋简体" w:hAnsi="方正小标宋简体" w:eastAsia="方正小标宋简体" w:cs="方正小标宋简体"/>
          <w:sz w:val="44"/>
          <w:szCs w:val="44"/>
        </w:rPr>
        <w:t>政府工作报告</w:t>
      </w:r>
    </w:p>
    <w:p>
      <w:pPr>
        <w:pStyle w:val="7"/>
        <w:ind w:firstLine="0" w:firstLineChars="0"/>
        <w:jc w:val="center"/>
        <w:rPr>
          <w:rFonts w:ascii="楷体_GB2312" w:hAnsi="Calibri" w:eastAsia="楷体_GB2312"/>
          <w:sz w:val="32"/>
          <w:szCs w:val="32"/>
        </w:rPr>
      </w:pPr>
    </w:p>
    <w:p>
      <w:pPr>
        <w:spacing w:line="600" w:lineRule="exact"/>
        <w:jc w:val="center"/>
        <w:outlineLvl w:val="0"/>
        <w:rPr>
          <w:rFonts w:hint="eastAsia" w:ascii="楷体_GB2312" w:hAnsi="楷体_GB2312" w:eastAsia="楷体_GB2312" w:cs="楷体_GB2312"/>
          <w:bCs/>
          <w:spacing w:val="0"/>
          <w:sz w:val="32"/>
          <w:szCs w:val="32"/>
        </w:rPr>
      </w:pPr>
      <w:r>
        <w:rPr>
          <w:rFonts w:hint="eastAsia" w:ascii="黑体" w:hAnsi="黑体" w:eastAsia="黑体" w:cs="黑体"/>
          <w:b/>
          <w:bCs w:val="0"/>
          <w:spacing w:val="0"/>
          <w:sz w:val="32"/>
          <w:szCs w:val="32"/>
        </w:rPr>
        <w:t>——</w:t>
      </w:r>
      <w:r>
        <w:rPr>
          <w:rFonts w:hint="eastAsia" w:ascii="楷体_GB2312" w:hAnsi="楷体_GB2312" w:eastAsia="楷体_GB2312" w:cs="楷体_GB2312"/>
          <w:bCs/>
          <w:spacing w:val="0"/>
          <w:sz w:val="32"/>
          <w:szCs w:val="32"/>
        </w:rPr>
        <w:t>2026年1月6日在通州区第七届人民代表大会</w:t>
      </w:r>
    </w:p>
    <w:p>
      <w:pPr>
        <w:spacing w:line="600" w:lineRule="exact"/>
        <w:jc w:val="center"/>
        <w:outlineLvl w:val="0"/>
        <w:rPr>
          <w:rFonts w:hint="eastAsia" w:ascii="楷体_GB2312" w:hAnsi="楷体_GB2312" w:eastAsia="楷体_GB2312" w:cs="楷体_GB2312"/>
          <w:bCs/>
          <w:sz w:val="32"/>
          <w:szCs w:val="32"/>
        </w:rPr>
      </w:pPr>
      <w:r>
        <w:rPr>
          <w:rFonts w:hint="eastAsia" w:ascii="楷体_GB2312" w:hAnsi="楷体_GB2312" w:eastAsia="楷体_GB2312" w:cs="楷体_GB2312"/>
          <w:bCs/>
          <w:spacing w:val="0"/>
          <w:sz w:val="32"/>
          <w:szCs w:val="32"/>
        </w:rPr>
        <w:t>第七次会议</w:t>
      </w:r>
      <w:r>
        <w:rPr>
          <w:rFonts w:hint="eastAsia" w:ascii="楷体_GB2312" w:hAnsi="楷体_GB2312" w:eastAsia="楷体_GB2312" w:cs="楷体_GB2312"/>
          <w:bCs/>
          <w:sz w:val="32"/>
          <w:szCs w:val="32"/>
        </w:rPr>
        <w:t>上</w:t>
      </w:r>
    </w:p>
    <w:p>
      <w:pPr>
        <w:spacing w:line="600" w:lineRule="exact"/>
        <w:ind w:firstLine="2240" w:firstLineChars="700"/>
        <w:jc w:val="left"/>
        <w:outlineLvl w:val="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 xml:space="preserve">通州区人民政府区长 </w:t>
      </w:r>
      <w:r>
        <w:rPr>
          <w:rFonts w:hint="eastAsia" w:ascii="楷体_GB2312" w:hAnsi="楷体_GB2312" w:eastAsia="楷体_GB2312" w:cs="楷体_GB2312"/>
          <w:bCs/>
          <w:sz w:val="32"/>
          <w:szCs w:val="32"/>
          <w:lang w:val="en-US" w:eastAsia="zh-CN"/>
        </w:rPr>
        <w:t xml:space="preserve"> </w:t>
      </w:r>
      <w:r>
        <w:rPr>
          <w:rFonts w:hint="eastAsia" w:ascii="楷体_GB2312" w:hAnsi="楷体_GB2312" w:eastAsia="楷体_GB2312" w:cs="楷体_GB2312"/>
          <w:bCs/>
          <w:sz w:val="32"/>
          <w:szCs w:val="32"/>
        </w:rPr>
        <w:t xml:space="preserve">郑 </w:t>
      </w:r>
      <w:r>
        <w:rPr>
          <w:rFonts w:hint="eastAsia" w:ascii="楷体_GB2312" w:hAnsi="楷体_GB2312" w:eastAsia="楷体_GB2312" w:cs="楷体_GB2312"/>
          <w:bCs/>
          <w:sz w:val="32"/>
          <w:szCs w:val="32"/>
          <w:lang w:val="en-US" w:eastAsia="zh-CN"/>
        </w:rPr>
        <w:t xml:space="preserve"> </w:t>
      </w:r>
      <w:r>
        <w:rPr>
          <w:rFonts w:hint="eastAsia" w:ascii="楷体_GB2312" w:hAnsi="楷体_GB2312" w:eastAsia="楷体_GB2312" w:cs="楷体_GB2312"/>
          <w:bCs/>
          <w:sz w:val="32"/>
          <w:szCs w:val="32"/>
        </w:rPr>
        <w:t>皓</w:t>
      </w:r>
    </w:p>
    <w:p>
      <w:pPr>
        <w:spacing w:line="560" w:lineRule="exact"/>
        <w:jc w:val="center"/>
        <w:rPr>
          <w:rFonts w:ascii="楷体_GB2312" w:eastAsia="楷体_GB2312"/>
          <w:sz w:val="32"/>
          <w:szCs w:val="32"/>
        </w:rPr>
      </w:pPr>
    </w:p>
    <w:p>
      <w:pPr>
        <w:spacing w:line="560" w:lineRule="exac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各位代表：</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现在，我代表通州区人民政府，向大会报告政府工作，请予审议，并请区政协委员提出意见。</w:t>
      </w:r>
    </w:p>
    <w:p>
      <w:pPr>
        <w:spacing w:line="560" w:lineRule="exact"/>
        <w:rPr>
          <w:rFonts w:ascii="仿宋_GB2312" w:eastAsia="仿宋_GB2312" w:cs="仿宋_GB2312"/>
          <w:kern w:val="0"/>
          <w:sz w:val="32"/>
          <w:szCs w:val="32"/>
          <w:lang w:val="zh-CN"/>
        </w:rPr>
      </w:pPr>
    </w:p>
    <w:p>
      <w:pPr>
        <w:spacing w:line="560" w:lineRule="exact"/>
        <w:jc w:val="center"/>
        <w:rPr>
          <w:rFonts w:ascii="黑体" w:hAnsi="黑体" w:eastAsia="黑体"/>
          <w:sz w:val="32"/>
          <w:szCs w:val="32"/>
        </w:rPr>
      </w:pPr>
      <w:r>
        <w:rPr>
          <w:rFonts w:ascii="黑体" w:hAnsi="黑体" w:eastAsia="黑体"/>
          <w:sz w:val="32"/>
          <w:szCs w:val="32"/>
        </w:rPr>
        <w:t>202</w:t>
      </w:r>
      <w:r>
        <w:rPr>
          <w:rFonts w:hint="eastAsia" w:ascii="黑体" w:hAnsi="黑体" w:eastAsia="黑体"/>
          <w:sz w:val="32"/>
          <w:szCs w:val="32"/>
        </w:rPr>
        <w:t>5年工作回顾</w:t>
      </w:r>
    </w:p>
    <w:p>
      <w:pPr>
        <w:spacing w:line="560" w:lineRule="exact"/>
        <w:rPr>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2025年是“十四五”规划收官之年。一年来，在市委市政府的坚强领导和区委的直接领导下，在区人大、区政协的监督支持下，全区上下坚持以习近平新时代中国特色社会主义思想为指导，深入贯彻党的二十大和二十届历次全会精神，深入落实习近平总书记对北京重要讲话和对城市副中心重要指示批示精神，立足京津冀协同发展大局和新时代首都发展全局，聚焦答好市委“二十年之问”，全面落实区委七届九次、十次全会安排部署，较好地完成了区七届人大六次会议确定的各项目标任务。全年地区生产总值增长</w:t>
      </w:r>
      <w:r>
        <w:rPr>
          <w:rFonts w:ascii="仿宋_GB2312" w:eastAsia="仿宋_GB2312"/>
          <w:sz w:val="32"/>
          <w:szCs w:val="32"/>
        </w:rPr>
        <w:t>10.8%</w:t>
      </w:r>
      <w:r>
        <w:rPr>
          <w:rFonts w:hint="eastAsia" w:ascii="仿宋_GB2312" w:eastAsia="仿宋_GB2312"/>
          <w:sz w:val="32"/>
          <w:szCs w:val="32"/>
        </w:rPr>
        <w:t>，一般公共预算收入增长3.1%，固定资产投资连续6年保持千亿规模，建安投资总量连续7年保持全市第一，社会消费品零售总额增长</w:t>
      </w:r>
      <w:r>
        <w:rPr>
          <w:rFonts w:ascii="仿宋_GB2312" w:eastAsia="仿宋_GB2312"/>
          <w:sz w:val="32"/>
          <w:szCs w:val="32"/>
        </w:rPr>
        <w:t>9</w:t>
      </w:r>
      <w:r>
        <w:rPr>
          <w:rFonts w:hint="eastAsia" w:ascii="仿宋_GB2312" w:eastAsia="仿宋_GB2312"/>
          <w:sz w:val="32"/>
          <w:szCs w:val="32"/>
        </w:rPr>
        <w:t>%，城镇调查失业率控制在5%以内，</w:t>
      </w:r>
      <w:r>
        <w:rPr>
          <w:rFonts w:hint="eastAsia" w:ascii="仿宋_GB2312" w:hAnsi="仿宋" w:eastAsia="仿宋_GB2312"/>
          <w:sz w:val="32"/>
          <w:szCs w:val="32"/>
        </w:rPr>
        <w:t>居民人均可支配收入稳步增长，实现“十四五”圆满收官</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ascii="仿宋_GB2312" w:eastAsia="仿宋_GB2312"/>
          <w:sz w:val="32"/>
          <w:szCs w:val="32"/>
        </w:rPr>
        <w:t>一年来，主要做了以下工作</w:t>
      </w:r>
      <w:r>
        <w:rPr>
          <w:rFonts w:hint="eastAsia" w:ascii="仿宋_GB2312" w:eastAsia="仿宋_GB2312"/>
          <w:sz w:val="32"/>
          <w:szCs w:val="32"/>
        </w:rPr>
        <w:t>：</w:t>
      </w:r>
    </w:p>
    <w:p>
      <w:pPr>
        <w:widowControl/>
        <w:spacing w:line="560" w:lineRule="exact"/>
        <w:ind w:firstLine="596" w:firstLineChars="200"/>
        <w:rPr>
          <w:rFonts w:ascii="黑体" w:hAnsi="黑体" w:eastAsia="黑体" w:cs="黑体"/>
          <w:spacing w:val="-11"/>
          <w:sz w:val="32"/>
          <w:szCs w:val="32"/>
        </w:rPr>
      </w:pPr>
      <w:r>
        <w:rPr>
          <w:rFonts w:hint="eastAsia" w:ascii="黑体" w:hAnsi="黑体" w:eastAsia="黑体" w:cs="黑体"/>
          <w:spacing w:val="-11"/>
          <w:sz w:val="32"/>
          <w:szCs w:val="32"/>
        </w:rPr>
        <w:t>一、深入实施副中心控规，城市发展样板加快打造</w:t>
      </w:r>
    </w:p>
    <w:p>
      <w:pPr>
        <w:spacing w:line="560" w:lineRule="exact"/>
        <w:ind w:firstLine="640" w:firstLineChars="200"/>
        <w:rPr>
          <w:rFonts w:ascii="仿宋_GB2312" w:hAnsi="仿宋_GB2312" w:eastAsia="仿宋_GB2312" w:cs="仿宋_GB2312"/>
          <w:sz w:val="32"/>
          <w:szCs w:val="32"/>
        </w:rPr>
      </w:pPr>
      <w:bookmarkStart w:id="1" w:name="OLE_LINK100"/>
      <w:bookmarkStart w:id="2" w:name="OLE_LINK99"/>
      <w:r>
        <w:rPr>
          <w:rFonts w:hint="eastAsia" w:ascii="楷体_GB2312" w:eastAsia="楷体_GB2312"/>
          <w:b w:val="0"/>
          <w:bCs/>
          <w:sz w:val="32"/>
          <w:szCs w:val="32"/>
          <w:lang w:eastAsia="zh-CN"/>
        </w:rPr>
        <w:t>（一）</w:t>
      </w:r>
      <w:r>
        <w:rPr>
          <w:rFonts w:hint="eastAsia" w:ascii="楷体_GB2312" w:eastAsia="楷体_GB2312"/>
          <w:b w:val="0"/>
          <w:bCs/>
          <w:sz w:val="32"/>
          <w:szCs w:val="32"/>
        </w:rPr>
        <w:t>全力推动重大项目建设，城市功能持续优化。</w:t>
      </w:r>
      <w:r>
        <w:rPr>
          <w:rFonts w:hint="eastAsia" w:ascii="仿宋_GB2312" w:hAnsi="仿宋_GB2312" w:eastAsia="仿宋_GB2312" w:cs="仿宋_GB2312"/>
          <w:bCs/>
          <w:sz w:val="32"/>
          <w:szCs w:val="32"/>
        </w:rPr>
        <w:t>456个重大项目全面实施，功能承接有序推进。持续加强</w:t>
      </w:r>
      <w:r>
        <w:rPr>
          <w:rFonts w:hint="eastAsia" w:ascii="仿宋_GB2312" w:hAnsi="仿宋_GB2312" w:eastAsia="仿宋_GB2312" w:cs="仿宋_GB2312"/>
          <w:b w:val="0"/>
          <w:bCs/>
          <w:sz w:val="32"/>
          <w:szCs w:val="32"/>
        </w:rPr>
        <w:t>行政办公区服务保障，</w:t>
      </w:r>
      <w:r>
        <w:rPr>
          <w:rFonts w:hint="eastAsia" w:ascii="仿宋_GB2312" w:hAnsi="仿宋_GB2312" w:eastAsia="仿宋_GB2312" w:cs="仿宋_GB2312"/>
          <w:bCs/>
          <w:sz w:val="32"/>
          <w:szCs w:val="32"/>
        </w:rPr>
        <w:t>新承接央企、市属国企子公司18家，首旅集团总部、保障房中心总部、北规院建成投用。中国人民大学、北京服装学院通州校区首批学生入驻。加快推进</w:t>
      </w:r>
      <w:r>
        <w:rPr>
          <w:rFonts w:hint="eastAsia" w:ascii="仿宋_GB2312" w:hAnsi="仿宋_GB2312" w:eastAsia="仿宋_GB2312" w:cs="仿宋_GB2312"/>
          <w:b w:val="0"/>
          <w:bCs/>
          <w:sz w:val="32"/>
          <w:szCs w:val="32"/>
        </w:rPr>
        <w:t>运河商务区精彩亮相，</w:t>
      </w:r>
      <w:r>
        <w:rPr>
          <w:rFonts w:hint="eastAsia" w:ascii="仿宋_GB2312" w:hAnsi="仿宋_GB2312" w:eastAsia="仿宋_GB2312" w:cs="仿宋_GB2312"/>
          <w:bCs/>
          <w:sz w:val="32"/>
          <w:szCs w:val="32"/>
        </w:rPr>
        <w:t>新增完工面积18万平方米，华夏银行总部主体结构封顶，运河西岸整体提升项目建成投用</w:t>
      </w:r>
      <w:r>
        <w:rPr>
          <w:rFonts w:hint="eastAsia" w:ascii="仿宋_GB2312" w:hAnsi="仿宋_GB2312" w:eastAsia="仿宋_GB2312" w:cs="仿宋_GB2312"/>
          <w:b w:val="0"/>
          <w:bCs/>
          <w:sz w:val="32"/>
          <w:szCs w:val="32"/>
        </w:rPr>
        <w:t>。文化旅游区</w:t>
      </w:r>
      <w:r>
        <w:rPr>
          <w:rFonts w:hint="eastAsia" w:ascii="仿宋_GB2312" w:hAnsi="仿宋_GB2312" w:eastAsia="仿宋_GB2312" w:cs="仿宋_GB2312"/>
          <w:bCs/>
          <w:sz w:val="32"/>
          <w:szCs w:val="32"/>
        </w:rPr>
        <w:t>“湾里”商业娱乐综合体盛大开业，群芳综合交通枢纽试运行，通马路综合交通枢纽竣工验收。</w:t>
      </w:r>
      <w:r>
        <w:rPr>
          <w:rFonts w:hint="eastAsia" w:ascii="仿宋_GB2312" w:hAnsi="仿宋_GB2312" w:eastAsia="仿宋_GB2312" w:cs="仿宋_GB2312"/>
          <w:b w:val="0"/>
          <w:bCs/>
          <w:sz w:val="32"/>
          <w:szCs w:val="32"/>
        </w:rPr>
        <w:t>重大项目接续建设</w:t>
      </w:r>
      <w:r>
        <w:rPr>
          <w:rFonts w:hint="eastAsia" w:ascii="仿宋_GB2312" w:hAnsi="仿宋_GB2312" w:eastAsia="仿宋_GB2312" w:cs="仿宋_GB2312"/>
          <w:bCs/>
          <w:sz w:val="32"/>
          <w:szCs w:val="32"/>
        </w:rPr>
        <w:t>，13宗土地顺利入市，轨道交通M101线一期、温潮减河、六环高线公园等工程加快推进，路县故城遗址公园建成开放，东六环入地改造工程正式通车，地铁6号线南延开通运行。市区联动完成5</w:t>
      </w:r>
      <w:r>
        <w:rPr>
          <w:rFonts w:ascii="仿宋_GB2312" w:hAnsi="仿宋_GB2312" w:eastAsia="仿宋_GB2312" w:cs="仿宋_GB2312"/>
          <w:bCs/>
          <w:sz w:val="32"/>
          <w:szCs w:val="32"/>
        </w:rPr>
        <w:t>9</w:t>
      </w:r>
      <w:r>
        <w:rPr>
          <w:rFonts w:hint="eastAsia" w:ascii="仿宋_GB2312" w:hAnsi="仿宋_GB2312" w:eastAsia="仿宋_GB2312" w:cs="仿宋_GB2312"/>
          <w:bCs/>
          <w:sz w:val="32"/>
          <w:szCs w:val="32"/>
        </w:rPr>
        <w:t>项任务，北京通州站</w:t>
      </w:r>
      <w:r>
        <w:rPr>
          <w:rFonts w:hint="eastAsia" w:ascii="仿宋_GB2312" w:eastAsia="仿宋_GB2312"/>
          <w:sz w:val="32"/>
          <w:szCs w:val="32"/>
        </w:rPr>
        <w:t>正式投运</w:t>
      </w:r>
      <w:r>
        <w:rPr>
          <w:rFonts w:hint="eastAsia" w:ascii="仿宋_GB2312" w:hAnsi="仿宋_GB2312" w:eastAsia="仿宋_GB2312" w:cs="仿宋_GB2312"/>
          <w:bCs/>
          <w:sz w:val="32"/>
          <w:szCs w:val="32"/>
        </w:rPr>
        <w:t>。</w:t>
      </w:r>
      <w:bookmarkStart w:id="3" w:name="OLE_LINK102"/>
      <w:bookmarkStart w:id="4" w:name="OLE_LINK103"/>
      <w:bookmarkStart w:id="5" w:name="OLE_LINK101"/>
    </w:p>
    <w:bookmarkEnd w:id="1"/>
    <w:bookmarkEnd w:id="2"/>
    <w:bookmarkEnd w:id="3"/>
    <w:bookmarkEnd w:id="4"/>
    <w:bookmarkEnd w:id="5"/>
    <w:p>
      <w:pPr>
        <w:pStyle w:val="2"/>
        <w:spacing w:line="560" w:lineRule="exact"/>
        <w:ind w:firstLine="763"/>
        <w:rPr>
          <w:rFonts w:hAnsi="仿宋_GB2312" w:cs="仿宋_GB2312"/>
          <w:sz w:val="32"/>
          <w:szCs w:val="32"/>
        </w:rPr>
      </w:pPr>
      <w:r>
        <w:rPr>
          <w:rFonts w:hint="eastAsia" w:ascii="楷体_GB2312" w:hAnsi="仿宋_GB2312" w:eastAsia="楷体_GB2312" w:cs="仿宋_GB2312"/>
          <w:b w:val="0"/>
          <w:bCs/>
          <w:sz w:val="32"/>
          <w:szCs w:val="32"/>
          <w:lang w:eastAsia="zh-CN"/>
        </w:rPr>
        <w:t>（二）</w:t>
      </w:r>
      <w:r>
        <w:rPr>
          <w:rFonts w:hint="eastAsia" w:ascii="楷体_GB2312" w:hAnsi="仿宋_GB2312" w:eastAsia="楷体_GB2312" w:cs="仿宋_GB2312"/>
          <w:b w:val="0"/>
          <w:bCs/>
          <w:sz w:val="32"/>
          <w:szCs w:val="32"/>
        </w:rPr>
        <w:t>大力实施城市更新，老城活力不断释放</w:t>
      </w:r>
      <w:r>
        <w:rPr>
          <w:rFonts w:hint="eastAsia" w:hAnsi="仿宋_GB2312" w:cs="仿宋_GB2312"/>
          <w:b/>
          <w:bCs/>
          <w:sz w:val="32"/>
          <w:szCs w:val="32"/>
        </w:rPr>
        <w:t>。</w:t>
      </w:r>
      <w:r>
        <w:rPr>
          <w:rFonts w:hint="eastAsia" w:hAnsi="仿宋_GB2312" w:cs="仿宋_GB2312"/>
          <w:sz w:val="32"/>
          <w:szCs w:val="32"/>
        </w:rPr>
        <w:t>加快推进7</w:t>
      </w:r>
      <w:r>
        <w:rPr>
          <w:rFonts w:hint="eastAsia" w:hAnsi="仿宋_GB2312" w:cs="仿宋_GB2312"/>
          <w:b w:val="0"/>
          <w:bCs w:val="0"/>
          <w:sz w:val="32"/>
          <w:szCs w:val="32"/>
        </w:rPr>
        <w:t>个棚改</w:t>
      </w:r>
      <w:r>
        <w:rPr>
          <w:rFonts w:hint="eastAsia" w:hAnsi="仿宋_GB2312" w:cs="仿宋_GB2312"/>
          <w:sz w:val="32"/>
          <w:szCs w:val="32"/>
        </w:rPr>
        <w:t>项目，</w:t>
      </w:r>
      <w:r>
        <w:rPr>
          <w:rFonts w:hint="eastAsia" w:hAnsi="仿宋_GB2312" w:cs="仿宋_GB2312"/>
          <w:bCs/>
          <w:sz w:val="32"/>
          <w:szCs w:val="32"/>
        </w:rPr>
        <w:t>张家湾镇</w:t>
      </w:r>
      <w:r>
        <w:rPr>
          <w:rFonts w:hint="eastAsia" w:hAnsi="仿宋_GB2312" w:cs="仿宋_GB2312"/>
          <w:sz w:val="32"/>
          <w:szCs w:val="32"/>
        </w:rPr>
        <w:t>六小村安置房竣工交付。宋庄、潞城镇城中村改造项目顺利推进。新完工</w:t>
      </w:r>
      <w:r>
        <w:rPr>
          <w:rFonts w:hint="eastAsia" w:hAnsi="仿宋_GB2312" w:cs="仿宋_GB2312"/>
          <w:b w:val="0"/>
          <w:bCs w:val="0"/>
          <w:sz w:val="32"/>
          <w:szCs w:val="32"/>
        </w:rPr>
        <w:t>88个</w:t>
      </w:r>
      <w:bookmarkStart w:id="6" w:name="OLE_LINK79"/>
      <w:bookmarkStart w:id="7" w:name="OLE_LINK80"/>
      <w:r>
        <w:rPr>
          <w:rFonts w:hint="eastAsia" w:hAnsi="仿宋_GB2312" w:cs="仿宋_GB2312"/>
          <w:b w:val="0"/>
          <w:bCs w:val="0"/>
          <w:sz w:val="32"/>
          <w:szCs w:val="32"/>
        </w:rPr>
        <w:t>老旧小区综合整治</w:t>
      </w:r>
      <w:bookmarkEnd w:id="6"/>
      <w:bookmarkEnd w:id="7"/>
      <w:r>
        <w:rPr>
          <w:rFonts w:hint="eastAsia" w:hAnsi="仿宋_GB2312" w:cs="仿宋_GB2312"/>
          <w:b w:val="0"/>
          <w:bCs w:val="0"/>
          <w:sz w:val="32"/>
          <w:szCs w:val="32"/>
        </w:rPr>
        <w:t>，</w:t>
      </w:r>
      <w:bookmarkStart w:id="8" w:name="OLE_LINK91"/>
      <w:bookmarkStart w:id="9" w:name="OLE_LINK84"/>
      <w:bookmarkStart w:id="10" w:name="OLE_LINK83"/>
      <w:bookmarkStart w:id="11" w:name="OLE_LINK92"/>
      <w:r>
        <w:rPr>
          <w:rFonts w:hint="eastAsia" w:hAnsi="仿宋_GB2312" w:cs="仿宋_GB2312"/>
          <w:sz w:val="32"/>
          <w:szCs w:val="32"/>
        </w:rPr>
        <w:t>加装电梯70部</w:t>
      </w:r>
      <w:bookmarkEnd w:id="8"/>
      <w:bookmarkEnd w:id="9"/>
      <w:bookmarkEnd w:id="10"/>
      <w:bookmarkEnd w:id="11"/>
      <w:r>
        <w:rPr>
          <w:rFonts w:hint="eastAsia" w:hAnsi="Times New Roman"/>
          <w:sz w:val="32"/>
          <w:szCs w:val="32"/>
        </w:rPr>
        <w:t>。含章园家园中心基本完工。</w:t>
      </w:r>
      <w:bookmarkStart w:id="12" w:name="OLE_LINK94"/>
      <w:bookmarkStart w:id="13" w:name="OLE_LINK93"/>
      <w:r>
        <w:rPr>
          <w:rFonts w:hint="eastAsia" w:hAnsi="Times New Roman"/>
          <w:sz w:val="32"/>
          <w:szCs w:val="32"/>
        </w:rPr>
        <w:t>完成</w:t>
      </w:r>
      <w:r>
        <w:rPr>
          <w:rFonts w:hint="eastAsia" w:hAnsi="仿宋_GB2312" w:cs="仿宋_GB2312"/>
          <w:sz w:val="32"/>
          <w:szCs w:val="32"/>
        </w:rPr>
        <w:t>楼宇、厂房等</w:t>
      </w:r>
      <w:r>
        <w:rPr>
          <w:rFonts w:hint="eastAsia" w:hAnsi="仿宋_GB2312" w:cs="仿宋_GB2312"/>
          <w:b w:val="0"/>
          <w:bCs/>
          <w:sz w:val="32"/>
          <w:szCs w:val="32"/>
        </w:rPr>
        <w:t>产业空间更新改造</w:t>
      </w:r>
      <w:r>
        <w:rPr>
          <w:rFonts w:hint="eastAsia" w:hAnsi="仿宋_GB2312" w:cs="仿宋_GB2312"/>
          <w:sz w:val="32"/>
          <w:szCs w:val="32"/>
        </w:rPr>
        <w:t>201万平方米</w:t>
      </w:r>
      <w:bookmarkEnd w:id="12"/>
      <w:bookmarkEnd w:id="13"/>
      <w:r>
        <w:rPr>
          <w:rFonts w:hint="eastAsia" w:hAnsi="仿宋_GB2312" w:cs="仿宋_GB2312"/>
          <w:sz w:val="32"/>
          <w:szCs w:val="32"/>
        </w:rPr>
        <w:t>。水仙园老旧小区综合整治等4个项目入</w:t>
      </w:r>
      <w:r>
        <w:rPr>
          <w:rFonts w:hint="eastAsia" w:hAnsi="Times New Roman"/>
          <w:sz w:val="32"/>
          <w:szCs w:val="32"/>
        </w:rPr>
        <w:t>选北京城市更新“最佳实践”和“优秀项目”</w:t>
      </w:r>
      <w:r>
        <w:rPr>
          <w:rFonts w:hint="eastAsia" w:hAnsi="仿宋_GB2312" w:cs="仿宋_GB2312"/>
          <w:sz w:val="32"/>
          <w:szCs w:val="32"/>
        </w:rPr>
        <w:t>。</w:t>
      </w:r>
    </w:p>
    <w:p>
      <w:pPr>
        <w:pStyle w:val="2"/>
        <w:spacing w:line="560" w:lineRule="exact"/>
        <w:ind w:firstLine="763"/>
        <w:rPr>
          <w:rFonts w:cs="仿宋_GB2312"/>
          <w:bCs/>
          <w:sz w:val="32"/>
          <w:szCs w:val="32"/>
        </w:rPr>
      </w:pPr>
      <w:r>
        <w:rPr>
          <w:rFonts w:hint="eastAsia" w:ascii="楷体_GB2312" w:eastAsia="楷体_GB2312"/>
          <w:b w:val="0"/>
          <w:bCs/>
          <w:sz w:val="32"/>
          <w:szCs w:val="32"/>
          <w:lang w:eastAsia="zh-CN"/>
        </w:rPr>
        <w:t>（三）</w:t>
      </w:r>
      <w:r>
        <w:rPr>
          <w:rFonts w:hint="eastAsia" w:ascii="楷体_GB2312" w:eastAsia="楷体_GB2312"/>
          <w:b w:val="0"/>
          <w:bCs/>
          <w:sz w:val="32"/>
          <w:szCs w:val="32"/>
        </w:rPr>
        <w:t>加快建设特色小镇，乡村振兴成效显著。</w:t>
      </w:r>
      <w:r>
        <w:rPr>
          <w:rFonts w:hint="eastAsia" w:cs="仿宋_GB2312"/>
          <w:b w:val="0"/>
          <w:bCs/>
          <w:sz w:val="32"/>
          <w:szCs w:val="32"/>
        </w:rPr>
        <w:t>张家湾设计小镇</w:t>
      </w:r>
      <w:r>
        <w:rPr>
          <w:rFonts w:hint="eastAsia" w:cs="仿宋_GB2312"/>
          <w:bCs/>
          <w:sz w:val="32"/>
          <w:szCs w:val="32"/>
        </w:rPr>
        <w:t>北京未来设计实验室装修改造完成，怡禾生物园区更新改造项目投入运营。</w:t>
      </w:r>
      <w:r>
        <w:rPr>
          <w:rFonts w:hint="eastAsia" w:cs="仿宋_GB2312"/>
          <w:b w:val="0"/>
          <w:bCs/>
          <w:sz w:val="32"/>
          <w:szCs w:val="32"/>
        </w:rPr>
        <w:t>台湖演艺小镇</w:t>
      </w:r>
      <w:r>
        <w:rPr>
          <w:rFonts w:hint="eastAsia" w:cs="仿宋_GB2312"/>
          <w:bCs/>
          <w:sz w:val="32"/>
          <w:szCs w:val="32"/>
        </w:rPr>
        <w:t>橙天嘉禾音宇宙开业迎客，北投台湖文化演艺产业园“8字楼”竣工验收。</w:t>
      </w:r>
      <w:r>
        <w:rPr>
          <w:rFonts w:hint="eastAsia" w:cs="仿宋_GB2312"/>
          <w:b w:val="0"/>
          <w:bCs/>
          <w:sz w:val="32"/>
          <w:szCs w:val="32"/>
        </w:rPr>
        <w:t>宋庄艺术创意小镇</w:t>
      </w:r>
      <w:r>
        <w:rPr>
          <w:rFonts w:hint="eastAsia" w:cs="仿宋_GB2312"/>
          <w:bCs/>
          <w:sz w:val="32"/>
          <w:szCs w:val="32"/>
        </w:rPr>
        <w:t>城市副中心公共艺术孵化展示基地正式亮相，成功举办中国·宋庄文化艺术季。南部乡镇44个基础设施和公共服务项目加快实施。</w:t>
      </w:r>
      <w:r>
        <w:rPr>
          <w:rFonts w:hint="eastAsia" w:hAnsi="仿宋_GB2312" w:cs="仿宋_GB2312"/>
          <w:bCs/>
          <w:color w:val="000000"/>
          <w:sz w:val="32"/>
          <w:szCs w:val="32"/>
        </w:rPr>
        <w:t>64座农村污水处理厂站基本完工。累计</w:t>
      </w:r>
      <w:r>
        <w:rPr>
          <w:rFonts w:hint="eastAsia" w:cs="仿宋_GB2312"/>
          <w:bCs/>
          <w:sz w:val="32"/>
          <w:szCs w:val="32"/>
        </w:rPr>
        <w:t>207个村庄完成供水管线改造。</w:t>
      </w:r>
      <w:r>
        <w:rPr>
          <w:rFonts w:hint="eastAsia" w:cs="仿宋_GB2312"/>
          <w:b w:val="0"/>
          <w:bCs/>
          <w:sz w:val="32"/>
          <w:szCs w:val="32"/>
        </w:rPr>
        <w:t>加快现代农业试验区建设，</w:t>
      </w:r>
      <w:r>
        <w:rPr>
          <w:rFonts w:cs="仿宋_GB2312"/>
          <w:bCs/>
          <w:sz w:val="32"/>
          <w:szCs w:val="32"/>
        </w:rPr>
        <w:t>11</w:t>
      </w:r>
      <w:r>
        <w:rPr>
          <w:rFonts w:hint="eastAsia" w:cs="仿宋_GB2312"/>
          <w:bCs/>
          <w:sz w:val="32"/>
          <w:szCs w:val="32"/>
        </w:rPr>
        <w:t>万余亩耕地实现集中流转、统一经营，全市首家“伏羲农场”落地发展。成功举办第32届中国北京种业大会</w:t>
      </w:r>
      <w:r>
        <w:rPr>
          <w:rFonts w:hint="eastAsia"/>
          <w:bCs/>
          <w:sz w:val="32"/>
          <w:szCs w:val="32"/>
        </w:rPr>
        <w:t>。</w:t>
      </w:r>
      <w:r>
        <w:rPr>
          <w:rFonts w:hint="eastAsia" w:cs="仿宋_GB2312"/>
          <w:b w:val="0"/>
          <w:bCs/>
          <w:sz w:val="32"/>
          <w:szCs w:val="32"/>
        </w:rPr>
        <w:t>推进“百千工程”建设，</w:t>
      </w:r>
      <w:r>
        <w:rPr>
          <w:rFonts w:hint="eastAsia" w:cs="仿宋_GB2312"/>
          <w:bCs/>
          <w:sz w:val="32"/>
          <w:szCs w:val="32"/>
        </w:rPr>
        <w:t>台湖“环影宿游”示范片区全面建成，</w:t>
      </w:r>
      <w:r>
        <w:rPr>
          <w:rFonts w:cs="仿宋_GB2312"/>
          <w:bCs/>
          <w:sz w:val="32"/>
          <w:szCs w:val="32"/>
        </w:rPr>
        <w:t>西集</w:t>
      </w:r>
      <w:r>
        <w:rPr>
          <w:rFonts w:hint="eastAsia" w:cs="仿宋_GB2312"/>
          <w:bCs/>
          <w:sz w:val="32"/>
          <w:szCs w:val="32"/>
        </w:rPr>
        <w:t>“樱游运河”示范片区一期工程全面完工。</w:t>
      </w:r>
    </w:p>
    <w:p>
      <w:pPr>
        <w:spacing w:line="560" w:lineRule="exact"/>
        <w:ind w:firstLine="640" w:firstLineChars="200"/>
        <w:rPr>
          <w:sz w:val="32"/>
          <w:szCs w:val="32"/>
        </w:rPr>
      </w:pPr>
      <w:r>
        <w:rPr>
          <w:rFonts w:hint="eastAsia" w:ascii="楷体_GB2312" w:hAnsi="Courier New" w:eastAsia="楷体_GB2312" w:cs="Courier New"/>
          <w:b w:val="0"/>
          <w:bCs/>
          <w:sz w:val="32"/>
          <w:szCs w:val="32"/>
          <w:lang w:eastAsia="zh-CN"/>
        </w:rPr>
        <w:t>（四）</w:t>
      </w:r>
      <w:r>
        <w:rPr>
          <w:rFonts w:hint="eastAsia" w:ascii="楷体_GB2312" w:hAnsi="Courier New" w:eastAsia="楷体_GB2312" w:cs="Courier New"/>
          <w:b w:val="0"/>
          <w:bCs/>
          <w:sz w:val="32"/>
          <w:szCs w:val="32"/>
        </w:rPr>
        <w:t>纵深推进</w:t>
      </w:r>
      <w:r>
        <w:rPr>
          <w:rFonts w:ascii="楷体_GB2312" w:hAnsi="Courier New" w:eastAsia="楷体_GB2312" w:cs="Courier New"/>
          <w:b w:val="0"/>
          <w:bCs/>
          <w:sz w:val="32"/>
          <w:szCs w:val="32"/>
        </w:rPr>
        <w:t>区域协同，一体化发展成果丰硕。</w:t>
      </w:r>
      <w:r>
        <w:rPr>
          <w:rFonts w:hint="eastAsia" w:ascii="仿宋_GB2312" w:hAnsi="仿宋_GB2312" w:eastAsia="仿宋_GB2312" w:cs="仿宋_GB2312"/>
          <w:b w:val="0"/>
          <w:bCs/>
          <w:sz w:val="32"/>
          <w:szCs w:val="32"/>
        </w:rPr>
        <w:t>通州区与北三县一体化高质量发展示范区</w:t>
      </w:r>
      <w:r>
        <w:rPr>
          <w:rFonts w:hint="eastAsia" w:ascii="仿宋_GB2312" w:hAnsi="仿宋_GB2312" w:eastAsia="仿宋_GB2312" w:cs="仿宋_GB2312"/>
          <w:bCs/>
          <w:sz w:val="32"/>
          <w:szCs w:val="32"/>
        </w:rPr>
        <w:t>执委会高效运行。创新建立交通运输领域部、市、区三级联动机制，轨道交通22号线通州段5座车站主体结构封顶，石小路建成通车，完成白庙南、白庙北进京检查站优化改造，与北三县通行效率提升。通武廊地区康复专科联盟正式成立，区妇幼保健院托管大厂妇幼保健院开诊运行。京津冀养老机构等级评定和老人能力评估结果实现互认。北京城市副中心新市镇研究院挂牌成立，加快推动通武廊交界重点区域创新发展。与</w:t>
      </w:r>
      <w:r>
        <w:rPr>
          <w:rFonts w:hint="eastAsia" w:ascii="仿宋_GB2312" w:hAnsi="仿宋_GB2312" w:eastAsia="仿宋_GB2312" w:cs="仿宋_GB2312"/>
          <w:b w:val="0"/>
          <w:bCs/>
          <w:sz w:val="32"/>
          <w:szCs w:val="32"/>
        </w:rPr>
        <w:t>雄安新区</w:t>
      </w:r>
      <w:r>
        <w:rPr>
          <w:rFonts w:hint="eastAsia" w:ascii="仿宋_GB2312" w:hAnsi="仿宋_GB2312" w:eastAsia="仿宋_GB2312" w:cs="仿宋_GB2312"/>
          <w:bCs/>
          <w:sz w:val="32"/>
          <w:szCs w:val="32"/>
        </w:rPr>
        <w:t>拓展人才政策、规划编制等领域合作，实现政务服务“区域通办”全覆盖。</w:t>
      </w:r>
      <w:bookmarkStart w:id="14" w:name="OLE_LINK145"/>
      <w:bookmarkStart w:id="15" w:name="OLE_LINK152"/>
      <w:bookmarkStart w:id="16" w:name="OLE_LINK146"/>
      <w:r>
        <w:rPr>
          <w:rFonts w:hint="eastAsia" w:ascii="仿宋_GB2312" w:hAnsi="仿宋_GB2312" w:eastAsia="仿宋_GB2312" w:cs="仿宋_GB2312"/>
          <w:b w:val="0"/>
          <w:bCs/>
          <w:sz w:val="32"/>
          <w:szCs w:val="32"/>
        </w:rPr>
        <w:t>通亦协同更加紧密，</w:t>
      </w:r>
      <w:bookmarkEnd w:id="14"/>
      <w:bookmarkEnd w:id="15"/>
      <w:bookmarkEnd w:id="16"/>
      <w:r>
        <w:rPr>
          <w:rFonts w:hint="eastAsia" w:ascii="仿宋_GB2312" w:hAnsi="仿宋_GB2312" w:eastAsia="仿宋_GB2312" w:cs="仿宋_GB2312"/>
          <w:bCs/>
          <w:sz w:val="32"/>
          <w:szCs w:val="32"/>
        </w:rPr>
        <w:t>基础设施、产业发展等29个项目按计划实施。</w:t>
      </w:r>
      <w:r>
        <w:rPr>
          <w:rFonts w:hint="eastAsia" w:ascii="仿宋_GB2312" w:hAnsi="仿宋_GB2312" w:eastAsia="仿宋_GB2312" w:cs="仿宋_GB2312"/>
          <w:b w:val="0"/>
          <w:bCs/>
          <w:sz w:val="32"/>
          <w:szCs w:val="32"/>
        </w:rPr>
        <w:t>四区结对</w:t>
      </w:r>
      <w:r>
        <w:rPr>
          <w:rFonts w:hint="eastAsia" w:ascii="仿宋_GB2312" w:hAnsi="仿宋_GB2312" w:eastAsia="仿宋_GB2312" w:cs="仿宋_GB2312"/>
          <w:bCs/>
          <w:sz w:val="32"/>
          <w:szCs w:val="32"/>
        </w:rPr>
        <w:t>成效</w:t>
      </w:r>
      <w:r>
        <w:rPr>
          <w:rFonts w:hint="eastAsia" w:ascii="仿宋_GB2312" w:hAnsi="仿宋_GB2312" w:eastAsia="仿宋_GB2312" w:cs="仿宋_GB2312"/>
          <w:sz w:val="32"/>
          <w:szCs w:val="32"/>
        </w:rPr>
        <w:t>明显，16个结对项目全部落地。</w:t>
      </w:r>
    </w:p>
    <w:p>
      <w:pPr>
        <w:widowControl/>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二、全面夯实产业基础，综合竞争力接续跃升</w:t>
      </w:r>
    </w:p>
    <w:p>
      <w:pPr>
        <w:pStyle w:val="2"/>
        <w:spacing w:line="560" w:lineRule="exact"/>
        <w:ind w:firstLine="763"/>
        <w:rPr>
          <w:rFonts w:ascii="楷体_GB2312" w:hAnsi="仿宋_GB2312" w:eastAsia="楷体_GB2312" w:cs="仿宋_GB2312"/>
          <w:b/>
          <w:sz w:val="32"/>
          <w:szCs w:val="32"/>
        </w:rPr>
      </w:pPr>
      <w:r>
        <w:rPr>
          <w:rFonts w:hint="eastAsia" w:ascii="楷体_GB2312" w:hAnsi="仿宋_GB2312" w:eastAsia="楷体_GB2312" w:cs="仿宋_GB2312"/>
          <w:b w:val="0"/>
          <w:bCs/>
          <w:sz w:val="32"/>
          <w:szCs w:val="32"/>
          <w:lang w:eastAsia="zh-CN"/>
        </w:rPr>
        <w:t>（一）</w:t>
      </w:r>
      <w:r>
        <w:rPr>
          <w:rFonts w:hint="eastAsia" w:ascii="楷体_GB2312" w:hAnsi="仿宋_GB2312" w:eastAsia="楷体_GB2312" w:cs="仿宋_GB2312"/>
          <w:b w:val="0"/>
          <w:bCs/>
          <w:sz w:val="32"/>
          <w:szCs w:val="32"/>
        </w:rPr>
        <w:t>持续增强要素支撑，产业生态不断优化</w:t>
      </w:r>
      <w:r>
        <w:rPr>
          <w:rFonts w:hint="eastAsia"/>
          <w:b w:val="0"/>
          <w:bCs/>
          <w:sz w:val="32"/>
          <w:szCs w:val="32"/>
        </w:rPr>
        <w:t>。</w:t>
      </w:r>
      <w:bookmarkStart w:id="17" w:name="OLE_LINK131"/>
      <w:bookmarkStart w:id="18" w:name="OLE_LINK130"/>
      <w:r>
        <w:rPr>
          <w:rFonts w:hint="eastAsia"/>
          <w:sz w:val="32"/>
          <w:szCs w:val="32"/>
        </w:rPr>
        <w:t>全面迭代“1</w:t>
      </w:r>
      <w:r>
        <w:rPr>
          <w:rFonts w:hint="eastAsia"/>
          <w:b w:val="0"/>
          <w:bCs w:val="0"/>
          <w:sz w:val="32"/>
          <w:szCs w:val="32"/>
        </w:rPr>
        <w:t>+1+N”产业政策体系，20项政策细则持续完善。拓展升级产业空间，推进中关村新一轮空间调整和目录修订。北京城市副中心“未来设计+大健康”两业融合示范区正式授牌。制定发布青年后备人才支持措施，评选认定“运河英才”超1000人。加速集聚创新资源，市级及以上创新平台累计达到</w:t>
      </w:r>
      <w:r>
        <w:rPr>
          <w:b w:val="0"/>
          <w:bCs w:val="0"/>
          <w:sz w:val="32"/>
          <w:szCs w:val="32"/>
        </w:rPr>
        <w:t>167</w:t>
      </w:r>
      <w:r>
        <w:rPr>
          <w:rFonts w:hint="eastAsia"/>
          <w:b w:val="0"/>
          <w:bCs w:val="0"/>
          <w:sz w:val="32"/>
          <w:szCs w:val="32"/>
        </w:rPr>
        <w:t>家。</w:t>
      </w:r>
      <w:bookmarkStart w:id="19" w:name="OLE_LINK106"/>
      <w:bookmarkStart w:id="20" w:name="OLE_LINK107"/>
      <w:r>
        <w:rPr>
          <w:rFonts w:hint="eastAsia"/>
          <w:b w:val="0"/>
          <w:bCs w:val="0"/>
          <w:sz w:val="32"/>
          <w:szCs w:val="32"/>
        </w:rPr>
        <w:t>大中型重点企业研发费用规模增速位居全市前列。加快场景培育和</w:t>
      </w:r>
      <w:bookmarkEnd w:id="19"/>
      <w:bookmarkEnd w:id="20"/>
      <w:r>
        <w:rPr>
          <w:rFonts w:hint="eastAsia"/>
          <w:b w:val="0"/>
          <w:bCs w:val="0"/>
          <w:sz w:val="32"/>
          <w:szCs w:val="32"/>
        </w:rPr>
        <w:t>开放，新挖掘征集场景机会163项、场景能力291项，智能巡检机器人等特色场景落地。建立健全“大招商”体系，全面搭建财源建设等奖励激励体系。完善企业“服务包”机制</w:t>
      </w:r>
      <w:r>
        <w:rPr>
          <w:rFonts w:hint="eastAsia" w:ascii="Times New Roman" w:hAnsi="Times New Roman" w:eastAsia="宋体"/>
          <w:b w:val="0"/>
          <w:bCs w:val="0"/>
          <w:sz w:val="32"/>
          <w:szCs w:val="32"/>
        </w:rPr>
        <w:t>，</w:t>
      </w:r>
      <w:bookmarkStart w:id="21" w:name="OLE_LINK16"/>
      <w:bookmarkStart w:id="22" w:name="OLE_LINK17"/>
      <w:r>
        <w:rPr>
          <w:rFonts w:hint="eastAsia"/>
          <w:b w:val="0"/>
          <w:bCs w:val="0"/>
          <w:sz w:val="32"/>
          <w:szCs w:val="32"/>
        </w:rPr>
        <w:t>企业诉求办结率和满意率持续保持100%</w:t>
      </w:r>
      <w:bookmarkEnd w:id="21"/>
      <w:bookmarkEnd w:id="22"/>
      <w:r>
        <w:rPr>
          <w:rFonts w:hint="eastAsia"/>
          <w:b w:val="0"/>
          <w:bCs w:val="0"/>
          <w:sz w:val="32"/>
          <w:szCs w:val="32"/>
        </w:rPr>
        <w:t>。</w:t>
      </w:r>
      <w:bookmarkEnd w:id="17"/>
      <w:bookmarkEnd w:id="18"/>
      <w:r>
        <w:rPr>
          <w:rFonts w:hint="eastAsia"/>
          <w:b w:val="0"/>
          <w:bCs w:val="0"/>
          <w:sz w:val="32"/>
          <w:szCs w:val="32"/>
        </w:rPr>
        <w:t>跨区协同“一次查”入选国家市场监管总局优秀实践案例</w:t>
      </w:r>
      <w:r>
        <w:rPr>
          <w:rFonts w:hint="eastAsia"/>
          <w:sz w:val="32"/>
          <w:szCs w:val="32"/>
        </w:rPr>
        <w:t>。</w:t>
      </w:r>
    </w:p>
    <w:p>
      <w:pPr>
        <w:pStyle w:val="2"/>
        <w:spacing w:line="560" w:lineRule="exact"/>
        <w:ind w:firstLine="763"/>
        <w:rPr>
          <w:bCs/>
          <w:sz w:val="32"/>
          <w:szCs w:val="32"/>
        </w:rPr>
      </w:pPr>
      <w:r>
        <w:rPr>
          <w:rFonts w:hint="eastAsia" w:ascii="楷体_GB2312" w:hAnsi="仿宋_GB2312" w:eastAsia="楷体_GB2312" w:cs="仿宋_GB2312"/>
          <w:b w:val="0"/>
          <w:bCs/>
          <w:sz w:val="32"/>
          <w:szCs w:val="32"/>
          <w:lang w:eastAsia="zh-CN"/>
        </w:rPr>
        <w:t>（二）</w:t>
      </w:r>
      <w:r>
        <w:rPr>
          <w:rFonts w:hint="eastAsia" w:ascii="楷体_GB2312" w:hAnsi="仿宋_GB2312" w:eastAsia="楷体_GB2312" w:cs="仿宋_GB2312"/>
          <w:b w:val="0"/>
          <w:bCs/>
          <w:sz w:val="32"/>
          <w:szCs w:val="32"/>
        </w:rPr>
        <w:t>加速培育新动能，产业发展实现量质齐升。</w:t>
      </w:r>
      <w:bookmarkStart w:id="23" w:name="OLE_LINK129"/>
      <w:bookmarkStart w:id="24" w:name="OLE_LINK128"/>
      <w:r>
        <w:rPr>
          <w:rFonts w:hint="eastAsia"/>
          <w:b w:val="0"/>
          <w:bCs/>
          <w:sz w:val="32"/>
          <w:szCs w:val="32"/>
        </w:rPr>
        <w:t>先进制造业</w:t>
      </w:r>
      <w:r>
        <w:rPr>
          <w:rFonts w:hint="eastAsia"/>
          <w:bCs/>
          <w:sz w:val="32"/>
          <w:szCs w:val="32"/>
        </w:rPr>
        <w:t>带动规上工业总产值突破</w:t>
      </w:r>
      <w:r>
        <w:rPr>
          <w:bCs/>
          <w:sz w:val="32"/>
          <w:szCs w:val="32"/>
        </w:rPr>
        <w:t>1700</w:t>
      </w:r>
      <w:r>
        <w:rPr>
          <w:rFonts w:hint="eastAsia"/>
          <w:bCs/>
          <w:sz w:val="32"/>
          <w:szCs w:val="32"/>
        </w:rPr>
        <w:t>亿元，增速居全市第一。维通利电气、蒙牛高科等6个项目竣工验收。</w:t>
      </w:r>
      <w:r>
        <w:rPr>
          <w:rFonts w:hint="eastAsia"/>
          <w:b w:val="0"/>
          <w:bCs/>
          <w:spacing w:val="-6"/>
          <w:sz w:val="32"/>
          <w:szCs w:val="32"/>
        </w:rPr>
        <w:t>数字经济</w:t>
      </w:r>
      <w:r>
        <w:rPr>
          <w:rFonts w:hint="eastAsia"/>
          <w:bCs/>
          <w:spacing w:val="-6"/>
          <w:sz w:val="32"/>
          <w:szCs w:val="32"/>
        </w:rPr>
        <w:t>规上核心企业数量增长超</w:t>
      </w:r>
      <w:r>
        <w:rPr>
          <w:bCs/>
          <w:spacing w:val="-6"/>
          <w:sz w:val="32"/>
          <w:szCs w:val="32"/>
        </w:rPr>
        <w:t>20%</w:t>
      </w:r>
      <w:r>
        <w:rPr>
          <w:rFonts w:hint="eastAsia"/>
          <w:bCs/>
          <w:sz w:val="32"/>
          <w:szCs w:val="32"/>
        </w:rPr>
        <w:t>。</w:t>
      </w:r>
      <w:r>
        <w:rPr>
          <w:rFonts w:hint="eastAsia" w:hAnsi="仿宋_GB2312" w:cs="仿宋_GB2312"/>
          <w:bCs/>
          <w:sz w:val="32"/>
          <w:szCs w:val="32"/>
        </w:rPr>
        <w:t>软通动力实现</w:t>
      </w:r>
      <w:r>
        <w:rPr>
          <w:rFonts w:hint="eastAsia"/>
          <w:bCs/>
          <w:sz w:val="32"/>
          <w:szCs w:val="32"/>
        </w:rPr>
        <w:t>信创整机品牌“软通华方”京牌京产</w:t>
      </w:r>
      <w:r>
        <w:rPr>
          <w:rFonts w:hint="eastAsia"/>
          <w:bCs/>
          <w:spacing w:val="-6"/>
          <w:sz w:val="32"/>
          <w:szCs w:val="32"/>
        </w:rPr>
        <w:t>。数智北京创新中心投入运行，承办“数据要素×”大赛等</w:t>
      </w:r>
      <w:r>
        <w:rPr>
          <w:bCs/>
          <w:spacing w:val="-6"/>
          <w:sz w:val="32"/>
          <w:szCs w:val="32"/>
        </w:rPr>
        <w:t>137</w:t>
      </w:r>
      <w:r>
        <w:rPr>
          <w:rFonts w:hint="eastAsia"/>
          <w:bCs/>
          <w:spacing w:val="-6"/>
          <w:sz w:val="32"/>
          <w:szCs w:val="32"/>
        </w:rPr>
        <w:t>场活动。</w:t>
      </w:r>
      <w:r>
        <w:rPr>
          <w:rFonts w:hint="eastAsia"/>
          <w:b w:val="0"/>
          <w:bCs/>
          <w:sz w:val="32"/>
          <w:szCs w:val="32"/>
        </w:rPr>
        <w:t>现代金融</w:t>
      </w:r>
      <w:r>
        <w:rPr>
          <w:rFonts w:hint="eastAsia"/>
          <w:bCs/>
          <w:sz w:val="32"/>
          <w:szCs w:val="32"/>
        </w:rPr>
        <w:t>聚力壮大，邮储银行北京分行正式落地，华夏理财、北银理财资管规模突破万亿，中关村科金持续入选全球独角兽榜。</w:t>
      </w:r>
    </w:p>
    <w:bookmarkEnd w:id="23"/>
    <w:bookmarkEnd w:id="24"/>
    <w:p>
      <w:pPr>
        <w:pStyle w:val="2"/>
        <w:spacing w:line="560" w:lineRule="exact"/>
        <w:ind w:firstLine="763"/>
        <w:rPr>
          <w:sz w:val="32"/>
          <w:szCs w:val="32"/>
        </w:rPr>
      </w:pPr>
      <w:r>
        <w:rPr>
          <w:rFonts w:hint="eastAsia" w:ascii="楷体_GB2312" w:hAnsi="Courier New" w:eastAsia="楷体_GB2312" w:cs="Courier New"/>
          <w:b w:val="0"/>
          <w:bCs/>
          <w:sz w:val="32"/>
          <w:szCs w:val="32"/>
          <w:lang w:eastAsia="zh-CN"/>
        </w:rPr>
        <w:t>（三）</w:t>
      </w:r>
      <w:r>
        <w:rPr>
          <w:rFonts w:hint="eastAsia" w:ascii="楷体_GB2312" w:hAnsi="Courier New" w:eastAsia="楷体_GB2312" w:cs="Courier New"/>
          <w:b w:val="0"/>
          <w:bCs/>
          <w:sz w:val="32"/>
          <w:szCs w:val="32"/>
        </w:rPr>
        <w:t>深入推进</w:t>
      </w:r>
      <w:r>
        <w:rPr>
          <w:rFonts w:ascii="楷体_GB2312" w:hAnsi="Courier New" w:eastAsia="楷体_GB2312" w:cs="Courier New"/>
          <w:b w:val="0"/>
          <w:bCs/>
          <w:sz w:val="32"/>
          <w:szCs w:val="32"/>
        </w:rPr>
        <w:t>文</w:t>
      </w:r>
      <w:r>
        <w:rPr>
          <w:rFonts w:hint="eastAsia" w:ascii="楷体_GB2312" w:hAnsi="Courier New" w:eastAsia="楷体_GB2312" w:cs="Courier New"/>
          <w:b w:val="0"/>
          <w:bCs/>
          <w:sz w:val="32"/>
          <w:szCs w:val="32"/>
        </w:rPr>
        <w:t>商</w:t>
      </w:r>
      <w:r>
        <w:rPr>
          <w:rFonts w:ascii="楷体_GB2312" w:hAnsi="Courier New" w:eastAsia="楷体_GB2312" w:cs="Courier New"/>
          <w:b w:val="0"/>
          <w:bCs/>
          <w:sz w:val="32"/>
          <w:szCs w:val="32"/>
        </w:rPr>
        <w:t>旅</w:t>
      </w:r>
      <w:r>
        <w:rPr>
          <w:rFonts w:hint="eastAsia" w:ascii="楷体_GB2312" w:hAnsi="Courier New" w:eastAsia="楷体_GB2312" w:cs="Courier New"/>
          <w:b w:val="0"/>
          <w:bCs/>
          <w:sz w:val="32"/>
          <w:szCs w:val="32"/>
        </w:rPr>
        <w:t>体展</w:t>
      </w:r>
      <w:r>
        <w:rPr>
          <w:rFonts w:ascii="楷体_GB2312" w:hAnsi="Courier New" w:eastAsia="楷体_GB2312" w:cs="Courier New"/>
          <w:b w:val="0"/>
          <w:bCs/>
          <w:sz w:val="32"/>
          <w:szCs w:val="32"/>
        </w:rPr>
        <w:t>融合，消费能级显著提高。</w:t>
      </w:r>
      <w:bookmarkStart w:id="25" w:name="OLE_LINK126"/>
      <w:bookmarkStart w:id="26" w:name="OLE_LINK127"/>
      <w:r>
        <w:rPr>
          <w:rFonts w:hint="eastAsia"/>
          <w:bCs/>
          <w:sz w:val="32"/>
          <w:szCs w:val="32"/>
        </w:rPr>
        <w:t>高</w:t>
      </w:r>
      <w:r>
        <w:rPr>
          <w:rFonts w:hint="eastAsia"/>
          <w:sz w:val="32"/>
          <w:szCs w:val="32"/>
        </w:rPr>
        <w:t>标准承办</w:t>
      </w:r>
      <w:bookmarkStart w:id="27" w:name="OLE_LINK138"/>
      <w:bookmarkStart w:id="28" w:name="OLE_LINK139"/>
      <w:r>
        <w:rPr>
          <w:rFonts w:hint="eastAsia"/>
          <w:sz w:val="32"/>
          <w:szCs w:val="32"/>
        </w:rPr>
        <w:t>“</w:t>
      </w:r>
      <w:bookmarkStart w:id="29" w:name="OLE_LINK191"/>
      <w:bookmarkStart w:id="30" w:name="OLE_LINK192"/>
      <w:r>
        <w:rPr>
          <w:rFonts w:hint="eastAsia"/>
          <w:sz w:val="32"/>
          <w:szCs w:val="32"/>
        </w:rPr>
        <w:t>5·</w:t>
      </w:r>
      <w:bookmarkEnd w:id="29"/>
      <w:bookmarkEnd w:id="30"/>
      <w:r>
        <w:rPr>
          <w:rFonts w:hint="eastAsia"/>
          <w:sz w:val="32"/>
          <w:szCs w:val="32"/>
        </w:rPr>
        <w:t>18国际博物馆日”中国主会场</w:t>
      </w:r>
      <w:bookmarkEnd w:id="27"/>
      <w:bookmarkEnd w:id="28"/>
      <w:r>
        <w:rPr>
          <w:rFonts w:hint="eastAsia"/>
          <w:sz w:val="32"/>
          <w:szCs w:val="32"/>
        </w:rPr>
        <w:t>、</w:t>
      </w:r>
      <w:r>
        <w:rPr>
          <w:rFonts w:hint="eastAsia" w:hAnsi="Calibri"/>
          <w:sz w:val="32"/>
          <w:szCs w:val="32"/>
        </w:rPr>
        <w:t>中国文化馆年会、</w:t>
      </w:r>
      <w:bookmarkStart w:id="31" w:name="OLE_LINK137"/>
      <w:bookmarkStart w:id="32" w:name="OLE_LINK136"/>
      <w:r>
        <w:rPr>
          <w:rFonts w:hint="eastAsia" w:hAnsi="Calibri"/>
          <w:sz w:val="32"/>
          <w:szCs w:val="32"/>
        </w:rPr>
        <w:t>北京国际非遗周</w:t>
      </w:r>
      <w:bookmarkEnd w:id="31"/>
      <w:bookmarkEnd w:id="32"/>
      <w:r>
        <w:rPr>
          <w:rFonts w:hint="eastAsia"/>
          <w:sz w:val="32"/>
          <w:szCs w:val="32"/>
        </w:rPr>
        <w:t>等国家级活动</w:t>
      </w:r>
      <w:r>
        <w:rPr>
          <w:rFonts w:hint="eastAsia" w:hAnsi="Calibri"/>
          <w:sz w:val="32"/>
          <w:szCs w:val="32"/>
        </w:rPr>
        <w:t>。</w:t>
      </w:r>
      <w:r>
        <w:rPr>
          <w:rFonts w:hint="eastAsia"/>
          <w:sz w:val="32"/>
          <w:szCs w:val="32"/>
        </w:rPr>
        <w:t>充分发挥大文旅发展工作专班统筹作用，50余项重点项目扎实推进，“运河上的通州”文旅品牌持续擦亮。“运河有戏”演出季</w:t>
      </w:r>
      <w:r>
        <w:rPr>
          <w:rFonts w:hint="eastAsia" w:hAnsi="Calibri"/>
          <w:sz w:val="32"/>
          <w:szCs w:val="32"/>
        </w:rPr>
        <w:t>推出各类演出</w:t>
      </w:r>
      <w:r>
        <w:rPr>
          <w:rFonts w:hint="eastAsia"/>
          <w:sz w:val="32"/>
          <w:szCs w:val="32"/>
        </w:rPr>
        <w:t>1600余场</w:t>
      </w:r>
      <w:r>
        <w:rPr>
          <w:rFonts w:hint="eastAsia" w:hAnsi="Calibri"/>
          <w:sz w:val="32"/>
          <w:szCs w:val="32"/>
        </w:rPr>
        <w:t>。</w:t>
      </w:r>
      <w:bookmarkStart w:id="33" w:name="OLE_LINK109"/>
      <w:bookmarkStart w:id="34" w:name="OLE_LINK108"/>
      <w:r>
        <w:rPr>
          <w:rFonts w:hint="eastAsia" w:hAnsi="Calibri"/>
          <w:sz w:val="32"/>
          <w:szCs w:val="32"/>
        </w:rPr>
        <w:t>高水平举办副中心“双马”、龙舟赛等19场国家级、市级赛事。</w:t>
      </w:r>
      <w:bookmarkEnd w:id="33"/>
      <w:bookmarkEnd w:id="34"/>
      <w:r>
        <w:rPr>
          <w:rFonts w:hint="eastAsia"/>
          <w:sz w:val="32"/>
          <w:szCs w:val="32"/>
        </w:rPr>
        <w:t>打造70余条</w:t>
      </w:r>
      <w:r>
        <w:rPr>
          <w:sz w:val="32"/>
          <w:szCs w:val="32"/>
        </w:rPr>
        <w:t>精品文旅线路</w:t>
      </w:r>
      <w:r>
        <w:rPr>
          <w:rFonts w:hint="eastAsia"/>
          <w:sz w:val="32"/>
          <w:szCs w:val="32"/>
        </w:rPr>
        <w:t>。</w:t>
      </w:r>
      <w:r>
        <w:rPr>
          <w:rFonts w:hint="eastAsia" w:hAnsi="Calibri"/>
          <w:sz w:val="32"/>
          <w:szCs w:val="32"/>
        </w:rPr>
        <w:t>大运河滨水设施体系不断完善，</w:t>
      </w:r>
      <w:r>
        <w:rPr>
          <w:rFonts w:hint="eastAsia" w:hAnsi="仿宋_GB2312" w:cs="仿宋_GB2312"/>
          <w:bCs/>
          <w:sz w:val="32"/>
          <w:szCs w:val="32"/>
        </w:rPr>
        <w:t>三大文化设施滨河空间高水平运营。</w:t>
      </w:r>
      <w:r>
        <w:rPr>
          <w:rFonts w:hint="eastAsia"/>
          <w:sz w:val="32"/>
          <w:szCs w:val="32"/>
        </w:rPr>
        <w:t>九棵树等传统商圈完成改造。</w:t>
      </w:r>
      <w:r>
        <w:rPr>
          <w:sz w:val="32"/>
          <w:szCs w:val="32"/>
        </w:rPr>
        <w:t>一刻钟便民生活圈</w:t>
      </w:r>
      <w:r>
        <w:rPr>
          <w:rFonts w:hint="eastAsia"/>
          <w:sz w:val="32"/>
          <w:szCs w:val="32"/>
        </w:rPr>
        <w:t>实现全覆盖。首家“即买即退”退税商店开业运营</w:t>
      </w:r>
      <w:r>
        <w:rPr>
          <w:rFonts w:hint="eastAsia" w:hAnsi="Calibri"/>
          <w:sz w:val="32"/>
          <w:szCs w:val="32"/>
        </w:rPr>
        <w:t>，100余家品牌首店批量入驻。规上文体娱乐业企业收入同比增长</w:t>
      </w:r>
      <w:r>
        <w:rPr>
          <w:rFonts w:hAnsi="Calibri"/>
          <w:sz w:val="32"/>
          <w:szCs w:val="32"/>
        </w:rPr>
        <w:t>8.7</w:t>
      </w:r>
      <w:r>
        <w:rPr>
          <w:rFonts w:hint="eastAsia" w:hAnsi="Calibri"/>
          <w:sz w:val="32"/>
          <w:szCs w:val="32"/>
        </w:rPr>
        <w:t>%，</w:t>
      </w:r>
      <w:r>
        <w:rPr>
          <w:sz w:val="32"/>
          <w:szCs w:val="32"/>
        </w:rPr>
        <w:t>批发</w:t>
      </w:r>
      <w:r>
        <w:rPr>
          <w:rFonts w:hint="eastAsia"/>
          <w:sz w:val="32"/>
          <w:szCs w:val="32"/>
        </w:rPr>
        <w:t>和</w:t>
      </w:r>
      <w:r>
        <w:rPr>
          <w:sz w:val="32"/>
          <w:szCs w:val="32"/>
        </w:rPr>
        <w:t>零售业销售额增速居全市</w:t>
      </w:r>
      <w:r>
        <w:rPr>
          <w:rFonts w:hint="eastAsia"/>
          <w:sz w:val="32"/>
          <w:szCs w:val="32"/>
        </w:rPr>
        <w:t>前列。</w:t>
      </w:r>
    </w:p>
    <w:bookmarkEnd w:id="25"/>
    <w:bookmarkEnd w:id="26"/>
    <w:p>
      <w:pPr>
        <w:widowControl/>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三、靶向发力城市治理，宜居品质显著提升</w:t>
      </w:r>
    </w:p>
    <w:p>
      <w:pPr>
        <w:spacing w:line="560" w:lineRule="exact"/>
        <w:ind w:firstLine="640" w:firstLineChars="200"/>
        <w:rPr>
          <w:rFonts w:ascii="仿宋_GB2312" w:hAnsi="仿宋_GB2312" w:eastAsia="仿宋_GB2312" w:cs="仿宋_GB2312"/>
          <w:sz w:val="32"/>
          <w:szCs w:val="32"/>
        </w:rPr>
      </w:pPr>
      <w:r>
        <w:rPr>
          <w:rFonts w:hint="eastAsia" w:ascii="楷体_GB2312" w:hAnsi="Courier New" w:eastAsia="楷体_GB2312" w:cs="Courier New"/>
          <w:b w:val="0"/>
          <w:bCs/>
          <w:sz w:val="32"/>
          <w:szCs w:val="32"/>
          <w:lang w:eastAsia="zh-CN"/>
        </w:rPr>
        <w:t>（一）</w:t>
      </w:r>
      <w:r>
        <w:rPr>
          <w:rFonts w:ascii="楷体_GB2312" w:hAnsi="Courier New" w:eastAsia="楷体_GB2312" w:cs="Courier New"/>
          <w:b w:val="0"/>
          <w:bCs/>
          <w:sz w:val="32"/>
          <w:szCs w:val="32"/>
        </w:rPr>
        <w:t>强</w:t>
      </w:r>
      <w:r>
        <w:rPr>
          <w:rFonts w:hint="eastAsia" w:ascii="楷体_GB2312" w:hAnsi="Courier New" w:eastAsia="楷体_GB2312" w:cs="Courier New"/>
          <w:b w:val="0"/>
          <w:bCs/>
          <w:sz w:val="32"/>
          <w:szCs w:val="32"/>
        </w:rPr>
        <w:t>化</w:t>
      </w:r>
      <w:r>
        <w:rPr>
          <w:rFonts w:ascii="楷体_GB2312" w:hAnsi="Courier New" w:eastAsia="楷体_GB2312" w:cs="Courier New"/>
          <w:b w:val="0"/>
          <w:bCs/>
          <w:sz w:val="32"/>
          <w:szCs w:val="32"/>
        </w:rPr>
        <w:t>基层治理效能</w:t>
      </w:r>
      <w:r>
        <w:rPr>
          <w:rFonts w:hint="eastAsia" w:ascii="楷体_GB2312" w:hAnsi="Courier New" w:eastAsia="楷体_GB2312" w:cs="Courier New"/>
          <w:b w:val="0"/>
          <w:bCs/>
          <w:sz w:val="32"/>
          <w:szCs w:val="32"/>
        </w:rPr>
        <w:t>，</w:t>
      </w:r>
      <w:r>
        <w:rPr>
          <w:rFonts w:ascii="楷体_GB2312" w:hAnsi="Courier New" w:eastAsia="楷体_GB2312" w:cs="Courier New"/>
          <w:b w:val="0"/>
          <w:bCs/>
          <w:sz w:val="32"/>
          <w:szCs w:val="32"/>
        </w:rPr>
        <w:t>公共</w:t>
      </w:r>
      <w:r>
        <w:rPr>
          <w:rFonts w:hint="eastAsia" w:ascii="楷体_GB2312" w:hAnsi="Courier New" w:eastAsia="楷体_GB2312" w:cs="Courier New"/>
          <w:b w:val="0"/>
          <w:bCs/>
          <w:sz w:val="32"/>
          <w:szCs w:val="32"/>
        </w:rPr>
        <w:t>环境</w:t>
      </w:r>
      <w:r>
        <w:rPr>
          <w:rFonts w:ascii="楷体_GB2312" w:hAnsi="Courier New" w:eastAsia="楷体_GB2312" w:cs="Courier New"/>
          <w:b w:val="0"/>
          <w:bCs/>
          <w:sz w:val="32"/>
          <w:szCs w:val="32"/>
        </w:rPr>
        <w:t>品质</w:t>
      </w:r>
      <w:r>
        <w:rPr>
          <w:rFonts w:hint="eastAsia" w:ascii="楷体_GB2312" w:hAnsi="Courier New" w:eastAsia="楷体_GB2312" w:cs="Courier New"/>
          <w:b w:val="0"/>
          <w:bCs/>
          <w:sz w:val="32"/>
          <w:szCs w:val="32"/>
        </w:rPr>
        <w:t>稳步</w:t>
      </w:r>
      <w:r>
        <w:rPr>
          <w:rFonts w:ascii="楷体_GB2312" w:hAnsi="Courier New" w:eastAsia="楷体_GB2312" w:cs="Courier New"/>
          <w:b w:val="0"/>
          <w:bCs/>
          <w:sz w:val="32"/>
          <w:szCs w:val="32"/>
        </w:rPr>
        <w:t>提</w:t>
      </w:r>
      <w:r>
        <w:rPr>
          <w:rFonts w:hint="eastAsia" w:ascii="楷体_GB2312" w:hAnsi="Courier New" w:eastAsia="楷体_GB2312" w:cs="Courier New"/>
          <w:b w:val="0"/>
          <w:bCs/>
          <w:sz w:val="32"/>
          <w:szCs w:val="32"/>
        </w:rPr>
        <w:t>高。</w:t>
      </w:r>
      <w:r>
        <w:rPr>
          <w:rFonts w:hint="eastAsia" w:ascii="仿宋_GB2312" w:hAnsi="仿宋_GB2312" w:eastAsia="仿宋_GB2312" w:cs="仿宋_GB2312"/>
          <w:b w:val="0"/>
          <w:bCs/>
          <w:sz w:val="32"/>
          <w:szCs w:val="32"/>
        </w:rPr>
        <w:t>打造“秒接速办”服务品牌，</w:t>
      </w:r>
      <w:r>
        <w:rPr>
          <w:rFonts w:hint="eastAsia" w:ascii="仿宋_GB2312" w:hAnsi="仿宋_GB2312" w:eastAsia="仿宋_GB2312" w:cs="仿宋_GB2312"/>
          <w:bCs/>
          <w:sz w:val="32"/>
          <w:szCs w:val="32"/>
        </w:rPr>
        <w:t>接诉即办原始解决率提升20个百分点，综合考评成绩跃升至全市中上游。</w:t>
      </w:r>
      <w:r>
        <w:rPr>
          <w:rFonts w:hint="eastAsia" w:ascii="仿宋_GB2312" w:hAnsi="仿宋_GB2312" w:eastAsia="仿宋_GB2312" w:cs="仿宋_GB2312"/>
          <w:b w:val="0"/>
          <w:bCs/>
          <w:sz w:val="32"/>
          <w:szCs w:val="32"/>
        </w:rPr>
        <w:t>抓好两个“关键小事”，</w:t>
      </w:r>
      <w:bookmarkStart w:id="35" w:name="OLE_LINK112"/>
      <w:bookmarkStart w:id="36" w:name="OLE_LINK113"/>
      <w:r>
        <w:rPr>
          <w:rFonts w:hint="eastAsia" w:ascii="仿宋_GB2312" w:hAnsi="仿宋_GB2312" w:eastAsia="仿宋_GB2312" w:cs="仿宋_GB2312"/>
          <w:bCs/>
          <w:sz w:val="32"/>
          <w:szCs w:val="32"/>
        </w:rPr>
        <w:t>生活垃圾回收利用率达41%，</w:t>
      </w:r>
      <w:bookmarkEnd w:id="35"/>
      <w:bookmarkEnd w:id="36"/>
      <w:r>
        <w:rPr>
          <w:rFonts w:hint="eastAsia" w:ascii="仿宋_GB2312" w:hAnsi="仿宋_GB2312" w:eastAsia="仿宋_GB2312" w:cs="仿宋_GB2312"/>
          <w:bCs/>
          <w:sz w:val="32"/>
          <w:szCs w:val="32"/>
        </w:rPr>
        <w:t>可回收物智能回收模式在全市范围推广。新增市场化物业服务覆盖小区13个。曹园村等6个行政村完成撤村建居。“玉见骑士”等治理品牌获评首都最佳志愿服务项目。</w:t>
      </w:r>
      <w:r>
        <w:rPr>
          <w:rFonts w:hint="eastAsia" w:ascii="仿宋_GB2312" w:hAnsi="仿宋_GB2312" w:eastAsia="仿宋_GB2312" w:cs="仿宋_GB2312"/>
          <w:b w:val="0"/>
          <w:bCs/>
          <w:sz w:val="32"/>
          <w:szCs w:val="32"/>
        </w:rPr>
        <w:t>全面完成疏解整治促提升专项行动</w:t>
      </w:r>
      <w:r>
        <w:rPr>
          <w:rFonts w:hint="eastAsia" w:ascii="仿宋_GB2312" w:hAnsi="仿宋_GB2312" w:eastAsia="仿宋_GB2312" w:cs="仿宋_GB2312"/>
          <w:bCs/>
          <w:sz w:val="32"/>
          <w:szCs w:val="32"/>
        </w:rPr>
        <w:t>26项任务，拆除违法建设205万平方米。经过百日攻坚、系统施策，打通1118个堵点，完成基础设施、公共服务、产业发展等57个项目土地空间整理。精细整治55条</w:t>
      </w:r>
      <w:r>
        <w:rPr>
          <w:rFonts w:hint="eastAsia" w:ascii="仿宋_GB2312" w:hAnsi="仿宋_GB2312" w:eastAsia="仿宋_GB2312" w:cs="仿宋_GB2312"/>
          <w:sz w:val="32"/>
          <w:szCs w:val="32"/>
        </w:rPr>
        <w:t>背街小巷，12条道路架空线实现入地，规范城市家具1.18万处。拆围挡、清杂草等城市环境治理专项行动成效显著。完成“金角银边”精雕细琢行动年度任务，千余件艺术品扮靓城市公共空间。</w:t>
      </w:r>
    </w:p>
    <w:p>
      <w:pPr>
        <w:spacing w:line="560" w:lineRule="exact"/>
        <w:ind w:firstLine="640" w:firstLineChars="200"/>
        <w:rPr>
          <w:rFonts w:ascii="仿宋_GB2312" w:hAnsi="仿宋_GB2312" w:eastAsia="仿宋_GB2312" w:cs="仿宋_GB2312"/>
          <w:sz w:val="32"/>
          <w:szCs w:val="32"/>
        </w:rPr>
      </w:pPr>
      <w:bookmarkStart w:id="37" w:name="OLE_LINK123"/>
      <w:bookmarkStart w:id="38" w:name="OLE_LINK124"/>
      <w:r>
        <w:rPr>
          <w:rFonts w:hint="eastAsia" w:ascii="楷体_GB2312" w:hAnsi="楷体_GB2312" w:eastAsia="楷体_GB2312" w:cs="楷体_GB2312"/>
          <w:b w:val="0"/>
          <w:bCs/>
          <w:sz w:val="32"/>
          <w:szCs w:val="32"/>
          <w:lang w:eastAsia="zh-CN"/>
        </w:rPr>
        <w:t>（二）</w:t>
      </w:r>
      <w:r>
        <w:rPr>
          <w:rFonts w:hint="eastAsia" w:ascii="楷体_GB2312" w:hAnsi="楷体_GB2312" w:eastAsia="楷体_GB2312" w:cs="楷体_GB2312"/>
          <w:b w:val="0"/>
          <w:bCs/>
          <w:sz w:val="32"/>
          <w:szCs w:val="32"/>
        </w:rPr>
        <w:t>不断健全交通治理体系，出行体验日益改善</w:t>
      </w:r>
      <w:bookmarkEnd w:id="37"/>
      <w:bookmarkEnd w:id="38"/>
      <w:r>
        <w:rPr>
          <w:rFonts w:hint="eastAsia" w:ascii="楷体_GB2312" w:hAnsi="楷体_GB2312" w:eastAsia="楷体_GB2312" w:cs="楷体_GB2312"/>
          <w:b w:val="0"/>
          <w:bCs/>
          <w:sz w:val="32"/>
          <w:szCs w:val="32"/>
        </w:rPr>
        <w:t>。</w:t>
      </w:r>
      <w:r>
        <w:rPr>
          <w:rFonts w:hint="eastAsia" w:ascii="仿宋_GB2312" w:hAnsi="仿宋_GB2312" w:eastAsia="仿宋_GB2312" w:cs="仿宋_GB2312"/>
          <w:bCs/>
          <w:sz w:val="32"/>
          <w:szCs w:val="32"/>
        </w:rPr>
        <w:t>综合交通一体化提升工作专班高效运行，16项任务顺利完成，高峰时段平均道路交通指数降至</w:t>
      </w:r>
      <w:r>
        <w:rPr>
          <w:rFonts w:ascii="仿宋_GB2312" w:hAnsi="仿宋_GB2312" w:eastAsia="仿宋_GB2312" w:cs="仿宋_GB2312"/>
          <w:bCs/>
          <w:sz w:val="32"/>
          <w:szCs w:val="32"/>
        </w:rPr>
        <w:t>3.88</w:t>
      </w:r>
      <w:r>
        <w:rPr>
          <w:rFonts w:hint="eastAsia" w:ascii="仿宋_GB2312" w:hAnsi="仿宋_GB2312" w:eastAsia="仿宋_GB2312" w:cs="仿宋_GB2312"/>
          <w:bCs/>
          <w:sz w:val="32"/>
          <w:szCs w:val="32"/>
        </w:rPr>
        <w:t>。</w:t>
      </w:r>
      <w:r>
        <w:rPr>
          <w:rFonts w:hint="eastAsia" w:ascii="仿宋_GB2312" w:hAnsi="仿宋_GB2312" w:eastAsia="仿宋_GB2312" w:cs="仿宋_GB2312"/>
          <w:b w:val="0"/>
          <w:bCs/>
          <w:sz w:val="32"/>
          <w:szCs w:val="32"/>
        </w:rPr>
        <w:t>不断织密城市路网，</w:t>
      </w:r>
      <w:r>
        <w:rPr>
          <w:rFonts w:hint="eastAsia" w:ascii="仿宋_GB2312" w:hAnsi="仿宋_GB2312" w:eastAsia="仿宋_GB2312" w:cs="仿宋_GB2312"/>
          <w:bCs/>
          <w:sz w:val="32"/>
          <w:szCs w:val="32"/>
        </w:rPr>
        <w:t>通马路改扩建等</w:t>
      </w:r>
      <w:r>
        <w:rPr>
          <w:rFonts w:ascii="仿宋_GB2312" w:hAnsi="仿宋_GB2312" w:eastAsia="仿宋_GB2312" w:cs="仿宋_GB2312"/>
          <w:bCs/>
          <w:sz w:val="32"/>
          <w:szCs w:val="32"/>
        </w:rPr>
        <w:t>30余条道路完工通车</w:t>
      </w:r>
      <w:r>
        <w:rPr>
          <w:rFonts w:hint="eastAsia" w:ascii="仿宋_GB2312" w:hAnsi="仿宋_GB2312" w:eastAsia="仿宋_GB2312" w:cs="仿宋_GB2312"/>
          <w:bCs/>
          <w:sz w:val="32"/>
          <w:szCs w:val="32"/>
        </w:rPr>
        <w:t>，打通文盛街等10余条断头路。</w:t>
      </w:r>
      <w:r>
        <w:rPr>
          <w:rFonts w:hint="eastAsia" w:ascii="仿宋_GB2312" w:hAnsi="仿宋_GB2312" w:eastAsia="仿宋_GB2312" w:cs="仿宋_GB2312"/>
          <w:b w:val="0"/>
          <w:bCs/>
          <w:sz w:val="32"/>
          <w:szCs w:val="32"/>
        </w:rPr>
        <w:t>优化交通信控设施，</w:t>
      </w:r>
      <w:r>
        <w:rPr>
          <w:rFonts w:hint="eastAsia" w:ascii="仿宋_GB2312" w:hAnsi="仿宋_GB2312" w:eastAsia="仿宋_GB2312" w:cs="仿宋_GB2312"/>
          <w:bCs/>
          <w:sz w:val="32"/>
          <w:szCs w:val="32"/>
        </w:rPr>
        <w:t>完成435处路口分钟级动态优化及夜间低峰控制，实现干线绿波118条。</w:t>
      </w:r>
      <w:r>
        <w:rPr>
          <w:rFonts w:hint="eastAsia" w:ascii="仿宋_GB2312" w:hAnsi="仿宋_GB2312" w:eastAsia="仿宋_GB2312" w:cs="仿宋_GB2312"/>
          <w:b w:val="0"/>
          <w:bCs/>
          <w:sz w:val="32"/>
          <w:szCs w:val="32"/>
        </w:rPr>
        <w:t>系统推进秩序治理，</w:t>
      </w:r>
      <w:r>
        <w:rPr>
          <w:rFonts w:hint="eastAsia" w:ascii="仿宋_GB2312" w:hAnsi="仿宋_GB2312" w:eastAsia="仿宋_GB2312" w:cs="仿宋_GB2312"/>
          <w:bCs/>
          <w:sz w:val="32"/>
          <w:szCs w:val="32"/>
        </w:rPr>
        <w:t>完成10个重点路口拥堵治理、5处轨道站点接驳优化，实施潞城地铁站等11个重点区域非机动车停放治理。12座桥下空间完成整治，北苑高架桥下5座停车场对外开放。20条未移交城市道路及相关设施纳入规范管理。</w:t>
      </w:r>
      <w:r>
        <w:rPr>
          <w:rFonts w:hint="eastAsia" w:ascii="仿宋_GB2312" w:hAnsi="仿宋_GB2312" w:eastAsia="仿宋_GB2312" w:cs="仿宋_GB2312"/>
          <w:b w:val="0"/>
          <w:bCs/>
          <w:sz w:val="32"/>
          <w:szCs w:val="32"/>
        </w:rPr>
        <w:t>提升出行服务，</w:t>
      </w:r>
      <w:r>
        <w:rPr>
          <w:rFonts w:hint="eastAsia" w:ascii="仿宋_GB2312" w:hAnsi="仿宋_GB2312" w:eastAsia="仿宋_GB2312" w:cs="仿宋_GB2312"/>
          <w:bCs/>
          <w:sz w:val="32"/>
          <w:szCs w:val="32"/>
        </w:rPr>
        <w:t>开</w:t>
      </w:r>
      <w:r>
        <w:rPr>
          <w:rFonts w:hint="eastAsia" w:ascii="仿宋_GB2312" w:hAnsi="仿宋_GB2312" w:eastAsia="仿宋_GB2312" w:cs="仿宋_GB2312"/>
          <w:sz w:val="32"/>
          <w:szCs w:val="32"/>
        </w:rPr>
        <w:t>通优化15条公交线路，副中心集中建设区地面公交站点500米半径覆盖率达95%。开放950个有偿错时共享停车位，试点投放共享电动自行车6000辆。</w:t>
      </w:r>
    </w:p>
    <w:p>
      <w:pPr>
        <w:spacing w:line="560" w:lineRule="exact"/>
        <w:ind w:firstLine="640" w:firstLineChars="200"/>
        <w:rPr>
          <w:rFonts w:ascii="仿宋_GB2312" w:hAnsi="仿宋_GB2312" w:eastAsia="仿宋_GB2312" w:cs="仿宋_GB2312"/>
          <w:sz w:val="32"/>
          <w:szCs w:val="32"/>
        </w:rPr>
      </w:pPr>
      <w:bookmarkStart w:id="39" w:name="OLE_LINK125"/>
      <w:bookmarkStart w:id="40" w:name="OLE_LINK140"/>
      <w:r>
        <w:rPr>
          <w:rFonts w:hint="eastAsia" w:ascii="楷体_GB2312" w:hAnsi="Courier New" w:eastAsia="楷体_GB2312" w:cs="Courier New"/>
          <w:b w:val="0"/>
          <w:bCs/>
          <w:sz w:val="32"/>
          <w:szCs w:val="32"/>
          <w:lang w:eastAsia="zh-CN"/>
        </w:rPr>
        <w:t>（三）</w:t>
      </w:r>
      <w:r>
        <w:rPr>
          <w:rFonts w:ascii="楷体_GB2312" w:hAnsi="Courier New" w:eastAsia="楷体_GB2312" w:cs="Courier New"/>
          <w:b w:val="0"/>
          <w:bCs/>
          <w:sz w:val="32"/>
          <w:szCs w:val="32"/>
        </w:rPr>
        <w:t>优化数智管理</w:t>
      </w:r>
      <w:bookmarkStart w:id="41" w:name="OLE_LINK122"/>
      <w:bookmarkStart w:id="42" w:name="OLE_LINK121"/>
      <w:r>
        <w:rPr>
          <w:rFonts w:hint="eastAsia" w:ascii="楷体_GB2312" w:hAnsi="Courier New" w:eastAsia="楷体_GB2312" w:cs="Courier New"/>
          <w:b w:val="0"/>
          <w:bCs/>
          <w:sz w:val="32"/>
          <w:szCs w:val="32"/>
        </w:rPr>
        <w:t>水平</w:t>
      </w:r>
      <w:bookmarkEnd w:id="41"/>
      <w:bookmarkEnd w:id="42"/>
      <w:r>
        <w:rPr>
          <w:rFonts w:ascii="楷体_GB2312" w:hAnsi="Courier New" w:eastAsia="楷体_GB2312" w:cs="Courier New"/>
          <w:b w:val="0"/>
          <w:bCs/>
          <w:sz w:val="32"/>
          <w:szCs w:val="32"/>
        </w:rPr>
        <w:t>，市政保障坚实有力</w:t>
      </w:r>
      <w:bookmarkEnd w:id="39"/>
      <w:bookmarkEnd w:id="40"/>
      <w:r>
        <w:rPr>
          <w:rFonts w:ascii="楷体_GB2312" w:hAnsi="Courier New" w:eastAsia="楷体_GB2312" w:cs="Courier New"/>
          <w:b w:val="0"/>
          <w:bCs/>
          <w:sz w:val="32"/>
          <w:szCs w:val="32"/>
        </w:rPr>
        <w:t>。</w:t>
      </w:r>
      <w:r>
        <w:rPr>
          <w:rFonts w:hint="eastAsia" w:ascii="仿宋_GB2312" w:hAnsi="仿宋_GB2312" w:eastAsia="仿宋_GB2312" w:cs="仿宋_GB2312"/>
          <w:bCs/>
          <w:sz w:val="32"/>
          <w:szCs w:val="32"/>
        </w:rPr>
        <w:t>强化云、网、链、感、图等数字底座能力，政务云平均效率提升16.7%。智慧交通（一期）基本建成，智慧水务场景上线应用。</w:t>
      </w:r>
      <w:r>
        <w:rPr>
          <w:rFonts w:hint="eastAsia" w:ascii="仿宋_GB2312" w:hAnsi="仿宋_GB2312" w:eastAsia="仿宋_GB2312" w:cs="仿宋_GB2312"/>
          <w:b w:val="0"/>
          <w:bCs/>
          <w:sz w:val="32"/>
          <w:szCs w:val="32"/>
        </w:rPr>
        <w:t>全面做好城市运行保障，</w:t>
      </w:r>
      <w:r>
        <w:rPr>
          <w:rFonts w:hint="eastAsia" w:ascii="仿宋_GB2312" w:hAnsi="仿宋_GB2312" w:eastAsia="仿宋_GB2312" w:cs="仿宋_GB2312"/>
          <w:bCs/>
          <w:sz w:val="32"/>
          <w:szCs w:val="32"/>
        </w:rPr>
        <w:t>4项电力工程投产。电动自行车充电接口扩充至16.8万个。101家供热单位完成更新改造，</w:t>
      </w:r>
      <w:r>
        <w:rPr>
          <w:rFonts w:hint="eastAsia" w:ascii="仿宋_GB2312" w:hAnsi="仿宋_GB2312" w:eastAsia="仿宋_GB2312" w:cs="仿宋_GB2312"/>
          <w:bCs/>
          <w:snapToGrid w:val="0"/>
          <w:kern w:val="0"/>
          <w:sz w:val="32"/>
          <w:szCs w:val="32"/>
        </w:rPr>
        <w:t>消除供热问题隐患1100余处，</w:t>
      </w:r>
      <w:r>
        <w:rPr>
          <w:rFonts w:hint="eastAsia" w:ascii="仿宋_GB2312" w:hAnsi="仿宋_GB2312" w:eastAsia="仿宋_GB2312" w:cs="仿宋_GB2312"/>
          <w:bCs/>
          <w:sz w:val="32"/>
          <w:szCs w:val="32"/>
        </w:rPr>
        <w:t>改造老旧</w:t>
      </w:r>
      <w:r>
        <w:rPr>
          <w:rFonts w:hint="eastAsia" w:ascii="仿宋_GB2312" w:hAnsi="仿宋_GB2312" w:eastAsia="仿宋_GB2312" w:cs="仿宋_GB2312"/>
          <w:sz w:val="32"/>
          <w:szCs w:val="32"/>
        </w:rPr>
        <w:t>燃气管线9300米，</w:t>
      </w:r>
      <w:r>
        <w:rPr>
          <w:rFonts w:hint="eastAsia" w:ascii="仿宋_GB2312" w:hAnsi="仿宋_GB2312" w:eastAsia="仿宋_GB2312" w:cs="仿宋_GB2312"/>
          <w:snapToGrid w:val="0"/>
          <w:kern w:val="0"/>
          <w:sz w:val="32"/>
          <w:szCs w:val="32"/>
        </w:rPr>
        <w:t>城市</w:t>
      </w:r>
      <w:r>
        <w:rPr>
          <w:rFonts w:hint="eastAsia" w:ascii="仿宋_GB2312" w:hAnsi="仿宋_GB2312" w:eastAsia="仿宋_GB2312" w:cs="仿宋_GB2312"/>
          <w:sz w:val="32"/>
          <w:szCs w:val="32"/>
        </w:rPr>
        <w:t>生命线更加平稳可靠。</w:t>
      </w:r>
    </w:p>
    <w:p>
      <w:pPr>
        <w:widowControl/>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四、大力推动绿色发展，生态底色持续擦亮</w:t>
      </w:r>
    </w:p>
    <w:p>
      <w:pPr>
        <w:spacing w:line="560" w:lineRule="exact"/>
        <w:ind w:firstLine="640" w:firstLineChars="200"/>
        <w:rPr>
          <w:rFonts w:ascii="仿宋_GB2312" w:hAnsi="Courier New" w:eastAsia="仿宋_GB2312" w:cs="Courier New"/>
          <w:bCs/>
          <w:sz w:val="32"/>
          <w:szCs w:val="32"/>
        </w:rPr>
      </w:pPr>
      <w:r>
        <w:rPr>
          <w:rFonts w:hint="eastAsia" w:ascii="楷体_GB2312" w:hAnsi="Courier New" w:eastAsia="楷体_GB2312" w:cs="Courier New"/>
          <w:b w:val="0"/>
          <w:bCs/>
          <w:sz w:val="32"/>
          <w:szCs w:val="32"/>
          <w:lang w:eastAsia="zh-CN"/>
        </w:rPr>
        <w:t>（一）</w:t>
      </w:r>
      <w:r>
        <w:rPr>
          <w:rFonts w:ascii="楷体_GB2312" w:hAnsi="Courier New" w:eastAsia="楷体_GB2312" w:cs="Courier New"/>
          <w:b w:val="0"/>
          <w:bCs/>
          <w:sz w:val="32"/>
          <w:szCs w:val="32"/>
        </w:rPr>
        <w:t>绿色示范引领作用进一步增强。</w:t>
      </w:r>
      <w:r>
        <w:rPr>
          <w:rFonts w:hint="eastAsia" w:ascii="仿宋_GB2312" w:hAnsi="仿宋_GB2312" w:eastAsia="仿宋_GB2312" w:cs="仿宋_GB2312"/>
          <w:sz w:val="32"/>
          <w:szCs w:val="32"/>
        </w:rPr>
        <w:t>“北京城市副中心气候适应型城市建设项目”荣获2025年城市气候领导联盟（C40）“地方气候领袖”奖，全市首个区级林业碳汇开发交易管理办法“通汇赢”落地实施。</w:t>
      </w:r>
      <w:r>
        <w:rPr>
          <w:rFonts w:hint="eastAsia" w:ascii="仿宋_GB2312" w:hAnsi="Courier New" w:eastAsia="仿宋_GB2312" w:cs="Courier New"/>
          <w:sz w:val="32"/>
          <w:szCs w:val="32"/>
        </w:rPr>
        <w:t>城市绿心森林公园成为全市首个国际国内双认证的“全域零碳公园”，中国人民大学通州校区获评国家绿色低碳先进技术示范项目。</w:t>
      </w:r>
      <w:r>
        <w:rPr>
          <w:rFonts w:hint="eastAsia" w:ascii="仿宋_GB2312" w:hAnsi="仿宋_GB2312" w:eastAsia="仿宋_GB2312" w:cs="仿宋_GB2312"/>
          <w:kern w:val="0"/>
          <w:sz w:val="32"/>
          <w:szCs w:val="32"/>
        </w:rPr>
        <w:t>全国首家绿色价格认证研究中心落地，国家绿色技术交易中心揭牌运行。北京城市</w:t>
      </w:r>
      <w:r>
        <w:rPr>
          <w:rFonts w:hint="eastAsia" w:ascii="仿宋_GB2312" w:hAnsi="Courier New" w:eastAsia="仿宋_GB2312" w:cs="Courier New"/>
          <w:sz w:val="32"/>
          <w:szCs w:val="32"/>
        </w:rPr>
        <w:t>副中心绿色发展论坛升级为北京绿色发展论坛。</w:t>
      </w:r>
    </w:p>
    <w:p>
      <w:pPr>
        <w:spacing w:line="560" w:lineRule="exact"/>
        <w:ind w:firstLine="640" w:firstLineChars="200"/>
        <w:rPr>
          <w:rFonts w:ascii="仿宋_GB2312" w:hAnsi="Courier New" w:cs="Courier New"/>
          <w:sz w:val="32"/>
          <w:szCs w:val="32"/>
        </w:rPr>
      </w:pPr>
      <w:r>
        <w:rPr>
          <w:rFonts w:hint="eastAsia" w:ascii="楷体_GB2312" w:hAnsi="Courier New" w:eastAsia="楷体_GB2312" w:cs="Courier New"/>
          <w:b w:val="0"/>
          <w:bCs/>
          <w:sz w:val="32"/>
          <w:szCs w:val="32"/>
          <w:lang w:eastAsia="zh-CN"/>
        </w:rPr>
        <w:t>（二）</w:t>
      </w:r>
      <w:r>
        <w:rPr>
          <w:rFonts w:ascii="楷体_GB2312" w:hAnsi="Courier New" w:eastAsia="楷体_GB2312" w:cs="Courier New"/>
          <w:b w:val="0"/>
          <w:bCs/>
          <w:sz w:val="32"/>
          <w:szCs w:val="32"/>
        </w:rPr>
        <w:t>关键领域绿色发展动能强劲。</w:t>
      </w:r>
      <w:r>
        <w:rPr>
          <w:rFonts w:hint="eastAsia" w:ascii="仿宋_GB2312" w:hAnsi="Courier New" w:eastAsia="仿宋_GB2312" w:cs="仿宋_GB2312"/>
          <w:sz w:val="32"/>
          <w:szCs w:val="32"/>
        </w:rPr>
        <w:t>《北京城市副中心促进绿色经济发展实施方案》8项重点任务深入实施。绿色金融优势凸显，</w:t>
      </w:r>
      <w:r>
        <w:rPr>
          <w:rFonts w:hint="eastAsia" w:ascii="仿宋_GB2312" w:hAnsi="仿宋_GB2312" w:eastAsia="仿宋_GB2312" w:cs="仿宋_GB2312"/>
          <w:kern w:val="0"/>
          <w:sz w:val="32"/>
          <w:szCs w:val="32"/>
        </w:rPr>
        <w:t>全国温室气体自愿减排交易市场平稳运行，首批9个核证自愿减排量完成登记。碳市场各类碳排放权产品累计成交超1.1亿吨。</w:t>
      </w:r>
      <w:r>
        <w:rPr>
          <w:rFonts w:hint="eastAsia" w:ascii="仿宋_GB2312" w:hAnsi="Courier New" w:eastAsia="仿宋_GB2312" w:cs="仿宋_GB2312"/>
          <w:sz w:val="32"/>
          <w:szCs w:val="32"/>
        </w:rPr>
        <w:t>绿色建筑深入推广，</w:t>
      </w:r>
      <w:r>
        <w:rPr>
          <w:rFonts w:hint="eastAsia" w:ascii="仿宋_GB2312" w:hAnsi="Courier New" w:eastAsia="仿宋_GB2312" w:cs="Courier New"/>
          <w:sz w:val="32"/>
          <w:szCs w:val="32"/>
        </w:rPr>
        <w:t>新增装配式建筑245.5万平方米。增加超低能耗建筑47.6万平方米，位居全市前列。绿色交通加速推进，</w:t>
      </w:r>
      <w:r>
        <w:rPr>
          <w:rFonts w:hint="eastAsia" w:ascii="仿宋_GB2312" w:hAnsi="仿宋_GB2312" w:eastAsia="仿宋_GB2312" w:cs="仿宋_GB2312"/>
          <w:sz w:val="32"/>
          <w:szCs w:val="32"/>
        </w:rPr>
        <w:t>新建电动汽车充电桩2000余个</w:t>
      </w:r>
      <w:r>
        <w:rPr>
          <w:rFonts w:hint="eastAsia" w:ascii="仿宋_GB2312" w:hAnsi="Courier New" w:eastAsia="仿宋_GB2312" w:cs="Courier New"/>
          <w:sz w:val="32"/>
          <w:szCs w:val="32"/>
        </w:rPr>
        <w:t>。</w:t>
      </w:r>
      <w:r>
        <w:rPr>
          <w:rFonts w:hint="eastAsia" w:ascii="仿宋_GB2312" w:hAnsi="仿宋_GB2312" w:eastAsia="仿宋_GB2312" w:cs="仿宋_GB2312"/>
          <w:sz w:val="32"/>
          <w:szCs w:val="32"/>
        </w:rPr>
        <w:t>新华片区慢行系统建设完成，</w:t>
      </w:r>
      <w:r>
        <w:rPr>
          <w:rFonts w:hint="eastAsia" w:ascii="仿宋_GB2312" w:hAnsi="仿宋_GB2312" w:eastAsia="仿宋_GB2312" w:cs="仿宋_GB2312"/>
          <w:bCs/>
          <w:sz w:val="32"/>
          <w:szCs w:val="32"/>
        </w:rPr>
        <w:t>乾行路步行和自行车系统示范段投入使用。</w:t>
      </w:r>
      <w:r>
        <w:rPr>
          <w:rFonts w:hint="eastAsia" w:ascii="仿宋_GB2312" w:hAnsi="Courier New" w:eastAsia="仿宋_GB2312" w:cs="Courier New"/>
          <w:sz w:val="32"/>
          <w:szCs w:val="32"/>
        </w:rPr>
        <w:t>新增公交车、出租车新能源比例达100%，新增机动车新能源比例超60%。</w:t>
      </w:r>
      <w:r>
        <w:rPr>
          <w:rFonts w:hint="eastAsia" w:ascii="仿宋_GB2312" w:hAnsi="仿宋_GB2312" w:eastAsia="仿宋_GB2312" w:cs="仿宋_GB2312"/>
          <w:sz w:val="32"/>
          <w:szCs w:val="32"/>
        </w:rPr>
        <w:t>公共机构绿电采集量居全市第一。</w:t>
      </w:r>
    </w:p>
    <w:p>
      <w:pPr>
        <w:spacing w:line="560" w:lineRule="exact"/>
        <w:ind w:firstLine="640" w:firstLineChars="200"/>
        <w:rPr>
          <w:rFonts w:ascii="仿宋_GB2312" w:hAnsi="Courier New" w:eastAsia="仿宋_GB2312" w:cs="仿宋_GB2312"/>
          <w:sz w:val="32"/>
          <w:szCs w:val="32"/>
        </w:rPr>
      </w:pPr>
      <w:r>
        <w:rPr>
          <w:rFonts w:hint="eastAsia" w:ascii="楷体_GB2312" w:hAnsi="仿宋_GB2312" w:eastAsia="楷体_GB2312" w:cs="仿宋_GB2312"/>
          <w:b w:val="0"/>
          <w:bCs/>
          <w:sz w:val="32"/>
          <w:szCs w:val="32"/>
          <w:lang w:eastAsia="zh-CN"/>
        </w:rPr>
        <w:t>（三）</w:t>
      </w:r>
      <w:r>
        <w:rPr>
          <w:rFonts w:hint="eastAsia" w:ascii="楷体_GB2312" w:hAnsi="仿宋_GB2312" w:eastAsia="楷体_GB2312" w:cs="仿宋_GB2312"/>
          <w:b w:val="0"/>
          <w:bCs/>
          <w:sz w:val="32"/>
          <w:szCs w:val="32"/>
        </w:rPr>
        <w:t>生态环境质量向优向好。</w:t>
      </w:r>
      <w:r>
        <w:rPr>
          <w:rFonts w:hint="eastAsia" w:ascii="仿宋_GB2312" w:hAnsi="Courier New" w:eastAsia="仿宋_GB2312" w:cs="Courier New"/>
          <w:b w:val="0"/>
          <w:bCs/>
          <w:sz w:val="32"/>
          <w:szCs w:val="32"/>
        </w:rPr>
        <w:t>全面启动扬</w:t>
      </w:r>
      <w:r>
        <w:rPr>
          <w:rFonts w:hint="eastAsia" w:ascii="仿宋_GB2312" w:hAnsi="Courier New" w:eastAsia="仿宋_GB2312" w:cs="仿宋_GB2312"/>
          <w:b w:val="0"/>
          <w:bCs/>
          <w:kern w:val="0"/>
          <w:sz w:val="32"/>
          <w:szCs w:val="32"/>
        </w:rPr>
        <w:t>尘治理百日攻坚，</w:t>
      </w:r>
      <w:r>
        <w:rPr>
          <w:rFonts w:ascii="仿宋_GB2312" w:eastAsia="仿宋_GB2312" w:cs="仿宋_GB2312"/>
          <w:bCs/>
          <w:kern w:val="0"/>
          <w:sz w:val="32"/>
          <w:szCs w:val="32"/>
        </w:rPr>
        <w:t>PM2.5</w:t>
      </w:r>
      <w:r>
        <w:rPr>
          <w:rFonts w:hint="eastAsia" w:ascii="仿宋_GB2312" w:eastAsia="仿宋_GB2312" w:cs="仿宋_GB2312"/>
          <w:bCs/>
          <w:kern w:val="0"/>
          <w:sz w:val="32"/>
          <w:szCs w:val="32"/>
        </w:rPr>
        <w:t>年均</w:t>
      </w:r>
      <w:r>
        <w:rPr>
          <w:rFonts w:hint="eastAsia" w:ascii="仿宋_GB2312" w:eastAsia="仿宋_GB2312" w:cs="Courier New"/>
          <w:bCs/>
          <w:sz w:val="32"/>
          <w:szCs w:val="32"/>
        </w:rPr>
        <w:t>浓度</w:t>
      </w:r>
      <w:r>
        <w:rPr>
          <w:rFonts w:hint="eastAsia" w:ascii="仿宋_GB2312" w:hAnsi="Courier New" w:eastAsia="仿宋_GB2312" w:cs="Courier New"/>
          <w:bCs/>
          <w:sz w:val="32"/>
          <w:szCs w:val="32"/>
        </w:rPr>
        <w:t>同比</w:t>
      </w:r>
      <w:r>
        <w:rPr>
          <w:rFonts w:hint="eastAsia" w:ascii="仿宋_GB2312" w:eastAsia="仿宋_GB2312" w:cs="Courier New"/>
          <w:bCs/>
          <w:sz w:val="32"/>
          <w:szCs w:val="32"/>
        </w:rPr>
        <w:t>改善9.1%，空气质量创历史最优。</w:t>
      </w:r>
      <w:r>
        <w:rPr>
          <w:rFonts w:hint="eastAsia" w:ascii="仿宋_GB2312" w:eastAsia="仿宋_GB2312" w:cs="Courier New"/>
          <w:b w:val="0"/>
          <w:bCs/>
          <w:sz w:val="32"/>
          <w:szCs w:val="32"/>
        </w:rPr>
        <w:t>保持</w:t>
      </w:r>
      <w:r>
        <w:rPr>
          <w:rFonts w:hint="eastAsia" w:ascii="仿宋_GB2312" w:hAnsi="Courier New" w:eastAsia="仿宋_GB2312" w:cs="仿宋_GB2312"/>
          <w:b w:val="0"/>
          <w:bCs/>
          <w:sz w:val="32"/>
          <w:szCs w:val="32"/>
        </w:rPr>
        <w:t>黑臭水体动态清零，</w:t>
      </w:r>
      <w:r>
        <w:rPr>
          <w:rFonts w:hint="eastAsia" w:ascii="仿宋_GB2312" w:hAnsi="Courier New" w:eastAsia="仿宋_GB2312" w:cs="仿宋_GB2312"/>
          <w:bCs/>
          <w:sz w:val="32"/>
          <w:szCs w:val="32"/>
        </w:rPr>
        <w:t>8个国市控出境考核断面水质均达到Ⅲ类以上，1个达到</w:t>
      </w:r>
      <w:r>
        <w:rPr>
          <w:rFonts w:hint="eastAsia" w:ascii="仿宋_GB2312" w:eastAsia="仿宋_GB2312" w:cs="仿宋_GB2312"/>
          <w:bCs/>
          <w:sz w:val="32"/>
          <w:szCs w:val="32"/>
        </w:rPr>
        <w:t>Ⅱ</w:t>
      </w:r>
      <w:r>
        <w:rPr>
          <w:rFonts w:hint="eastAsia" w:ascii="仿宋_GB2312" w:hAnsi="Courier New" w:eastAsia="仿宋_GB2312" w:cs="仿宋_GB2312"/>
          <w:bCs/>
          <w:sz w:val="32"/>
          <w:szCs w:val="32"/>
        </w:rPr>
        <w:t>类水质。</w:t>
      </w:r>
      <w:r>
        <w:rPr>
          <w:rFonts w:hint="eastAsia" w:ascii="仿宋_GB2312" w:hAnsi="Courier New" w:eastAsia="仿宋_GB2312" w:cs="仿宋_GB2312"/>
          <w:b w:val="0"/>
          <w:bCs/>
          <w:sz w:val="32"/>
          <w:szCs w:val="32"/>
        </w:rPr>
        <w:t>加快打造花园城市，</w:t>
      </w:r>
      <w:r>
        <w:rPr>
          <w:rFonts w:hint="eastAsia" w:ascii="仿宋_GB2312" w:hAnsi="Courier New" w:eastAsia="仿宋_GB2312" w:cs="仿宋_GB2312"/>
          <w:sz w:val="32"/>
          <w:szCs w:val="32"/>
        </w:rPr>
        <w:t>宋庄蓄滞洪区（二期）水利设施滨水空间、运河商务区槐荫公园对外开放，梨园云景东路花园式街区正式亮相，建成33处社区（村）公园，森林覆盖率提升至34.62%。全区57座公园实现围栏应拆尽拆，群众可感、可及、可亲近的绿色空间不断拓展。</w:t>
      </w:r>
    </w:p>
    <w:p>
      <w:pPr>
        <w:widowControl/>
        <w:spacing w:line="560" w:lineRule="exact"/>
        <w:ind w:firstLine="640" w:firstLineChars="200"/>
        <w:rPr>
          <w:rFonts w:ascii="黑体" w:hAnsi="宋体" w:eastAsia="黑体" w:cs="黑体"/>
          <w:sz w:val="32"/>
          <w:szCs w:val="32"/>
        </w:rPr>
      </w:pPr>
      <w:r>
        <w:rPr>
          <w:rFonts w:hint="eastAsia" w:ascii="黑体" w:hAnsi="宋体" w:eastAsia="黑体" w:cs="黑体"/>
          <w:sz w:val="32"/>
          <w:szCs w:val="32"/>
          <w:lang w:bidi="ar"/>
        </w:rPr>
        <w:t>五、稳步增进人民福祉，民生保障更加坚实</w:t>
      </w:r>
    </w:p>
    <w:p>
      <w:pPr>
        <w:spacing w:line="560" w:lineRule="exact"/>
        <w:ind w:firstLine="640" w:firstLineChars="200"/>
        <w:rPr>
          <w:rFonts w:ascii="仿宋_GB2312" w:hAnsi="仿宋_GB2312" w:eastAsia="仿宋_GB2312" w:cs="仿宋_GB2312"/>
          <w:sz w:val="32"/>
          <w:szCs w:val="32"/>
        </w:rPr>
      </w:pPr>
      <w:r>
        <w:rPr>
          <w:rFonts w:hint="eastAsia" w:ascii="楷体_GB2312" w:hAnsi="Courier New" w:eastAsia="楷体_GB2312" w:cs="Courier New"/>
          <w:b w:val="0"/>
          <w:bCs/>
          <w:sz w:val="32"/>
          <w:szCs w:val="32"/>
          <w:lang w:eastAsia="zh-CN" w:bidi="ar"/>
        </w:rPr>
        <w:t>（一）</w:t>
      </w:r>
      <w:r>
        <w:rPr>
          <w:rFonts w:hint="eastAsia" w:ascii="楷体_GB2312" w:hAnsi="Courier New" w:eastAsia="楷体_GB2312" w:cs="Courier New"/>
          <w:b w:val="0"/>
          <w:bCs/>
          <w:sz w:val="32"/>
          <w:szCs w:val="32"/>
          <w:lang w:bidi="ar"/>
        </w:rPr>
        <w:t>公共服务持续提质增优。</w:t>
      </w:r>
      <w:r>
        <w:rPr>
          <w:rFonts w:hint="eastAsia" w:ascii="仿宋_GB2312" w:hAnsi="仿宋_GB2312" w:eastAsia="仿宋_GB2312" w:cs="仿宋_GB2312"/>
          <w:b w:val="0"/>
          <w:bCs/>
          <w:sz w:val="32"/>
          <w:szCs w:val="32"/>
          <w:lang w:bidi="ar"/>
        </w:rPr>
        <w:t>加大教育资源供给，</w:t>
      </w:r>
      <w:r>
        <w:rPr>
          <w:rFonts w:hint="eastAsia" w:ascii="仿宋_GB2312" w:hAnsi="仿宋_GB2312" w:eastAsia="仿宋_GB2312" w:cs="仿宋_GB2312"/>
          <w:bCs/>
          <w:sz w:val="32"/>
          <w:szCs w:val="32"/>
          <w:lang w:bidi="ar"/>
        </w:rPr>
        <w:t>新开公办幼儿园5所，扩充学前学位1500个、中小学学位7000余个。玉桥小学、文旅区幼儿园主体项目完工，文旅区中小学开工建设。建成智慧教室615间。累计形成22个教育集团，实现中学集团化办学、小学优质教育资源全覆盖。</w:t>
      </w:r>
      <w:r>
        <w:rPr>
          <w:rFonts w:hint="eastAsia" w:ascii="仿宋_GB2312" w:hAnsi="Courier New" w:eastAsia="仿宋_GB2312" w:cs="仿宋_GB2312"/>
          <w:bCs/>
          <w:sz w:val="32"/>
          <w:szCs w:val="32"/>
          <w:lang w:bidi="ar"/>
        </w:rPr>
        <w:t>义务教育均衡发展指数居全市第一。</w:t>
      </w:r>
      <w:r>
        <w:rPr>
          <w:rFonts w:hint="eastAsia" w:ascii="仿宋_GB2312" w:hAnsi="仿宋_GB2312" w:eastAsia="仿宋_GB2312" w:cs="仿宋_GB2312"/>
          <w:b w:val="0"/>
          <w:bCs/>
          <w:sz w:val="32"/>
          <w:szCs w:val="32"/>
          <w:lang w:bidi="ar"/>
        </w:rPr>
        <w:t>完善医疗卫生服务体系，</w:t>
      </w:r>
      <w:r>
        <w:rPr>
          <w:rFonts w:hint="eastAsia" w:ascii="仿宋_GB2312" w:hAnsi="仿宋_GB2312" w:eastAsia="仿宋_GB2312" w:cs="仿宋_GB2312"/>
          <w:bCs/>
          <w:sz w:val="32"/>
          <w:szCs w:val="32"/>
          <w:lang w:bidi="ar"/>
        </w:rPr>
        <w:t>胸科医院医疗综合楼建成开诊，市疾控中心迁建项目、卫生职业学院新院区主体工程完工。市急救中心迁建项目正式开工。安贞医院通州院区急救站正式运行，院前急救平均反应时间优于全市平均水平。建立四大慢性病一体化管理体系。传染病监测预警系统实现二级以上医疗机构全覆盖。社区卫生服务中心儿科和中医诊疗实现全覆盖。三级联动儿科诊疗服务体系正式建立，医联体体系不断健全。全市首创医保代开药白名单制度，破解失能老人用药难题。</w:t>
      </w:r>
      <w:r>
        <w:rPr>
          <w:rFonts w:hint="eastAsia" w:ascii="仿宋_GB2312" w:hAnsi="仿宋_GB2312" w:eastAsia="仿宋_GB2312" w:cs="仿宋_GB2312"/>
          <w:b w:val="0"/>
          <w:bCs/>
          <w:sz w:val="32"/>
          <w:szCs w:val="32"/>
          <w:lang w:bidi="ar"/>
        </w:rPr>
        <w:t>健全文体设施，</w:t>
      </w:r>
      <w:r>
        <w:rPr>
          <w:rFonts w:hint="eastAsia" w:ascii="仿宋_GB2312" w:hAnsi="仿宋_GB2312" w:eastAsia="仿宋_GB2312" w:cs="仿宋_GB2312"/>
          <w:sz w:val="32"/>
          <w:szCs w:val="32"/>
          <w:lang w:bidi="ar"/>
        </w:rPr>
        <w:t>梨园美术馆主体结构封顶，区档案馆竣工验收，区体育场正式投用。民族、宗教、侨务、气象、地方志、地震、国动、双拥、红十字、残疾人、慈善等各项事业取得新进展。</w:t>
      </w:r>
    </w:p>
    <w:p>
      <w:pPr>
        <w:pStyle w:val="7"/>
        <w:widowControl/>
        <w:spacing w:line="560" w:lineRule="exact"/>
        <w:ind w:firstLine="763"/>
        <w:rPr>
          <w:rFonts w:ascii="仿宋_GB2312" w:hAnsi="仿宋_GB2312" w:cs="仿宋_GB2312"/>
          <w:sz w:val="32"/>
          <w:szCs w:val="32"/>
        </w:rPr>
      </w:pPr>
      <w:r>
        <w:rPr>
          <w:rFonts w:hint="eastAsia" w:ascii="楷体_GB2312" w:eastAsia="楷体_GB2312" w:cs="楷体_GB2312"/>
          <w:b w:val="0"/>
          <w:bCs/>
          <w:sz w:val="32"/>
          <w:szCs w:val="32"/>
          <w:lang w:eastAsia="zh-CN"/>
        </w:rPr>
        <w:t>（二）</w:t>
      </w:r>
      <w:r>
        <w:rPr>
          <w:rFonts w:hint="eastAsia" w:ascii="楷体_GB2312" w:eastAsia="楷体_GB2312" w:cs="楷体_GB2312"/>
          <w:b w:val="0"/>
          <w:bCs/>
          <w:sz w:val="32"/>
          <w:szCs w:val="32"/>
        </w:rPr>
        <w:t>社会保障体系不断健全。</w:t>
      </w:r>
      <w:r>
        <w:rPr>
          <w:rFonts w:hint="eastAsia" w:ascii="仿宋_GB2312" w:hAnsi="仿宋_GB2312" w:cs="仿宋_GB2312"/>
          <w:bCs/>
          <w:sz w:val="32"/>
          <w:szCs w:val="32"/>
          <w:lang w:val="zh-CN"/>
        </w:rPr>
        <w:t>精准开展就业困难人群帮扶，促进各类城乡劳动力就业</w:t>
      </w:r>
      <w:r>
        <w:rPr>
          <w:rFonts w:ascii="仿宋_GB2312" w:hAnsi="仿宋_GB2312" w:cs="仿宋_GB2312"/>
          <w:bCs/>
          <w:sz w:val="32"/>
          <w:szCs w:val="32"/>
        </w:rPr>
        <w:t>2.5</w:t>
      </w:r>
      <w:r>
        <w:rPr>
          <w:rFonts w:hint="eastAsia" w:ascii="仿宋_GB2312" w:hAnsi="仿宋_GB2312" w:cs="仿宋_GB2312"/>
          <w:bCs/>
          <w:sz w:val="32"/>
          <w:szCs w:val="32"/>
        </w:rPr>
        <w:t>万</w:t>
      </w:r>
      <w:r>
        <w:rPr>
          <w:rFonts w:hint="eastAsia" w:ascii="仿宋_GB2312" w:hAnsi="仿宋_GB2312" w:cs="仿宋_GB2312"/>
          <w:bCs/>
          <w:sz w:val="32"/>
          <w:szCs w:val="32"/>
          <w:lang w:val="zh-CN"/>
        </w:rPr>
        <w:t>人</w:t>
      </w:r>
      <w:r>
        <w:rPr>
          <w:rFonts w:hint="eastAsia" w:ascii="仿宋_GB2312" w:hAnsi="仿宋_GB2312" w:cs="仿宋_GB2312"/>
          <w:bCs/>
          <w:sz w:val="32"/>
          <w:szCs w:val="32"/>
        </w:rPr>
        <w:t>。</w:t>
      </w:r>
      <w:r>
        <w:rPr>
          <w:rFonts w:hint="eastAsia" w:ascii="仿宋_GB2312" w:hAnsi="仿宋_GB2312" w:cs="仿宋_GB2312"/>
          <w:b w:val="0"/>
          <w:bCs/>
          <w:sz w:val="32"/>
          <w:szCs w:val="32"/>
        </w:rPr>
        <w:t>积极应对人口老龄化，</w:t>
      </w:r>
      <w:r>
        <w:rPr>
          <w:rFonts w:hint="eastAsia" w:ascii="仿宋_GB2312" w:hAnsi="仿宋_GB2312" w:cs="仿宋_GB2312"/>
          <w:bCs/>
          <w:sz w:val="32"/>
          <w:szCs w:val="32"/>
        </w:rPr>
        <w:t>通运街道、潞城镇区域养老服务中心投入运营，新建养老助餐点10家。新增家庭养老照护床位3000张。</w:t>
      </w:r>
      <w:r>
        <w:rPr>
          <w:rFonts w:ascii="仿宋_GB2312" w:hAnsi="仿宋_GB2312" w:cs="仿宋_GB2312"/>
          <w:b w:val="0"/>
          <w:bCs/>
          <w:sz w:val="32"/>
          <w:szCs w:val="32"/>
        </w:rPr>
        <w:t>托幼一体化建设稳步推进，</w:t>
      </w:r>
      <w:r>
        <w:rPr>
          <w:rFonts w:hint="eastAsia" w:ascii="仿宋_GB2312" w:hAnsi="仿宋_GB2312" w:cs="仿宋_GB2312"/>
          <w:bCs/>
          <w:sz w:val="32"/>
          <w:szCs w:val="32"/>
        </w:rPr>
        <w:t>区综合托育服务中心挂牌成立，托位总数超4200个。</w:t>
      </w:r>
      <w:r>
        <w:rPr>
          <w:rFonts w:hint="eastAsia" w:ascii="仿宋_GB2312" w:hAnsi="仿宋_GB2312" w:cs="仿宋_GB2312"/>
          <w:sz w:val="32"/>
          <w:szCs w:val="32"/>
        </w:rPr>
        <w:t>筹集各类保障性住房1.4万余套，公租房轮候家庭房源可供率、重点人群保障率均居全市首位。</w:t>
      </w:r>
    </w:p>
    <w:p>
      <w:pPr>
        <w:widowControl/>
        <w:spacing w:line="560" w:lineRule="exact"/>
        <w:ind w:firstLine="640" w:firstLineChars="200"/>
        <w:rPr>
          <w:rFonts w:ascii="仿宋_GB2312" w:hAnsi="仿宋_GB2312" w:eastAsia="仿宋_GB2312" w:cs="仿宋_GB2312"/>
          <w:sz w:val="32"/>
          <w:szCs w:val="32"/>
          <w:lang w:bidi="ar"/>
        </w:rPr>
      </w:pPr>
      <w:r>
        <w:rPr>
          <w:rFonts w:hint="eastAsia" w:ascii="楷体_GB2312" w:hAnsi="Courier New" w:eastAsia="楷体_GB2312" w:cs="Courier New"/>
          <w:b w:val="0"/>
          <w:bCs/>
          <w:sz w:val="32"/>
          <w:szCs w:val="32"/>
          <w:lang w:eastAsia="zh-CN" w:bidi="ar"/>
        </w:rPr>
        <w:t>（三）</w:t>
      </w:r>
      <w:r>
        <w:rPr>
          <w:rFonts w:hint="eastAsia" w:ascii="楷体_GB2312" w:hAnsi="Courier New" w:eastAsia="楷体_GB2312" w:cs="Courier New"/>
          <w:b w:val="0"/>
          <w:bCs/>
          <w:sz w:val="32"/>
          <w:szCs w:val="32"/>
          <w:lang w:bidi="ar"/>
        </w:rPr>
        <w:t>社会大局保持安全稳定。</w:t>
      </w:r>
      <w:r>
        <w:rPr>
          <w:rFonts w:hint="eastAsia" w:ascii="仿宋_GB2312" w:hAnsi="仿宋_GB2312" w:eastAsia="仿宋_GB2312" w:cs="仿宋_GB2312"/>
          <w:b w:val="0"/>
          <w:bCs/>
          <w:sz w:val="32"/>
          <w:szCs w:val="32"/>
          <w:lang w:bidi="ar"/>
        </w:rPr>
        <w:t>深化安全生产治本攻坚，</w:t>
      </w:r>
      <w:r>
        <w:rPr>
          <w:rFonts w:hint="eastAsia" w:ascii="仿宋_GB2312" w:hAnsi="仿宋_GB2312" w:eastAsia="仿宋_GB2312" w:cs="仿宋_GB2312"/>
          <w:bCs/>
          <w:sz w:val="32"/>
          <w:szCs w:val="32"/>
          <w:lang w:bidi="ar"/>
        </w:rPr>
        <w:t>整改重点领域火灾隐患，</w:t>
      </w:r>
      <w:r>
        <w:rPr>
          <w:rFonts w:hint="eastAsia" w:eastAsia="仿宋_GB2312" w:cs="仿宋_GB2312"/>
          <w:bCs/>
          <w:sz w:val="32"/>
          <w:szCs w:val="32"/>
          <w:lang w:bidi="ar"/>
        </w:rPr>
        <w:t>生产安全亡人事故起数、亡人数保持双下降。</w:t>
      </w:r>
      <w:r>
        <w:rPr>
          <w:rFonts w:hint="eastAsia" w:ascii="仿宋_GB2312" w:hAnsi="仿宋_GB2312" w:eastAsia="仿宋_GB2312" w:cs="仿宋_GB2312"/>
          <w:b w:val="0"/>
          <w:bCs/>
          <w:sz w:val="32"/>
          <w:szCs w:val="32"/>
          <w:lang w:bidi="ar"/>
        </w:rPr>
        <w:t>大力推进</w:t>
      </w:r>
      <w:r>
        <w:rPr>
          <w:rFonts w:hint="eastAsia" w:eastAsia="仿宋_GB2312" w:cs="仿宋_GB2312"/>
          <w:b w:val="0"/>
          <w:bCs/>
          <w:sz w:val="32"/>
          <w:szCs w:val="32"/>
          <w:lang w:bidi="ar"/>
        </w:rPr>
        <w:t>韧性</w:t>
      </w:r>
      <w:r>
        <w:rPr>
          <w:rFonts w:hint="eastAsia" w:ascii="仿宋_GB2312" w:hAnsi="仿宋_GB2312" w:eastAsia="仿宋_GB2312" w:cs="仿宋_GB2312"/>
          <w:b w:val="0"/>
          <w:bCs/>
          <w:sz w:val="32"/>
          <w:szCs w:val="32"/>
          <w:lang w:bidi="ar"/>
        </w:rPr>
        <w:t>城市建设，</w:t>
      </w:r>
      <w:r>
        <w:rPr>
          <w:rFonts w:hint="eastAsia" w:ascii="仿宋_GB2312" w:hAnsi="仿宋_GB2312" w:eastAsia="仿宋_GB2312" w:cs="仿宋_GB2312"/>
          <w:sz w:val="32"/>
          <w:szCs w:val="32"/>
          <w:lang w:bidi="ar"/>
        </w:rPr>
        <w:t>海绵城市达标面积42平方公里，持续优化防汛体系，实现平稳安全度汛。基本建成社会矛盾风险监测预警平台，启动运行社会治安综合治理中心，创新打造“通通有解”多元解纷品牌，刑事、治安、秩序警情保持低位，群众安全感进一步增强。</w:t>
      </w:r>
    </w:p>
    <w:p>
      <w:pPr>
        <w:widowControl/>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六、聚力深化改革创新，发展活力不断迸发</w:t>
      </w:r>
    </w:p>
    <w:p>
      <w:pPr>
        <w:spacing w:line="560" w:lineRule="exact"/>
        <w:ind w:firstLine="640" w:firstLineChars="200"/>
        <w:rPr>
          <w:rFonts w:ascii="仿宋_GB2312" w:hAnsi="仿宋_GB2312" w:eastAsia="仿宋_GB2312" w:cs="仿宋_GB2312"/>
          <w:sz w:val="32"/>
          <w:szCs w:val="32"/>
        </w:rPr>
      </w:pPr>
      <w:r>
        <w:rPr>
          <w:rFonts w:hint="eastAsia" w:ascii="楷体_GB2312" w:hAnsi="Courier New" w:eastAsia="楷体_GB2312" w:cs="Courier New"/>
          <w:b w:val="0"/>
          <w:bCs/>
          <w:sz w:val="32"/>
          <w:szCs w:val="32"/>
          <w:lang w:eastAsia="zh-CN"/>
        </w:rPr>
        <w:t>（一）</w:t>
      </w:r>
      <w:r>
        <w:rPr>
          <w:rFonts w:hint="eastAsia" w:ascii="楷体_GB2312" w:hAnsi="Courier New" w:eastAsia="楷体_GB2312" w:cs="Courier New"/>
          <w:b w:val="0"/>
          <w:bCs/>
          <w:sz w:val="32"/>
          <w:szCs w:val="32"/>
        </w:rPr>
        <w:t>改革创新多维突破。</w:t>
      </w:r>
      <w:r>
        <w:rPr>
          <w:rFonts w:hint="eastAsia" w:ascii="仿宋_GB2312" w:hAnsi="仿宋_GB2312" w:eastAsia="仿宋_GB2312" w:cs="仿宋_GB2312"/>
          <w:bCs/>
          <w:sz w:val="32"/>
          <w:szCs w:val="32"/>
        </w:rPr>
        <w:t>《北京城市副中心要素市场化配置综合改革试点实施方案》</w:t>
      </w:r>
      <w:r>
        <w:rPr>
          <w:rFonts w:hint="eastAsia" w:ascii="仿宋_GB2312" w:hAnsi="仿宋" w:eastAsia="仿宋_GB2312"/>
          <w:bCs/>
          <w:sz w:val="32"/>
          <w:szCs w:val="32"/>
        </w:rPr>
        <w:t>获国务院批复，推进实施60项改革任务</w:t>
      </w:r>
      <w:r>
        <w:rPr>
          <w:rFonts w:hint="eastAsia" w:ascii="仿宋_GB2312" w:hAnsi="仿宋_GB2312" w:eastAsia="仿宋_GB2312" w:cs="仿宋_GB2312"/>
          <w:bCs/>
          <w:sz w:val="32"/>
          <w:szCs w:val="32"/>
          <w:lang w:val="zh-CN"/>
        </w:rPr>
        <w:t>。副中心立法取得关键性进展，</w:t>
      </w:r>
      <w:r>
        <w:rPr>
          <w:rFonts w:hint="eastAsia" w:ascii="仿宋_GB2312" w:hAnsi="仿宋_GB2312" w:eastAsia="仿宋_GB2312" w:cs="仿宋_GB2312"/>
          <w:bCs/>
          <w:sz w:val="32"/>
          <w:szCs w:val="32"/>
        </w:rPr>
        <w:t>《北京城市副中心条例》完成市人大常委会三次审议。全面落实区委年度改革任务，形成“物业城市”模式等一批改革创新经验。</w:t>
      </w:r>
      <w:r>
        <w:rPr>
          <w:rFonts w:hint="eastAsia" w:ascii="仿宋_GB2312" w:hAnsi="仿宋_GB2312" w:eastAsia="仿宋_GB2312" w:cs="仿宋_GB2312"/>
          <w:b w:val="0"/>
          <w:bCs/>
          <w:sz w:val="32"/>
          <w:szCs w:val="32"/>
          <w:lang w:val="zh-CN"/>
        </w:rPr>
        <w:t>深化国资国企改革</w:t>
      </w:r>
      <w:r>
        <w:rPr>
          <w:rFonts w:hint="eastAsia" w:ascii="仿宋_GB2312" w:hAnsi="仿宋_GB2312" w:eastAsia="仿宋_GB2312" w:cs="仿宋_GB2312"/>
          <w:bCs/>
          <w:sz w:val="32"/>
          <w:szCs w:val="32"/>
          <w:lang w:val="zh-CN"/>
        </w:rPr>
        <w:t>，</w:t>
      </w:r>
      <w:bookmarkStart w:id="43" w:name="OLE_LINK10"/>
      <w:r>
        <w:rPr>
          <w:rFonts w:hint="eastAsia" w:ascii="仿宋_GB2312" w:hAnsi="仿宋_GB2312" w:eastAsia="仿宋_GB2312" w:cs="仿宋_GB2312"/>
          <w:bCs/>
          <w:sz w:val="32"/>
          <w:szCs w:val="32"/>
          <w:lang w:val="zh-CN"/>
        </w:rPr>
        <w:t>区属国企对投资落地、产业发展等区委区政府重点工作的支撑作用持续增强</w:t>
      </w:r>
      <w:bookmarkEnd w:id="43"/>
      <w:r>
        <w:rPr>
          <w:rFonts w:hint="eastAsia" w:ascii="仿宋_GB2312" w:hAnsi="仿宋_GB2312" w:eastAsia="仿宋_GB2312" w:cs="仿宋_GB2312"/>
          <w:bCs/>
          <w:sz w:val="32"/>
          <w:szCs w:val="32"/>
          <w:lang w:val="zh-CN"/>
        </w:rPr>
        <w:t>。</w:t>
      </w:r>
      <w:r>
        <w:rPr>
          <w:rFonts w:hint="eastAsia" w:ascii="仿宋_GB2312" w:hAnsi="仿宋_GB2312" w:eastAsia="仿宋_GB2312" w:cs="仿宋_GB2312"/>
          <w:b w:val="0"/>
          <w:bCs/>
          <w:sz w:val="32"/>
          <w:szCs w:val="32"/>
        </w:rPr>
        <w:t>拓展政务服务领域改革</w:t>
      </w:r>
      <w:r>
        <w:rPr>
          <w:rFonts w:hint="eastAsia" w:ascii="仿宋_GB2312" w:hAnsi="仿宋_GB2312" w:eastAsia="仿宋_GB2312" w:cs="仿宋_GB2312"/>
          <w:bCs/>
          <w:sz w:val="32"/>
          <w:szCs w:val="32"/>
        </w:rPr>
        <w:t>，在全市率先实现市、区、街三级政务服务事项一厅集中办理，落地全国首个不动产信托财产登记试点案例、首批股权信托财产登记案例</w:t>
      </w:r>
      <w:r>
        <w:rPr>
          <w:rFonts w:hint="eastAsia" w:ascii="仿宋_GB2312" w:hAnsi="仿宋_GB2312" w:eastAsia="仿宋_GB2312" w:cs="仿宋_GB2312"/>
          <w:sz w:val="32"/>
          <w:szCs w:val="32"/>
        </w:rPr>
        <w:t>。</w:t>
      </w:r>
    </w:p>
    <w:p>
      <w:pPr>
        <w:pStyle w:val="18"/>
        <w:spacing w:after="0" w:line="560" w:lineRule="exact"/>
        <w:ind w:firstLine="640" w:firstLineChars="200"/>
        <w:rPr>
          <w:rFonts w:ascii="仿宋_GB2312" w:hAnsi="仿宋_GB2312" w:eastAsia="仿宋_GB2312" w:cs="仿宋_GB2312"/>
          <w:sz w:val="32"/>
          <w:szCs w:val="32"/>
        </w:rPr>
      </w:pPr>
      <w:r>
        <w:rPr>
          <w:rFonts w:hint="eastAsia" w:ascii="楷体_GB2312" w:hAnsi="Courier New" w:eastAsia="楷体_GB2312" w:cs="Courier New"/>
          <w:b w:val="0"/>
          <w:bCs/>
          <w:sz w:val="32"/>
          <w:szCs w:val="32"/>
          <w:lang w:eastAsia="zh-CN"/>
        </w:rPr>
        <w:t>（二）</w:t>
      </w:r>
      <w:r>
        <w:rPr>
          <w:rFonts w:hint="eastAsia" w:ascii="楷体_GB2312" w:hAnsi="Courier New" w:eastAsia="楷体_GB2312" w:cs="Courier New"/>
          <w:b w:val="0"/>
          <w:bCs/>
          <w:sz w:val="32"/>
          <w:szCs w:val="32"/>
        </w:rPr>
        <w:t>开放交流更加活跃。</w:t>
      </w:r>
      <w:r>
        <w:rPr>
          <w:rFonts w:hint="eastAsia" w:ascii="仿宋_GB2312" w:hAnsi="仿宋_GB2312" w:eastAsia="仿宋_GB2312" w:cs="仿宋_GB2312"/>
          <w:sz w:val="32"/>
          <w:szCs w:val="32"/>
        </w:rPr>
        <w:t>新设外资企业</w:t>
      </w:r>
      <w:r>
        <w:rPr>
          <w:rFonts w:ascii="仿宋_GB2312" w:hAnsi="仿宋_GB2312" w:eastAsia="仿宋_GB2312" w:cs="仿宋_GB2312"/>
          <w:sz w:val="32"/>
          <w:szCs w:val="32"/>
        </w:rPr>
        <w:t>214</w:t>
      </w:r>
      <w:r>
        <w:rPr>
          <w:rFonts w:hint="eastAsia" w:ascii="仿宋_GB2312" w:hAnsi="仿宋_GB2312" w:eastAsia="仿宋_GB2312" w:cs="仿宋_GB2312"/>
          <w:sz w:val="32"/>
          <w:szCs w:val="32"/>
        </w:rPr>
        <w:t>家，同比增长</w:t>
      </w:r>
      <w:r>
        <w:rPr>
          <w:rFonts w:ascii="仿宋_GB2312" w:hAnsi="仿宋_GB2312" w:eastAsia="仿宋_GB2312" w:cs="仿宋_GB2312"/>
          <w:sz w:val="32"/>
          <w:szCs w:val="32"/>
        </w:rPr>
        <w:t>10.9%。</w:t>
      </w:r>
      <w:r>
        <w:rPr>
          <w:rFonts w:hint="eastAsia" w:ascii="仿宋_GB2312" w:hAnsi="仿宋_GB2312" w:eastAsia="仿宋_GB2312" w:cs="仿宋_GB2312"/>
          <w:sz w:val="32"/>
          <w:szCs w:val="32"/>
        </w:rPr>
        <w:t>“优化文化服务供给模式和协同治理体系”案例入选国家服务业扩大开放综合试点最佳实践案例。成功举办中国（北京城市副中心）-东盟贸易投资推介会等交流活动，G20青年企业家联盟和北京国际商会两个会客厅挂牌成立，国际交流向深层次发展。</w:t>
      </w:r>
    </w:p>
    <w:p>
      <w:pPr>
        <w:pStyle w:val="2"/>
        <w:spacing w:line="560" w:lineRule="exact"/>
        <w:ind w:firstLine="760"/>
        <w:rPr>
          <w:rFonts w:hAnsi="仿宋_GB2312" w:cs="仿宋_GB2312"/>
          <w:sz w:val="32"/>
          <w:szCs w:val="32"/>
        </w:rPr>
      </w:pPr>
      <w:r>
        <w:rPr>
          <w:rFonts w:hint="eastAsia" w:hAnsi="仿宋_GB2312" w:cs="仿宋_GB2312"/>
          <w:sz w:val="32"/>
          <w:szCs w:val="32"/>
        </w:rPr>
        <w:t>过去一年，我们深入贯彻党中央及市委市政府、区委各项决策部署，</w:t>
      </w:r>
      <w:r>
        <w:rPr>
          <w:rFonts w:hint="eastAsia" w:hAnsi="仿宋_GB2312" w:cs="仿宋_GB2312"/>
          <w:sz w:val="32"/>
          <w:szCs w:val="32"/>
          <w:lang w:bidi="ar"/>
        </w:rPr>
        <w:t>圆满完成抗战胜利80周年纪念活动等服务保障任务。</w:t>
      </w:r>
      <w:r>
        <w:rPr>
          <w:rFonts w:hint="eastAsia" w:hAnsi="仿宋_GB2312" w:cs="仿宋_GB2312"/>
          <w:sz w:val="32"/>
          <w:szCs w:val="32"/>
        </w:rPr>
        <w:t>全面开展深入贯彻中央八项规定精神学习教育。持续为基层减负，全区性督查检查考核事项大幅压减。</w:t>
      </w:r>
      <w:r>
        <w:rPr>
          <w:rFonts w:hint="eastAsia" w:ascii="Calibri" w:hAnsi="Calibri" w:cs="Calibri"/>
          <w:sz w:val="32"/>
          <w:szCs w:val="32"/>
        </w:rPr>
        <w:t>建立财政支出标准体系，</w:t>
      </w:r>
      <w:r>
        <w:rPr>
          <w:rFonts w:hint="eastAsia" w:hAnsi="仿宋_GB2312" w:cs="仿宋_GB2312"/>
          <w:sz w:val="32"/>
          <w:szCs w:val="32"/>
        </w:rPr>
        <w:t>实施“三公”经费限额管理，推进零基预算和预算绩效管理改革，财政资金使用效益持续提升</w:t>
      </w:r>
      <w:r>
        <w:rPr>
          <w:rFonts w:hint="eastAsia" w:hAnsi="仿宋_GB2312" w:cs="仿宋_GB2312"/>
          <w:bCs/>
          <w:sz w:val="32"/>
          <w:szCs w:val="32"/>
        </w:rPr>
        <w:t>。</w:t>
      </w:r>
      <w:r>
        <w:rPr>
          <w:rFonts w:hint="eastAsia" w:hAnsi="仿宋_GB2312" w:cs="仿宋_GB2312"/>
          <w:sz w:val="32"/>
          <w:szCs w:val="32"/>
        </w:rPr>
        <w:t>拓展全国法治政府建设示范区成果，自觉接受人大法律监督、工作监督和政协民主监督，全年办理市区两级人大代表建议和政协委员提案310件，办复率100%。</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各位代表！一年来取得的成绩来之不易，这是以习近平同志为核心的党中央举旗定向、掌舵领航的结果，是市委市政府坚强领导、大力支持的结果，是副中心党工委管委会统筹协调、强力推动的结果，是区委直接领导、全面推进的结果，是区人大、区政协监督和支持的结果，是各位代表和委员共同凝聚智慧、倾心建言献策的结果，是各民主党派、人民团体、驻通部队、武警官兵、公安干警、驻通中央及市属单位、兄弟区和津冀地区鼎力支持的结果，是全区人民共同努力奋斗的结果。在此，我代表通州区人民政府，向辛勤工作在全区各条战线的干部职工、向所有关心支持参与副中心建设发展的各界人士和全区人民表示崇高的敬意和衷心的感谢！</w:t>
      </w:r>
    </w:p>
    <w:p>
      <w:pPr>
        <w:pStyle w:val="2"/>
        <w:spacing w:line="560" w:lineRule="exact"/>
        <w:ind w:firstLine="760"/>
        <w:rPr>
          <w:rFonts w:hAnsi="Calibri"/>
          <w:sz w:val="32"/>
          <w:szCs w:val="32"/>
        </w:rPr>
      </w:pPr>
      <w:r>
        <w:rPr>
          <w:rFonts w:hint="eastAsia" w:hAnsi="Calibri"/>
          <w:sz w:val="32"/>
          <w:szCs w:val="32"/>
        </w:rPr>
        <w:t>在总结成绩的同时，我们也清醒地认识到，对标党中央及市委市政府对城市副中心建设的高要求，对标人民群众对美好生活的新期盼，我们在工作中还存在差距和不足，面临不少困难和挑战。具体表现在：</w:t>
      </w:r>
      <w:r>
        <w:rPr>
          <w:rFonts w:hint="eastAsia" w:hAnsi="Calibri"/>
          <w:b w:val="0"/>
          <w:bCs w:val="0"/>
          <w:sz w:val="32"/>
          <w:szCs w:val="32"/>
        </w:rPr>
        <w:t>一是城市综合承载力还不够强，城乡之间、新老城区之间发展不平衡依然存在，促进区域协同发展的措施仍需强化。二是产业生态还不够完善，优势产业和新兴业态的规模还</w:t>
      </w:r>
      <w:r>
        <w:rPr>
          <w:rFonts w:hAnsi="Calibri"/>
          <w:b w:val="0"/>
          <w:bCs w:val="0"/>
          <w:sz w:val="32"/>
          <w:szCs w:val="32"/>
        </w:rPr>
        <w:t>不够大</w:t>
      </w:r>
      <w:r>
        <w:rPr>
          <w:rFonts w:hint="eastAsia" w:hAnsi="Calibri"/>
          <w:b w:val="0"/>
          <w:bCs w:val="0"/>
          <w:sz w:val="32"/>
          <w:szCs w:val="32"/>
        </w:rPr>
        <w:t>，新质生产力还需加快培育。三是“七有”“五性”整体水平还不高，民生保障、城市治理等领域还存在薄弱环节，普惠、优质的民生福祉还需持续增进。四是政府</w:t>
      </w:r>
      <w:r>
        <w:rPr>
          <w:rFonts w:hint="eastAsia" w:hAnsi="Calibri"/>
          <w:sz w:val="32"/>
          <w:szCs w:val="32"/>
        </w:rPr>
        <w:t>系统干部作风、能力提升还有较大空间，干在实处的拼劲、走在前列的冲劲、担当作为的韧劲还需进一步增强。对于这些问题和不足，我们将高度重视，采取有力有效措施，切实加以解决。</w:t>
      </w:r>
    </w:p>
    <w:p>
      <w:pPr>
        <w:pStyle w:val="2"/>
        <w:spacing w:line="560" w:lineRule="exact"/>
        <w:ind w:firstLine="0" w:firstLineChars="0"/>
        <w:jc w:val="center"/>
        <w:rPr>
          <w:rFonts w:ascii="黑体" w:eastAsia="黑体" w:cs="黑体"/>
          <w:sz w:val="32"/>
          <w:szCs w:val="32"/>
        </w:rPr>
      </w:pPr>
    </w:p>
    <w:p>
      <w:pPr>
        <w:pStyle w:val="2"/>
        <w:spacing w:line="560" w:lineRule="exact"/>
        <w:ind w:firstLine="0" w:firstLineChars="0"/>
        <w:jc w:val="center"/>
        <w:rPr>
          <w:rFonts w:ascii="黑体" w:eastAsia="黑体" w:cs="黑体"/>
          <w:sz w:val="32"/>
          <w:szCs w:val="32"/>
        </w:rPr>
      </w:pPr>
      <w:r>
        <w:rPr>
          <w:rFonts w:hint="eastAsia" w:ascii="黑体" w:eastAsia="黑体" w:cs="黑体"/>
          <w:sz w:val="32"/>
          <w:szCs w:val="32"/>
        </w:rPr>
        <w:t>“十四五”时期发展成就和“十五五”</w:t>
      </w:r>
    </w:p>
    <w:p>
      <w:pPr>
        <w:pStyle w:val="2"/>
        <w:spacing w:line="560" w:lineRule="exact"/>
        <w:ind w:firstLine="0" w:firstLineChars="0"/>
        <w:jc w:val="center"/>
        <w:rPr>
          <w:rFonts w:ascii="黑体" w:eastAsia="黑体" w:cs="黑体"/>
          <w:sz w:val="32"/>
          <w:szCs w:val="32"/>
        </w:rPr>
      </w:pPr>
      <w:r>
        <w:rPr>
          <w:rFonts w:hint="eastAsia" w:ascii="黑体" w:eastAsia="黑体" w:cs="黑体"/>
          <w:sz w:val="32"/>
          <w:szCs w:val="32"/>
        </w:rPr>
        <w:t>时期主要目标任务</w:t>
      </w:r>
    </w:p>
    <w:p>
      <w:pPr>
        <w:spacing w:line="560" w:lineRule="exact"/>
        <w:rPr>
          <w:rFonts w:ascii="黑体" w:hAnsi="黑体" w:eastAsia="黑体" w:cs="黑体"/>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“十四五”时期是城市副中心实现跨越式发展的五年</w:t>
      </w:r>
      <w:bookmarkStart w:id="44" w:name="OLE_LINK32"/>
      <w:bookmarkStart w:id="45" w:name="OLE_LINK33"/>
      <w:r>
        <w:rPr>
          <w:rFonts w:hint="eastAsia" w:ascii="仿宋_GB2312" w:hAnsi="仿宋_GB2312" w:eastAsia="仿宋_GB2312" w:cs="仿宋_GB2312"/>
          <w:sz w:val="32"/>
          <w:szCs w:val="32"/>
        </w:rPr>
        <w:t>。党中央、国务院始终高度关切城市副中心建设发展，出台支持城市副中心高质量发展的意见，批复国家绿色发展示范区实施方案、通州区与北三县一体化高质量发展示范区总体方案、城市副中心要素市场化配置综合改革试点实施方案，进一步为副中心发展指明了方向。市委市政府举全市之力建设副中心，给予副中心更多改革和创新发展自主权。习近平总书记对副中心的评价由“生机勃发”转变为“高质量发展步伐加快”。</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rPr>
        <w:t>这五年，我们牢记嘱托、承接功能，全面推动国家战略落地生根。</w:t>
      </w:r>
      <w:r>
        <w:rPr>
          <w:rFonts w:hint="eastAsia" w:ascii="仿宋_GB2312" w:hAnsi="仿宋_GB2312" w:eastAsia="仿宋_GB2312" w:cs="仿宋_GB2312"/>
          <w:sz w:val="32"/>
          <w:szCs w:val="32"/>
        </w:rPr>
        <w:t>充分发挥京津冀协同发展“桥头堡”作用，全面处理好“三个关系”。积极承接非首都功能疏解，市级行政机关完成搬迁。177家央企、市属国企子公司批次入驻，一批高校院所布局落位。通北示范区执委会、理事会成立运行，交通等领域协同取得重大突破。与雄安新区“两翼”齐飞态势持续强化。</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rPr>
        <w:t>这五年，我们锚定蓝图、奋力攻坚，城市框架基本成型。</w:t>
      </w:r>
      <w:r>
        <w:rPr>
          <w:rFonts w:hint="eastAsia" w:ascii="仿宋_GB2312" w:hAnsi="仿宋_GB2312" w:eastAsia="仿宋_GB2312" w:cs="仿宋_GB2312"/>
          <w:sz w:val="32"/>
          <w:szCs w:val="32"/>
        </w:rPr>
        <w:t>以每年超千亿投资规模筑基千年之城，“一带一轴多组团”空间格局加快构建。运河商务区启动区初具规模，文化旅游区世界级旅游目的地加速崛起。三大文化设施成为首都文化新地标。大运河文化旅游景区获评国家5A级文化旅游景区，广渠路东延等标志性工程梯次建成，“十一横九纵”骨干路网体系基本形成。副中心建设的规划蓝图正逐步成为生动实景。</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rPr>
        <w:t>这五年，我们强基固本、实干笃行，经济实力大幅跃升</w:t>
      </w:r>
      <w:r>
        <w:rPr>
          <w:rFonts w:hint="eastAsia" w:ascii="楷体_GB2312" w:hAnsi="楷体_GB2312" w:eastAsia="楷体_GB2312" w:cs="楷体_GB2312"/>
          <w:b/>
          <w:bCs/>
          <w:sz w:val="32"/>
          <w:szCs w:val="32"/>
        </w:rPr>
        <w:t>。</w:t>
      </w:r>
      <w:bookmarkStart w:id="46" w:name="OLE_LINK18"/>
      <w:r>
        <w:rPr>
          <w:rFonts w:hint="eastAsia" w:ascii="仿宋_GB2312" w:hAnsi="仿宋_GB2312" w:eastAsia="仿宋_GB2312" w:cs="仿宋_GB2312"/>
          <w:sz w:val="32"/>
          <w:szCs w:val="32"/>
        </w:rPr>
        <w:t>地区生产总值突破</w:t>
      </w:r>
      <w:r>
        <w:rPr>
          <w:rFonts w:ascii="仿宋_GB2312" w:hAnsi="仿宋_GB2312" w:eastAsia="仿宋_GB2312" w:cs="仿宋_GB2312"/>
          <w:sz w:val="32"/>
          <w:szCs w:val="32"/>
        </w:rPr>
        <w:t>1600亿元，年均增速超过6%，</w:t>
      </w:r>
      <w:bookmarkEnd w:id="46"/>
      <w:r>
        <w:rPr>
          <w:rFonts w:hint="eastAsia" w:ascii="仿宋_GB2312" w:hAnsi="仿宋_GB2312" w:eastAsia="仿宋_GB2312" w:cs="仿宋_GB2312"/>
          <w:sz w:val="32"/>
          <w:szCs w:val="32"/>
        </w:rPr>
        <w:t>增速居全市前列。产业结构持续优化，以汽车制造、集成电路、生物医药为代表的规上工业总产值增长近2倍。金融业增加值、税收占比保持在10%左右，文体娱乐业增加值增长10倍。培育挂牌上市企业33家、“小巨人”企业40家、高新技术企业1255家，年均注册企业超2万家，企业主体规模稳居全市前列。</w:t>
      </w:r>
    </w:p>
    <w:bookmarkEnd w:id="44"/>
    <w:bookmarkEnd w:id="45"/>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rPr>
        <w:t>这五年，我们擦亮底色、创新示范，国家绿色发展示范区建设成果丰硕。</w:t>
      </w:r>
      <w:r>
        <w:rPr>
          <w:rFonts w:hint="eastAsia" w:ascii="仿宋_GB2312" w:hAnsi="仿宋_GB2312" w:eastAsia="仿宋_GB2312" w:cs="仿宋_GB2312"/>
          <w:sz w:val="32"/>
          <w:szCs w:val="32"/>
        </w:rPr>
        <w:t>创建</w:t>
      </w:r>
      <w:r>
        <w:rPr>
          <w:rFonts w:ascii="仿宋_GB2312" w:hAnsi="仿宋_GB2312" w:eastAsia="仿宋_GB2312" w:cs="仿宋_GB2312"/>
          <w:sz w:val="32"/>
          <w:szCs w:val="32"/>
        </w:rPr>
        <w:t>全市首个平原地区国家森林城市，</w:t>
      </w:r>
      <w:r>
        <w:rPr>
          <w:rFonts w:hint="eastAsia" w:ascii="仿宋_GB2312" w:hAnsi="仿宋_GB2312" w:eastAsia="仿宋_GB2312" w:cs="仿宋_GB2312"/>
          <w:sz w:val="32"/>
          <w:szCs w:val="32"/>
        </w:rPr>
        <w:t>600</w:t>
      </w:r>
      <w:r>
        <w:rPr>
          <w:rFonts w:ascii="仿宋_GB2312" w:hAnsi="仿宋_GB2312" w:eastAsia="仿宋_GB2312" w:cs="仿宋_GB2312"/>
          <w:sz w:val="32"/>
          <w:szCs w:val="32"/>
        </w:rPr>
        <w:t>公里绿道贯</w:t>
      </w:r>
      <w:r>
        <w:rPr>
          <w:rFonts w:hint="eastAsia" w:ascii="仿宋_GB2312" w:hAnsi="仿宋_GB2312" w:eastAsia="仿宋_GB2312" w:cs="仿宋_GB2312"/>
          <w:sz w:val="32"/>
          <w:szCs w:val="32"/>
        </w:rPr>
        <w:t>通</w:t>
      </w:r>
      <w:r>
        <w:rPr>
          <w:rFonts w:ascii="仿宋_GB2312" w:hAnsi="仿宋_GB2312" w:eastAsia="仿宋_GB2312" w:cs="仿宋_GB2312"/>
          <w:sz w:val="32"/>
          <w:szCs w:val="32"/>
        </w:rPr>
        <w:t>南北，8个万亩森林组团</w:t>
      </w:r>
      <w:r>
        <w:rPr>
          <w:rFonts w:hint="eastAsia" w:ascii="仿宋_GB2312" w:hAnsi="仿宋_GB2312" w:eastAsia="仿宋_GB2312" w:cs="仿宋_GB2312"/>
          <w:sz w:val="32"/>
          <w:szCs w:val="32"/>
        </w:rPr>
        <w:t>串联</w:t>
      </w:r>
      <w:r>
        <w:rPr>
          <w:rFonts w:ascii="仿宋_GB2312" w:hAnsi="仿宋_GB2312" w:eastAsia="仿宋_GB2312" w:cs="仿宋_GB2312"/>
          <w:sz w:val="32"/>
          <w:szCs w:val="32"/>
        </w:rPr>
        <w:t>东西</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大气</w:t>
      </w:r>
      <w:r>
        <w:rPr>
          <w:rFonts w:hint="eastAsia" w:ascii="仿宋_GB2312" w:hAnsi="仿宋_GB2312" w:eastAsia="仿宋_GB2312" w:cs="仿宋_GB2312"/>
          <w:sz w:val="32"/>
          <w:szCs w:val="32"/>
        </w:rPr>
        <w:t>、水</w:t>
      </w:r>
      <w:r>
        <w:rPr>
          <w:rFonts w:ascii="仿宋_GB2312" w:hAnsi="仿宋_GB2312" w:eastAsia="仿宋_GB2312" w:cs="仿宋_GB2312"/>
          <w:sz w:val="32"/>
          <w:szCs w:val="32"/>
        </w:rPr>
        <w:t>环境质量屡创新优</w:t>
      </w:r>
      <w:r>
        <w:rPr>
          <w:rFonts w:hint="eastAsia" w:ascii="仿宋_GB2312" w:hAnsi="仿宋_GB2312" w:eastAsia="仿宋_GB2312" w:cs="仿宋_GB2312"/>
          <w:sz w:val="32"/>
          <w:szCs w:val="32"/>
        </w:rPr>
        <w:t>。全国温室气体自愿减排交易中心等平台平稳运行，百亿规模绿色能源和低碳产业投资基金正式落地</w:t>
      </w:r>
      <w:r>
        <w:rPr>
          <w:rFonts w:hint="eastAsia" w:ascii="仿宋_GB2312" w:hAnsi="Courier New" w:eastAsia="仿宋_GB2312" w:cs="仿宋_GB2312"/>
          <w:sz w:val="32"/>
          <w:szCs w:val="32"/>
        </w:rPr>
        <w:t>。新建公共建筑全面执行绿建三星级标准，86个项目获绿色建筑标识。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rPr>
        <w:t>这五年，我们精准发力、为民服务，发展成果惠及更多群众。</w:t>
      </w:r>
      <w:r>
        <w:rPr>
          <w:rFonts w:ascii="仿宋_GB2312" w:hAnsi="仿宋_GB2312" w:eastAsia="仿宋_GB2312" w:cs="仿宋_GB2312"/>
          <w:sz w:val="32"/>
          <w:szCs w:val="32"/>
        </w:rPr>
        <w:t>财政支出</w:t>
      </w:r>
      <w:r>
        <w:rPr>
          <w:rFonts w:hint="eastAsia" w:ascii="仿宋_GB2312" w:hAnsi="仿宋_GB2312" w:eastAsia="仿宋_GB2312" w:cs="仿宋_GB2312"/>
          <w:sz w:val="32"/>
          <w:szCs w:val="32"/>
        </w:rPr>
        <w:t>八</w:t>
      </w:r>
      <w:r>
        <w:rPr>
          <w:rFonts w:ascii="仿宋_GB2312" w:hAnsi="仿宋_GB2312" w:eastAsia="仿宋_GB2312" w:cs="仿宋_GB2312"/>
          <w:sz w:val="32"/>
          <w:szCs w:val="32"/>
        </w:rPr>
        <w:t>成以上投向民生领域，居民人均可支配收入增长</w:t>
      </w:r>
      <w:r>
        <w:rPr>
          <w:rFonts w:hint="eastAsia" w:ascii="仿宋_GB2312" w:hAnsi="仿宋_GB2312" w:eastAsia="仿宋_GB2312" w:cs="仿宋_GB2312"/>
          <w:sz w:val="32"/>
          <w:szCs w:val="32"/>
          <w:lang w:val="en-US" w:eastAsia="zh-CN"/>
        </w:rPr>
        <w:t>33</w:t>
      </w:r>
      <w:r>
        <w:rPr>
          <w:rFonts w:ascii="仿宋_GB2312" w:hAnsi="仿宋_GB2312" w:eastAsia="仿宋_GB2312" w:cs="仿宋_GB2312"/>
          <w:sz w:val="32"/>
          <w:szCs w:val="32"/>
        </w:rPr>
        <w:t>%，高于全市4.</w:t>
      </w:r>
      <w:r>
        <w:rPr>
          <w:rFonts w:hint="eastAsia" w:ascii="仿宋_GB2312" w:hAnsi="仿宋_GB2312" w:eastAsia="仿宋_GB2312" w:cs="仿宋_GB2312"/>
          <w:sz w:val="32"/>
          <w:szCs w:val="32"/>
          <w:lang w:val="en-US" w:eastAsia="zh-CN"/>
        </w:rPr>
        <w:t>7</w:t>
      </w:r>
      <w:r>
        <w:rPr>
          <w:rFonts w:ascii="仿宋_GB2312" w:hAnsi="仿宋_GB2312" w:eastAsia="仿宋_GB2312" w:cs="仿宋_GB2312"/>
          <w:sz w:val="32"/>
          <w:szCs w:val="32"/>
        </w:rPr>
        <w:t>个百分点</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市级优质</w:t>
      </w:r>
      <w:r>
        <w:rPr>
          <w:rFonts w:hint="eastAsia" w:ascii="仿宋_GB2312" w:hAnsi="仿宋_GB2312" w:eastAsia="仿宋_GB2312" w:cs="仿宋_GB2312"/>
          <w:sz w:val="32"/>
          <w:szCs w:val="32"/>
        </w:rPr>
        <w:t>教育资源</w:t>
      </w:r>
      <w:r>
        <w:rPr>
          <w:rFonts w:ascii="仿宋_GB2312" w:hAnsi="仿宋_GB2312" w:eastAsia="仿宋_GB2312" w:cs="仿宋_GB2312"/>
          <w:sz w:val="32"/>
          <w:szCs w:val="32"/>
        </w:rPr>
        <w:t>达20家，基础教育学位增长55%</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三级医院达</w:t>
      </w:r>
      <w:r>
        <w:rPr>
          <w:rFonts w:hint="eastAsia" w:ascii="仿宋_GB2312" w:hAnsi="仿宋_GB2312" w:eastAsia="仿宋_GB2312" w:cs="仿宋_GB2312"/>
          <w:sz w:val="32"/>
          <w:szCs w:val="32"/>
        </w:rPr>
        <w:t>8</w:t>
      </w:r>
      <w:r>
        <w:rPr>
          <w:rFonts w:ascii="仿宋_GB2312" w:hAnsi="仿宋_GB2312" w:eastAsia="仿宋_GB2312" w:cs="仿宋_GB2312"/>
          <w:sz w:val="32"/>
          <w:szCs w:val="32"/>
        </w:rPr>
        <w:t>家，床位数增长50.8%</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养老服务设施实现街乡镇全覆盖</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建设筹集保障性住房</w:t>
      </w:r>
      <w:r>
        <w:rPr>
          <w:rFonts w:hint="eastAsia" w:ascii="仿宋_GB2312" w:hAnsi="仿宋_GB2312" w:eastAsia="仿宋_GB2312" w:cs="仿宋_GB2312"/>
          <w:sz w:val="32"/>
          <w:szCs w:val="32"/>
        </w:rPr>
        <w:t>近5.4万套</w:t>
      </w:r>
      <w:r>
        <w:rPr>
          <w:rFonts w:ascii="仿宋_GB2312" w:hAnsi="仿宋_GB2312" w:eastAsia="仿宋_GB2312" w:cs="仿宋_GB2312"/>
          <w:sz w:val="32"/>
          <w:szCs w:val="32"/>
        </w:rPr>
        <w:t>，惠及群众超</w:t>
      </w:r>
      <w:r>
        <w:rPr>
          <w:rFonts w:hint="eastAsia" w:ascii="仿宋_GB2312" w:hAnsi="仿宋_GB2312" w:eastAsia="仿宋_GB2312" w:cs="仿宋_GB2312"/>
          <w:sz w:val="32"/>
          <w:szCs w:val="32"/>
        </w:rPr>
        <w:t>10</w:t>
      </w:r>
      <w:r>
        <w:rPr>
          <w:rFonts w:ascii="仿宋_GB2312" w:hAnsi="仿宋_GB2312" w:eastAsia="仿宋_GB2312" w:cs="仿宋_GB2312"/>
          <w:sz w:val="32"/>
          <w:szCs w:val="32"/>
        </w:rPr>
        <w:t>万人。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五五”时期是打造中国式现代化进程中城市发展样板的加力奋进期。我们根据《中共北京市通州区委关于制定北京城市副中心（通州区）国民经济和社会发展第十五个五年规划的建议》，编制了《北京市通州区国民经济和社会发展第十五个五年规划纲要（草案）》，全文提交大会审查。规划《纲要（草案）》内容共7篇27章，锚定二Ｏ三五年远景目标，“十五五”时期，我们要坚持高标准、干大事，紧抓机遇、增强信心、奋力拼搏，努力实现以下目标：</w:t>
      </w:r>
    </w:p>
    <w:p>
      <w:pPr>
        <w:spacing w:line="560" w:lineRule="exact"/>
        <w:ind w:firstLine="642" w:firstLineChars="200"/>
        <w:rPr>
          <w:rFonts w:ascii="仿宋_GB2312" w:hAnsi="仿宋_GB2312" w:eastAsia="仿宋_GB2312" w:cs="仿宋_GB2312"/>
          <w:sz w:val="32"/>
          <w:szCs w:val="32"/>
        </w:rPr>
      </w:pPr>
      <w:r>
        <w:rPr>
          <w:rFonts w:hint="eastAsia" w:ascii="黑体" w:hAnsi="黑体" w:eastAsia="黑体" w:cs="黑体"/>
          <w:b/>
          <w:bCs/>
          <w:sz w:val="32"/>
          <w:szCs w:val="32"/>
        </w:rPr>
        <w:t>——</w:t>
      </w:r>
      <w:r>
        <w:rPr>
          <w:rFonts w:hint="eastAsia" w:ascii="仿宋_GB2312" w:hAnsi="仿宋_GB2312" w:eastAsia="仿宋_GB2312" w:cs="仿宋_GB2312"/>
          <w:b w:val="0"/>
          <w:bCs w:val="0"/>
          <w:sz w:val="32"/>
          <w:szCs w:val="32"/>
        </w:rPr>
        <w:t>经济能级全面跃升。</w:t>
      </w:r>
      <w:r>
        <w:rPr>
          <w:rFonts w:hint="eastAsia" w:ascii="仿宋_GB2312" w:hAnsi="仿宋_GB2312" w:eastAsia="仿宋_GB2312" w:cs="仿宋_GB2312"/>
          <w:sz w:val="32"/>
          <w:szCs w:val="32"/>
        </w:rPr>
        <w:t>经济总量再上台阶，以新质生产力为核心、具有城市副中心特色的现代化产业体系加快构建，具有竞争力的开放型、创新型产业生态初步形成，市场化、法治化、便利化、国际化一流营商环境持续构建，展现动力澎湃的高质量发展新气象。</w:t>
      </w:r>
    </w:p>
    <w:p>
      <w:pPr>
        <w:spacing w:line="560" w:lineRule="exact"/>
        <w:ind w:firstLine="642" w:firstLineChars="200"/>
        <w:rPr>
          <w:rFonts w:ascii="仿宋_GB2312" w:hAnsi="仿宋_GB2312" w:eastAsia="仿宋_GB2312" w:cs="仿宋_GB2312"/>
          <w:sz w:val="32"/>
          <w:szCs w:val="32"/>
        </w:rPr>
      </w:pPr>
      <w:r>
        <w:rPr>
          <w:rFonts w:hint="eastAsia" w:ascii="黑体" w:hAnsi="黑体" w:eastAsia="黑体" w:cs="黑体"/>
          <w:b/>
          <w:bCs/>
          <w:sz w:val="32"/>
          <w:szCs w:val="32"/>
        </w:rPr>
        <w:t>——</w:t>
      </w:r>
      <w:r>
        <w:rPr>
          <w:rFonts w:hint="eastAsia" w:ascii="仿宋_GB2312" w:hAnsi="仿宋_GB2312" w:eastAsia="仿宋_GB2312" w:cs="仿宋_GB2312"/>
          <w:b w:val="0"/>
          <w:bCs w:val="0"/>
          <w:sz w:val="32"/>
          <w:szCs w:val="32"/>
        </w:rPr>
        <w:t>城市功能全面跃升</w:t>
      </w:r>
      <w:r>
        <w:rPr>
          <w:rFonts w:hint="eastAsia" w:ascii="楷体_GB2312" w:hAnsi="楷体_GB2312" w:eastAsia="楷体_GB2312" w:cs="楷体_GB2312"/>
          <w:b w:val="0"/>
          <w:bCs w:val="0"/>
          <w:sz w:val="32"/>
          <w:szCs w:val="32"/>
        </w:rPr>
        <w:t>。</w:t>
      </w:r>
      <w:r>
        <w:rPr>
          <w:rFonts w:hint="eastAsia" w:ascii="仿宋_GB2312" w:hAnsi="仿宋_GB2312" w:eastAsia="仿宋_GB2312" w:cs="仿宋_GB2312"/>
          <w:sz w:val="32"/>
          <w:szCs w:val="32"/>
        </w:rPr>
        <w:t>年均投资规模保持千亿级，枢纽型、功能性、网络化、智能化的现代化基础设施体系加快布局完善，以高水平城市建设实现高水平产城人融合，城市对外开放水平持续提高，建成更有颜值、更具内涵、更富品位的现代化宜居宜业城区。</w:t>
      </w:r>
    </w:p>
    <w:p>
      <w:pPr>
        <w:spacing w:line="560" w:lineRule="exact"/>
        <w:ind w:firstLine="642" w:firstLineChars="200"/>
        <w:rPr>
          <w:rFonts w:ascii="楷体_GB2312" w:hAnsi="楷体_GB2312" w:eastAsia="楷体_GB2312" w:cs="楷体_GB2312"/>
          <w:sz w:val="32"/>
          <w:szCs w:val="32"/>
        </w:rPr>
      </w:pPr>
      <w:r>
        <w:rPr>
          <w:rFonts w:hint="eastAsia" w:ascii="黑体" w:hAnsi="黑体" w:eastAsia="黑体" w:cs="黑体"/>
          <w:b/>
          <w:bCs/>
          <w:sz w:val="32"/>
          <w:szCs w:val="32"/>
        </w:rPr>
        <w:t>——</w:t>
      </w:r>
      <w:r>
        <w:rPr>
          <w:rFonts w:hint="eastAsia" w:ascii="仿宋_GB2312" w:hAnsi="仿宋_GB2312" w:eastAsia="仿宋_GB2312" w:cs="仿宋_GB2312"/>
          <w:b w:val="0"/>
          <w:bCs w:val="0"/>
          <w:sz w:val="32"/>
          <w:szCs w:val="32"/>
        </w:rPr>
        <w:t>治理效能全面跃升。</w:t>
      </w:r>
      <w:r>
        <w:rPr>
          <w:rFonts w:hint="eastAsia" w:ascii="仿宋_GB2312" w:hAnsi="仿宋_GB2312" w:eastAsia="仿宋_GB2312" w:cs="仿宋_GB2312"/>
          <w:sz w:val="32"/>
          <w:szCs w:val="32"/>
        </w:rPr>
        <w:t>基本形成社会治理的“副中心方案”，协同开展全域数字化转型和智慧城市建设，数智化治理水平提档升级，城市副中心实现立法突破，法治建设迈上新台阶。平安副中心建设纵深推进，风险防范化解能力进一步增强，社会大局保持和谐稳定。</w:t>
      </w:r>
    </w:p>
    <w:p>
      <w:pPr>
        <w:spacing w:line="560" w:lineRule="exact"/>
        <w:ind w:firstLine="642" w:firstLineChars="200"/>
        <w:rPr>
          <w:rFonts w:ascii="仿宋_GB2312" w:hAnsi="仿宋_GB2312" w:eastAsia="仿宋_GB2312" w:cs="仿宋_GB2312"/>
          <w:sz w:val="32"/>
          <w:szCs w:val="32"/>
        </w:rPr>
      </w:pPr>
      <w:r>
        <w:rPr>
          <w:rFonts w:hint="eastAsia" w:ascii="黑体" w:hAnsi="黑体" w:eastAsia="黑体" w:cs="黑体"/>
          <w:b/>
          <w:bCs/>
          <w:sz w:val="32"/>
          <w:szCs w:val="32"/>
        </w:rPr>
        <w:t>——</w:t>
      </w:r>
      <w:r>
        <w:rPr>
          <w:rFonts w:hint="eastAsia" w:ascii="仿宋_GB2312" w:hAnsi="仿宋_GB2312" w:eastAsia="仿宋_GB2312" w:cs="仿宋_GB2312"/>
          <w:b w:val="0"/>
          <w:bCs w:val="0"/>
          <w:sz w:val="32"/>
          <w:szCs w:val="32"/>
        </w:rPr>
        <w:t>民生品质全面跃升。</w:t>
      </w:r>
      <w:r>
        <w:rPr>
          <w:rFonts w:hint="eastAsia" w:ascii="仿宋_GB2312" w:hAnsi="仿宋_GB2312" w:eastAsia="仿宋_GB2312" w:cs="仿宋_GB2312"/>
          <w:sz w:val="32"/>
          <w:szCs w:val="32"/>
        </w:rPr>
        <w:t>群众急难愁盼问题得到更好解决，民生福祉实现“七有”向“七优”加速提质，“五性”需求得到高标准满足，农业农村现代化水平进一步提高，建设发展成果更多更好惠及民生。</w:t>
      </w:r>
    </w:p>
    <w:p>
      <w:pPr>
        <w:spacing w:line="560" w:lineRule="exact"/>
        <w:ind w:firstLine="642" w:firstLineChars="200"/>
        <w:rPr>
          <w:rFonts w:ascii="楷体_GB2312" w:hAnsi="楷体_GB2312" w:eastAsia="楷体_GB2312" w:cs="楷体_GB2312"/>
          <w:sz w:val="32"/>
          <w:szCs w:val="32"/>
        </w:rPr>
      </w:pPr>
      <w:r>
        <w:rPr>
          <w:rFonts w:hint="eastAsia" w:ascii="黑体" w:hAnsi="黑体" w:eastAsia="黑体" w:cs="黑体"/>
          <w:b/>
          <w:bCs/>
          <w:sz w:val="32"/>
          <w:szCs w:val="32"/>
        </w:rPr>
        <w:t>——</w:t>
      </w:r>
      <w:r>
        <w:rPr>
          <w:rFonts w:hint="eastAsia" w:ascii="仿宋_GB2312" w:hAnsi="仿宋_GB2312" w:eastAsia="仿宋_GB2312" w:cs="仿宋_GB2312"/>
          <w:b w:val="0"/>
          <w:bCs w:val="0"/>
          <w:sz w:val="32"/>
          <w:szCs w:val="32"/>
        </w:rPr>
        <w:t>绿色发展率先示范。</w:t>
      </w:r>
      <w:r>
        <w:rPr>
          <w:rFonts w:hint="eastAsia" w:ascii="仿宋_GB2312" w:hAnsi="仿宋_GB2312" w:eastAsia="仿宋_GB2312" w:cs="仿宋_GB2312"/>
          <w:sz w:val="32"/>
          <w:szCs w:val="32"/>
        </w:rPr>
        <w:t>绿色基础不断夯实，空气质量再创更优水平，花园城市形成样板。绿色内涵持续拓展，在建筑、能源、交通、产业等领域形成一批典型经验，绿色经济成为区域发展重要支撑。绿色软实力大幅增强，一批绿色技术、绿色标准率先实施应用。</w:t>
      </w:r>
    </w:p>
    <w:p>
      <w:pPr>
        <w:spacing w:line="560" w:lineRule="exact"/>
        <w:ind w:firstLine="642" w:firstLineChars="200"/>
        <w:jc w:val="left"/>
        <w:rPr>
          <w:rFonts w:ascii="仿宋_GB2312" w:hAnsi="仿宋_GB2312" w:eastAsia="仿宋_GB2312" w:cs="仿宋_GB2312"/>
          <w:sz w:val="32"/>
          <w:szCs w:val="32"/>
        </w:rPr>
      </w:pPr>
      <w:r>
        <w:rPr>
          <w:rFonts w:hint="eastAsia" w:ascii="黑体" w:hAnsi="黑体" w:eastAsia="黑体" w:cs="黑体"/>
          <w:b/>
          <w:bCs/>
          <w:sz w:val="32"/>
          <w:szCs w:val="32"/>
        </w:rPr>
        <w:t>——</w:t>
      </w:r>
      <w:r>
        <w:rPr>
          <w:rFonts w:hint="eastAsia" w:ascii="仿宋_GB2312" w:hAnsi="仿宋_GB2312" w:eastAsia="仿宋_GB2312" w:cs="仿宋_GB2312"/>
          <w:b w:val="0"/>
          <w:bCs w:val="0"/>
          <w:sz w:val="32"/>
          <w:szCs w:val="32"/>
        </w:rPr>
        <w:t>协同发展率先示范。</w:t>
      </w:r>
      <w:r>
        <w:rPr>
          <w:rFonts w:hint="eastAsia" w:ascii="仿宋_GB2312" w:hAnsi="仿宋_GB2312" w:eastAsia="仿宋_GB2312" w:cs="仿宋_GB2312"/>
          <w:sz w:val="32"/>
          <w:szCs w:val="32"/>
        </w:rPr>
        <w:t>与雄安新区实现更加深入的对接合作，中心城区功能和人口疏解重要承载地作用更加突出，服务保障“四个中心”作用更加彰显，与周边地区一体化高质量发展实现更多领域突破，在现代化首都都市圈通勤圈中的区域发展引领作用进一步强化，协同发展效能深度释放。</w:t>
      </w:r>
    </w:p>
    <w:p>
      <w:pPr>
        <w:pStyle w:val="7"/>
        <w:spacing w:line="560" w:lineRule="exact"/>
        <w:ind w:firstLine="760"/>
        <w:rPr>
          <w:rFonts w:ascii="黑体" w:hAnsi="黑体" w:eastAsia="黑体" w:cs="黑体"/>
          <w:sz w:val="32"/>
          <w:szCs w:val="32"/>
        </w:rPr>
      </w:pPr>
    </w:p>
    <w:p>
      <w:pPr>
        <w:spacing w:line="560" w:lineRule="exact"/>
        <w:jc w:val="center"/>
        <w:rPr>
          <w:rFonts w:ascii="黑体" w:hAnsi="黑体" w:eastAsia="黑体" w:cs="黑体"/>
          <w:sz w:val="32"/>
          <w:szCs w:val="32"/>
        </w:rPr>
      </w:pPr>
      <w:r>
        <w:rPr>
          <w:rFonts w:hint="eastAsia" w:ascii="黑体" w:hAnsi="黑体" w:eastAsia="黑体" w:cs="黑体"/>
          <w:sz w:val="32"/>
          <w:szCs w:val="32"/>
        </w:rPr>
        <w:t>2026年重点工作</w:t>
      </w:r>
    </w:p>
    <w:p>
      <w:pPr>
        <w:spacing w:line="560" w:lineRule="exact"/>
        <w:rPr>
          <w:rFonts w:ascii="楷体_GB2312" w:hAnsi="楷体_GB2312" w:eastAsia="楷体_GB2312" w:cs="楷体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2026年是“十五五”开局之年，是北京城市副中心全面发力推进内涵式发展的重要一年，做好政府各项工作意义重大。</w:t>
      </w:r>
    </w:p>
    <w:p>
      <w:pPr>
        <w:pStyle w:val="2"/>
        <w:spacing w:line="560" w:lineRule="exact"/>
        <w:ind w:firstLine="760"/>
        <w:rPr>
          <w:rFonts w:hint="eastAsia" w:ascii="仿宋_GB2312" w:hAnsi="仿宋_GB2312" w:eastAsia="仿宋_GB2312" w:cs="仿宋_GB2312"/>
          <w:b w:val="0"/>
          <w:bCs w:val="0"/>
          <w:sz w:val="32"/>
          <w:szCs w:val="32"/>
        </w:rPr>
      </w:pPr>
      <w:r>
        <w:rPr>
          <w:rFonts w:hint="eastAsia" w:hAnsi="仿宋_GB2312" w:cs="仿宋_GB2312"/>
          <w:sz w:val="32"/>
          <w:szCs w:val="32"/>
        </w:rPr>
        <w:t>今年工作总的要求是</w:t>
      </w:r>
      <w:r>
        <w:rPr>
          <w:rFonts w:hint="eastAsia" w:hAnsi="仿宋_GB2312" w:cs="仿宋_GB2312"/>
          <w:b w:val="0"/>
          <w:bCs w:val="0"/>
          <w:sz w:val="32"/>
          <w:szCs w:val="32"/>
        </w:rPr>
        <w:t>：</w:t>
      </w:r>
      <w:r>
        <w:rPr>
          <w:rFonts w:hint="eastAsia" w:ascii="仿宋_GB2312" w:hAnsi="仿宋_GB2312" w:eastAsia="仿宋_GB2312" w:cs="仿宋_GB2312"/>
          <w:b w:val="0"/>
          <w:bCs w:val="0"/>
          <w:sz w:val="32"/>
          <w:szCs w:val="32"/>
        </w:rPr>
        <w:t>坚持以习近平新时代中国特色社会主义思想为指导，全面贯彻落实党的二十大和二十届历次全会精神，不折不扣落实好中央经济工作会议精神和习近平总书记对北京重要讲话、对城市副中心重要指示批示精神，深入落实市委十三届七次、八次全会精神和中央、市委各项决策部署，牢牢把握“立长远、强功能，全面上台阶”要求，以推动高质量发展为主题，以高质量党建为引领，全面落实国家、市级层面对城市副中心发展提出的“3+4+1”顶层设计体系，以“跑起来、争一流”的精神状态，推动协同发展取得新突破、绿色发展取得新成效，在经济发展、城市建设、社会治理、城乡融合、民生福祉等领域迈出新步伐，高标准实现“十五五”良好开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今年经济社会发展主要预期目标是：地区生产总值增长6%左右，固定资产投资保持千亿级规模，一般公共预算收入增长3%，居民人均可支配收入稳步增长，生态环境质量、能源、水资源等指标达到市级要求。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重点做好以下八方面工作：</w:t>
      </w:r>
    </w:p>
    <w:p>
      <w:pPr>
        <w:pStyle w:val="18"/>
        <w:spacing w:after="0" w:line="560" w:lineRule="exact"/>
        <w:ind w:firstLine="640" w:firstLineChars="200"/>
        <w:rPr>
          <w:rFonts w:ascii="楷体_GB2312" w:eastAsia="楷体_GB2312"/>
          <w:b/>
          <w:sz w:val="32"/>
          <w:szCs w:val="32"/>
        </w:rPr>
      </w:pPr>
      <w:r>
        <w:rPr>
          <w:rFonts w:hint="eastAsia" w:ascii="黑体" w:hAnsi="黑体" w:eastAsia="黑体" w:cs="黑体"/>
          <w:sz w:val="32"/>
          <w:szCs w:val="32"/>
        </w:rPr>
        <w:t>一、坚持以副辅主，高水平推进城市建设</w:t>
      </w:r>
    </w:p>
    <w:p>
      <w:pPr>
        <w:pStyle w:val="18"/>
        <w:spacing w:after="0" w:line="560" w:lineRule="exact"/>
        <w:ind w:firstLine="640" w:firstLineChars="200"/>
        <w:rPr>
          <w:rFonts w:ascii="楷体_GB2312" w:hAnsi="楷体_GB2312" w:eastAsia="楷体_GB2312" w:cs="楷体_GB2312"/>
          <w:sz w:val="32"/>
          <w:szCs w:val="32"/>
        </w:rPr>
      </w:pPr>
      <w:r>
        <w:rPr>
          <w:rFonts w:hint="eastAsia" w:ascii="仿宋_GB2312" w:hAnsi="仿宋_GB2312" w:eastAsia="仿宋_GB2312" w:cs="仿宋_GB2312"/>
          <w:sz w:val="32"/>
          <w:szCs w:val="32"/>
        </w:rPr>
        <w:t>深入践行人民城市理念，</w:t>
      </w:r>
      <w:r>
        <w:rPr>
          <w:rFonts w:hint="eastAsia" w:ascii="仿宋_GB2312" w:hAnsi="仿宋_GB2312" w:eastAsia="仿宋_GB2312" w:cs="仿宋_GB2312"/>
          <w:spacing w:val="-11"/>
          <w:sz w:val="32"/>
          <w:szCs w:val="32"/>
        </w:rPr>
        <w:t>全力打造承接非首都功能疏解的重要承载</w:t>
      </w:r>
      <w:r>
        <w:rPr>
          <w:rFonts w:hint="eastAsia" w:ascii="仿宋_GB2312" w:hAnsi="仿宋_GB2312" w:eastAsia="仿宋_GB2312" w:cs="仿宋_GB2312"/>
          <w:sz w:val="32"/>
          <w:szCs w:val="32"/>
        </w:rPr>
        <w:t>地。</w:t>
      </w:r>
    </w:p>
    <w:p>
      <w:pPr>
        <w:pStyle w:val="18"/>
        <w:spacing w:after="0"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（一）</w:t>
      </w:r>
      <w:r>
        <w:rPr>
          <w:rFonts w:hint="eastAsia" w:ascii="楷体_GB2312" w:hAnsi="楷体_GB2312" w:eastAsia="楷体_GB2312" w:cs="楷体_GB2312"/>
          <w:b w:val="0"/>
          <w:bCs w:val="0"/>
          <w:sz w:val="32"/>
          <w:szCs w:val="32"/>
        </w:rPr>
        <w:t>持续提升城市综合承载力。</w:t>
      </w:r>
      <w:r>
        <w:rPr>
          <w:rFonts w:hint="eastAsia" w:ascii="仿宋_GB2312" w:hAnsi="仿宋_GB2312" w:eastAsia="仿宋_GB2312" w:cs="仿宋_GB2312"/>
          <w:sz w:val="32"/>
          <w:szCs w:val="32"/>
        </w:rPr>
        <w:t>聚焦“</w:t>
      </w:r>
      <w:r>
        <w:rPr>
          <w:rFonts w:ascii="仿宋_GB2312" w:hAnsi="仿宋_GB2312" w:eastAsia="仿宋_GB2312" w:cs="仿宋_GB2312"/>
          <w:sz w:val="32"/>
          <w:szCs w:val="32"/>
        </w:rPr>
        <w:t>3+4+1</w:t>
      </w:r>
      <w:r>
        <w:rPr>
          <w:rFonts w:hint="eastAsia" w:ascii="仿宋_GB2312" w:hAnsi="仿宋_GB2312" w:eastAsia="仿宋_GB2312" w:cs="仿宋_GB2312"/>
          <w:sz w:val="32"/>
          <w:szCs w:val="32"/>
        </w:rPr>
        <w:t>”顶层设计，全面推进各项任务落实落地。扎实开展副中心控规实施五年评估工作。</w:t>
      </w:r>
      <w:r>
        <w:rPr>
          <w:rFonts w:hint="eastAsia" w:ascii="仿宋_GB2312" w:hAnsi="仿宋_GB2312" w:eastAsia="仿宋_GB2312" w:cs="仿宋_GB2312"/>
          <w:b w:val="0"/>
          <w:bCs w:val="0"/>
          <w:sz w:val="32"/>
          <w:szCs w:val="32"/>
        </w:rPr>
        <w:t>全面做好行政办公区服务保障</w:t>
      </w:r>
      <w:bookmarkStart w:id="47" w:name="OLE_LINK82"/>
      <w:bookmarkStart w:id="48" w:name="OLE_LINK81"/>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rPr>
        <w:t>配合建好副中心规划</w:t>
      </w:r>
      <w:bookmarkStart w:id="49" w:name="OLE_LINK19"/>
      <w:bookmarkStart w:id="50" w:name="OLE_LINK20"/>
      <w:r>
        <w:rPr>
          <w:rFonts w:hint="eastAsia" w:ascii="仿宋_GB2312" w:hAnsi="仿宋_GB2312" w:eastAsia="仿宋_GB2312" w:cs="仿宋_GB2312"/>
          <w:sz w:val="32"/>
          <w:szCs w:val="32"/>
        </w:rPr>
        <w:t>建设</w:t>
      </w:r>
      <w:bookmarkEnd w:id="49"/>
      <w:bookmarkEnd w:id="50"/>
      <w:r>
        <w:rPr>
          <w:rFonts w:hint="eastAsia" w:ascii="仿宋_GB2312" w:hAnsi="仿宋_GB2312" w:eastAsia="仿宋_GB2312" w:cs="仿宋_GB2312"/>
          <w:sz w:val="32"/>
          <w:szCs w:val="32"/>
        </w:rPr>
        <w:t>馆。</w:t>
      </w:r>
      <w:r>
        <w:rPr>
          <w:rFonts w:hint="eastAsia" w:ascii="仿宋_GB2312" w:hAnsi="仿宋_GB2312" w:eastAsia="仿宋_GB2312" w:cs="仿宋_GB2312"/>
          <w:b w:val="0"/>
          <w:bCs w:val="0"/>
          <w:sz w:val="32"/>
          <w:szCs w:val="32"/>
        </w:rPr>
        <w:t>提升运河商务区活力，</w:t>
      </w:r>
      <w:bookmarkEnd w:id="47"/>
      <w:bookmarkEnd w:id="48"/>
      <w:bookmarkStart w:id="51" w:name="OLE_LINK85"/>
      <w:bookmarkStart w:id="52" w:name="OLE_LINK86"/>
      <w:r>
        <w:rPr>
          <w:rFonts w:hint="eastAsia" w:ascii="仿宋_GB2312" w:hAnsi="仿宋_GB2312" w:eastAsia="仿宋_GB2312" w:cs="仿宋_GB2312"/>
          <w:sz w:val="32"/>
          <w:szCs w:val="32"/>
        </w:rPr>
        <w:t>新增完工面积25万平方米</w:t>
      </w:r>
      <w:r>
        <w:rPr>
          <w:rFonts w:hint="eastAsia" w:ascii="仿宋_GB2312" w:hAnsi="宋体" w:eastAsia="仿宋_GB2312" w:cs="仿宋_GB2312"/>
          <w:color w:val="000000"/>
          <w:kern w:val="0"/>
          <w:sz w:val="32"/>
          <w:szCs w:val="32"/>
          <w:lang w:bidi="ar"/>
        </w:rPr>
        <w:t>，推动整体形象品质跃升，</w:t>
      </w:r>
      <w:r>
        <w:rPr>
          <w:rFonts w:hint="eastAsia" w:ascii="仿宋_GB2312" w:hAnsi="仿宋_GB2312" w:eastAsia="仿宋_GB2312" w:cs="仿宋_GB2312"/>
          <w:sz w:val="32"/>
          <w:szCs w:val="32"/>
        </w:rPr>
        <w:t>打造24小时活力街区</w:t>
      </w:r>
      <w:r>
        <w:rPr>
          <w:rFonts w:hint="eastAsia" w:ascii="仿宋_GB2312" w:hAnsi="宋体" w:eastAsia="仿宋_GB2312" w:cs="仿宋_GB2312"/>
          <w:color w:val="000000"/>
          <w:kern w:val="0"/>
          <w:sz w:val="32"/>
          <w:szCs w:val="32"/>
          <w:lang w:bidi="ar"/>
        </w:rPr>
        <w:t>。</w:t>
      </w:r>
      <w:r>
        <w:rPr>
          <w:rFonts w:hint="eastAsia" w:ascii="仿宋_GB2312" w:hAnsi="仿宋_GB2312" w:eastAsia="仿宋_GB2312" w:cs="仿宋_GB2312"/>
          <w:b w:val="0"/>
          <w:bCs w:val="0"/>
          <w:sz w:val="32"/>
          <w:szCs w:val="32"/>
        </w:rPr>
        <w:t>加快文化旅游区优质资源集聚，</w:t>
      </w:r>
      <w:r>
        <w:rPr>
          <w:rFonts w:hint="eastAsia" w:ascii="仿宋_GB2312" w:hAnsi="仿宋_GB2312" w:eastAsia="仿宋_GB2312" w:cs="仿宋_GB2312"/>
          <w:sz w:val="32"/>
          <w:szCs w:val="32"/>
        </w:rPr>
        <w:t>加速海昌海洋公园、环球主题公园后续项目建设，实现顶点公园精彩亮相，加快建设世界级旅游目的地。</w:t>
      </w:r>
      <w:r>
        <w:rPr>
          <w:rFonts w:hint="eastAsia" w:ascii="仿宋_GB2312" w:hAnsi="仿宋_GB2312" w:eastAsia="仿宋_GB2312" w:cs="仿宋_GB2312"/>
          <w:b w:val="0"/>
          <w:bCs w:val="0"/>
          <w:sz w:val="32"/>
          <w:szCs w:val="32"/>
        </w:rPr>
        <w:t>完善副中心综合交通枢纽</w:t>
      </w:r>
      <w:bookmarkEnd w:id="51"/>
      <w:bookmarkEnd w:id="52"/>
      <w:r>
        <w:rPr>
          <w:rFonts w:hint="eastAsia" w:ascii="仿宋_GB2312" w:hAnsi="仿宋_GB2312" w:eastAsia="仿宋_GB2312" w:cs="仿宋_GB2312"/>
          <w:b w:val="0"/>
          <w:bCs w:val="0"/>
          <w:sz w:val="32"/>
          <w:szCs w:val="32"/>
        </w:rPr>
        <w:t>功能，</w:t>
      </w:r>
      <w:r>
        <w:rPr>
          <w:rFonts w:hint="eastAsia" w:ascii="仿宋_GB2312" w:hAnsi="仿宋_GB2312" w:eastAsia="仿宋_GB2312" w:cs="仿宋_GB2312"/>
          <w:sz w:val="32"/>
          <w:szCs w:val="32"/>
        </w:rPr>
        <w:t>提升一体化运营管理水平，加快第二批搬迁市属国企总部建设，全力打造新一代站城融合发展典范。</w:t>
      </w:r>
    </w:p>
    <w:p>
      <w:pPr>
        <w:pStyle w:val="18"/>
        <w:spacing w:after="0" w:line="560" w:lineRule="exact"/>
        <w:ind w:firstLine="640" w:firstLineChars="200"/>
        <w:rPr>
          <w:rFonts w:ascii="楷体_GB2312" w:hAnsi="楷体_GB2312" w:eastAsia="楷体_GB2312" w:cs="楷体_GB2312"/>
          <w:b/>
          <w:bCs/>
          <w:sz w:val="32"/>
          <w:szCs w:val="32"/>
        </w:rPr>
      </w:pPr>
      <w:r>
        <w:rPr>
          <w:rFonts w:hint="eastAsia" w:ascii="楷体_GB2312" w:hAnsi="楷体_GB2312" w:eastAsia="楷体_GB2312" w:cs="楷体_GB2312"/>
          <w:b w:val="0"/>
          <w:bCs w:val="0"/>
          <w:sz w:val="32"/>
          <w:szCs w:val="32"/>
          <w:lang w:eastAsia="zh-CN"/>
        </w:rPr>
        <w:t>（二）</w:t>
      </w:r>
      <w:r>
        <w:rPr>
          <w:rFonts w:hint="eastAsia" w:ascii="楷体_GB2312" w:hAnsi="楷体_GB2312" w:eastAsia="楷体_GB2312" w:cs="楷体_GB2312"/>
          <w:b w:val="0"/>
          <w:bCs w:val="0"/>
          <w:sz w:val="32"/>
          <w:szCs w:val="32"/>
        </w:rPr>
        <w:t>保持千亿级投资接续有力。</w:t>
      </w:r>
      <w:r>
        <w:rPr>
          <w:rFonts w:hint="eastAsia" w:ascii="仿宋_GB2312" w:hAnsi="仿宋_GB2312" w:eastAsia="仿宋_GB2312" w:cs="仿宋_GB2312"/>
          <w:b w:val="0"/>
          <w:bCs w:val="0"/>
          <w:sz w:val="32"/>
          <w:szCs w:val="32"/>
        </w:rPr>
        <w:t>强化土地要素支撑，</w:t>
      </w:r>
      <w:r>
        <w:rPr>
          <w:rFonts w:hint="eastAsia" w:ascii="仿宋_GB2312" w:hAnsi="仿宋_GB2312" w:eastAsia="仿宋_GB2312" w:cs="仿宋_GB2312"/>
          <w:sz w:val="32"/>
          <w:szCs w:val="32"/>
        </w:rPr>
        <w:t>统筹安排好供地结构和时序。</w:t>
      </w:r>
      <w:r>
        <w:rPr>
          <w:rFonts w:hint="eastAsia" w:ascii="仿宋_GB2312" w:hAnsi="仿宋_GB2312" w:eastAsia="仿宋_GB2312" w:cs="仿宋_GB2312"/>
          <w:b w:val="0"/>
          <w:bCs w:val="0"/>
          <w:sz w:val="32"/>
          <w:szCs w:val="32"/>
        </w:rPr>
        <w:t>做好资金要素保障，</w:t>
      </w:r>
      <w:r>
        <w:rPr>
          <w:rFonts w:hint="eastAsia" w:ascii="仿宋_GB2312" w:hAnsi="仿宋_GB2312" w:eastAsia="仿宋_GB2312" w:cs="仿宋_GB2312"/>
          <w:sz w:val="32"/>
          <w:szCs w:val="32"/>
        </w:rPr>
        <w:t>主动争取“两重”“两新”政策支持，用足用好超长期特别国债、地方政府专项债等国家增量政策资金和财政资金。鼓励和吸引社会资本参与重点项目建设。</w:t>
      </w:r>
      <w:r>
        <w:rPr>
          <w:rFonts w:hint="eastAsia" w:ascii="仿宋_GB2312" w:hAnsi="仿宋_GB2312" w:eastAsia="仿宋_GB2312" w:cs="仿宋_GB2312"/>
          <w:b w:val="0"/>
          <w:bCs w:val="0"/>
          <w:sz w:val="32"/>
          <w:szCs w:val="32"/>
        </w:rPr>
        <w:t>加强项目谋划储备，</w:t>
      </w:r>
      <w:r>
        <w:rPr>
          <w:rFonts w:hint="eastAsia" w:ascii="仿宋_GB2312" w:hAnsi="仿宋_GB2312" w:eastAsia="仿宋_GB2312" w:cs="仿宋_GB2312"/>
          <w:sz w:val="32"/>
          <w:szCs w:val="32"/>
        </w:rPr>
        <w:t>加大市政交通、公共服务等方面投资力度。推动轨道交通M102线规划建设，加快温潮减河、轨道交通M101线一期等重大工程建设，确保华夏银行总部等重点项目基本完工。</w:t>
      </w:r>
    </w:p>
    <w:p>
      <w:pPr>
        <w:pStyle w:val="18"/>
        <w:spacing w:after="0"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（三）</w:t>
      </w:r>
      <w:r>
        <w:rPr>
          <w:rFonts w:hint="eastAsia" w:ascii="楷体_GB2312" w:hAnsi="楷体_GB2312" w:eastAsia="楷体_GB2312" w:cs="楷体_GB2312"/>
          <w:b w:val="0"/>
          <w:bCs w:val="0"/>
          <w:sz w:val="32"/>
          <w:szCs w:val="32"/>
        </w:rPr>
        <w:t>加快特色小镇建设。</w:t>
      </w:r>
      <w:r>
        <w:rPr>
          <w:rFonts w:hint="eastAsia" w:ascii="仿宋_GB2312" w:hAnsi="仿宋_GB2312" w:eastAsia="仿宋_GB2312" w:cs="仿宋_GB2312"/>
          <w:b w:val="0"/>
          <w:bCs w:val="0"/>
          <w:sz w:val="32"/>
          <w:szCs w:val="32"/>
        </w:rPr>
        <w:t>张家湾设计小镇</w:t>
      </w:r>
      <w:r>
        <w:rPr>
          <w:rFonts w:hint="eastAsia" w:ascii="仿宋_GB2312" w:hAnsi="仿宋_GB2312" w:eastAsia="仿宋_GB2312" w:cs="仿宋_GB2312"/>
          <w:sz w:val="32"/>
          <w:szCs w:val="32"/>
        </w:rPr>
        <w:t>全面实施时尚产业发展行动，推动北咨、北建院总部投用，持续擦亮设计之都新名片。</w:t>
      </w:r>
      <w:r>
        <w:rPr>
          <w:rFonts w:hint="eastAsia" w:ascii="仿宋_GB2312" w:hAnsi="仿宋_GB2312" w:eastAsia="仿宋_GB2312" w:cs="仿宋_GB2312"/>
          <w:b w:val="0"/>
          <w:bCs w:val="0"/>
          <w:sz w:val="32"/>
          <w:szCs w:val="32"/>
        </w:rPr>
        <w:t>台湖演艺小镇</w:t>
      </w:r>
      <w:r>
        <w:rPr>
          <w:rFonts w:hint="eastAsia" w:ascii="仿宋_GB2312" w:hAnsi="仿宋_GB2312" w:eastAsia="仿宋_GB2312" w:cs="仿宋_GB2312"/>
          <w:sz w:val="32"/>
          <w:szCs w:val="32"/>
        </w:rPr>
        <w:t>持续拓展演艺功能，加快存量空间活化利用，培育建设演艺新空间。全力保障北京舞蹈学院通州校区选址落地。</w:t>
      </w:r>
      <w:r>
        <w:rPr>
          <w:rFonts w:hint="eastAsia" w:ascii="仿宋_GB2312" w:hAnsi="仿宋_GB2312" w:eastAsia="仿宋_GB2312" w:cs="仿宋_GB2312"/>
          <w:b w:val="0"/>
          <w:bCs w:val="0"/>
          <w:sz w:val="32"/>
          <w:szCs w:val="32"/>
        </w:rPr>
        <w:t>宋庄艺术创意小镇</w:t>
      </w:r>
      <w:r>
        <w:rPr>
          <w:rFonts w:hint="eastAsia" w:ascii="仿宋_GB2312" w:hAnsi="仿宋_GB2312" w:eastAsia="仿宋_GB2312" w:cs="仿宋_GB2312"/>
          <w:sz w:val="32"/>
          <w:szCs w:val="32"/>
        </w:rPr>
        <w:t>加快建设工艺美术产业集聚区，推动首开印象街建成开放，积极创建国家4A级旅游景区。</w:t>
      </w:r>
    </w:p>
    <w:p>
      <w:pPr>
        <w:pStyle w:val="18"/>
        <w:spacing w:after="0" w:line="560" w:lineRule="exact"/>
        <w:ind w:firstLine="640" w:firstLineChars="200"/>
        <w:rPr>
          <w:rFonts w:ascii="楷体_GB2312" w:hAnsi="楷体_GB2312" w:eastAsia="楷体_GB2312" w:cs="楷体_GB2312"/>
          <w:b/>
          <w:bCs/>
          <w:sz w:val="32"/>
          <w:szCs w:val="32"/>
        </w:rPr>
      </w:pPr>
      <w:r>
        <w:rPr>
          <w:rFonts w:hint="eastAsia" w:ascii="楷体_GB2312" w:hAnsi="楷体_GB2312" w:eastAsia="楷体_GB2312" w:cs="楷体_GB2312"/>
          <w:b w:val="0"/>
          <w:bCs w:val="0"/>
          <w:sz w:val="32"/>
          <w:szCs w:val="32"/>
          <w:lang w:eastAsia="zh-CN"/>
        </w:rPr>
        <w:t>（四）</w:t>
      </w:r>
      <w:r>
        <w:rPr>
          <w:rFonts w:hint="eastAsia" w:ascii="楷体_GB2312" w:hAnsi="楷体_GB2312" w:eastAsia="楷体_GB2312" w:cs="楷体_GB2312"/>
          <w:b w:val="0"/>
          <w:bCs w:val="0"/>
          <w:sz w:val="32"/>
          <w:szCs w:val="32"/>
        </w:rPr>
        <w:t>扎实推进乡村全面振兴。</w:t>
      </w:r>
      <w:r>
        <w:rPr>
          <w:rFonts w:hint="eastAsia" w:ascii="仿宋_GB2312" w:hAnsi="仿宋_GB2312" w:eastAsia="仿宋_GB2312" w:cs="仿宋_GB2312"/>
          <w:b w:val="0"/>
          <w:bCs w:val="0"/>
          <w:sz w:val="32"/>
          <w:szCs w:val="32"/>
        </w:rPr>
        <w:t>压茬实施“百千工程”，</w:t>
      </w:r>
      <w:r>
        <w:rPr>
          <w:rFonts w:hint="eastAsia" w:ascii="仿宋_GB2312" w:hAnsi="仿宋_GB2312" w:eastAsia="仿宋_GB2312" w:cs="仿宋_GB2312"/>
          <w:sz w:val="32"/>
          <w:szCs w:val="32"/>
        </w:rPr>
        <w:t>完成西集“樱游运河”示范片区创建，启动宋庄“艺术创意田园”示范片区建设。</w:t>
      </w:r>
      <w:r>
        <w:rPr>
          <w:rFonts w:hint="eastAsia" w:ascii="仿宋_GB2312" w:hAnsi="仿宋_GB2312" w:eastAsia="仿宋_GB2312" w:cs="仿宋_GB2312"/>
          <w:b w:val="0"/>
          <w:bCs w:val="0"/>
          <w:sz w:val="32"/>
          <w:szCs w:val="32"/>
        </w:rPr>
        <w:t>扎实开展和美乡村建设，</w:t>
      </w:r>
      <w:r>
        <w:rPr>
          <w:rFonts w:hint="eastAsia" w:ascii="仿宋_GB2312" w:hAnsi="仿宋_GB2312" w:eastAsia="仿宋_GB2312" w:cs="仿宋_GB2312"/>
          <w:sz w:val="32"/>
          <w:szCs w:val="32"/>
        </w:rPr>
        <w:t>有序实施南部乡镇基础设施和公共服务设施建设任务，持续提升乡村公路网规划实现率。新增、更换4000台“煤改气”取暖设备。</w:t>
      </w:r>
      <w:r>
        <w:rPr>
          <w:rFonts w:hint="eastAsia" w:ascii="仿宋_GB2312" w:hAnsi="仿宋_GB2312" w:eastAsia="仿宋_GB2312" w:cs="仿宋_GB2312"/>
          <w:b w:val="0"/>
          <w:bCs w:val="0"/>
          <w:sz w:val="32"/>
          <w:szCs w:val="32"/>
        </w:rPr>
        <w:t>加快建设现代农业试验区，</w:t>
      </w:r>
      <w:r>
        <w:rPr>
          <w:rFonts w:hint="eastAsia" w:ascii="仿宋_GB2312" w:hAnsi="仿宋_GB2312" w:eastAsia="仿宋_GB2312" w:cs="仿宋_GB2312"/>
          <w:sz w:val="32"/>
          <w:szCs w:val="32"/>
        </w:rPr>
        <w:t>推动耕地集中成片和适度规模经营，推进高标准农田扩面提质。大力实施一批乡村振兴产业发展项目，持续促进农民增收。潞城镇持续夯实都市工业发展基础，马驹桥镇大力发展智慧物流、智能制造，西集镇做强网络安全产业优势，</w:t>
      </w:r>
      <w:r>
        <w:rPr>
          <w:rFonts w:hint="eastAsia" w:ascii="宋体" w:hAnsi="宋体" w:cs="宋体"/>
          <w:sz w:val="32"/>
          <w:szCs w:val="32"/>
        </w:rPr>
        <w:t>漷</w:t>
      </w:r>
      <w:r>
        <w:rPr>
          <w:rFonts w:hint="eastAsia" w:ascii="仿宋_GB2312" w:hAnsi="仿宋_GB2312" w:eastAsia="仿宋_GB2312" w:cs="仿宋_GB2312"/>
          <w:sz w:val="32"/>
          <w:szCs w:val="32"/>
        </w:rPr>
        <w:t>县镇加力发展医学转化产业集群，于家务乡加快打造现代种业创新示范区，永乐店新市镇积极发展循环经济。</w:t>
      </w:r>
    </w:p>
    <w:p>
      <w:pPr>
        <w:pStyle w:val="18"/>
        <w:spacing w:after="0"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（五）</w:t>
      </w:r>
      <w:r>
        <w:rPr>
          <w:rFonts w:hint="eastAsia" w:ascii="楷体_GB2312" w:hAnsi="楷体_GB2312" w:eastAsia="楷体_GB2312" w:cs="楷体_GB2312"/>
          <w:b w:val="0"/>
          <w:bCs w:val="0"/>
          <w:sz w:val="32"/>
          <w:szCs w:val="32"/>
        </w:rPr>
        <w:t>深化与周边区域协同发展。</w:t>
      </w:r>
      <w:r>
        <w:rPr>
          <w:rFonts w:hint="eastAsia" w:ascii="仿宋_GB2312" w:hAnsi="仿宋_GB2312" w:eastAsia="仿宋_GB2312" w:cs="仿宋_GB2312"/>
          <w:sz w:val="32"/>
          <w:szCs w:val="32"/>
        </w:rPr>
        <w:t>全面落实现代化首都都市圈空间协同规划。</w:t>
      </w:r>
      <w:r>
        <w:rPr>
          <w:rFonts w:hint="eastAsia" w:ascii="仿宋_GB2312" w:hAnsi="仿宋_GB2312" w:eastAsia="仿宋_GB2312" w:cs="仿宋_GB2312"/>
          <w:b w:val="0"/>
          <w:bCs w:val="0"/>
          <w:sz w:val="32"/>
          <w:szCs w:val="32"/>
        </w:rPr>
        <w:t>强化与雄安新区“两翼”联动，</w:t>
      </w:r>
      <w:r>
        <w:rPr>
          <w:rFonts w:hint="eastAsia" w:ascii="仿宋_GB2312" w:hAnsi="仿宋_GB2312" w:eastAsia="仿宋_GB2312" w:cs="仿宋_GB2312"/>
          <w:sz w:val="32"/>
          <w:szCs w:val="32"/>
        </w:rPr>
        <w:t>在绿色发展、项目推进等领域开展更多合作交流，协同推进、错位承接非首都功能疏解。</w:t>
      </w:r>
      <w:r>
        <w:rPr>
          <w:rFonts w:hint="eastAsia" w:ascii="仿宋_GB2312" w:hAnsi="仿宋_GB2312" w:eastAsia="仿宋_GB2312" w:cs="仿宋_GB2312"/>
          <w:b w:val="0"/>
          <w:bCs w:val="0"/>
          <w:sz w:val="32"/>
          <w:szCs w:val="32"/>
        </w:rPr>
        <w:t>加快与北三县一体化高质量发展，</w:t>
      </w:r>
      <w:r>
        <w:rPr>
          <w:rFonts w:hint="eastAsia" w:ascii="仿宋_GB2312" w:hAnsi="仿宋_GB2312" w:eastAsia="仿宋_GB2312" w:cs="仿宋_GB2312"/>
          <w:sz w:val="32"/>
          <w:szCs w:val="32"/>
        </w:rPr>
        <w:t>推动轨道交通22号线通州段基本具备开通条件。力促国道230（张凤路-</w:t>
      </w:r>
      <w:r>
        <w:rPr>
          <w:rFonts w:hint="eastAsia" w:ascii="仿宋" w:hAnsi="仿宋" w:eastAsia="仿宋" w:cs="仿宋_GB2312"/>
          <w:sz w:val="32"/>
          <w:szCs w:val="32"/>
        </w:rPr>
        <w:t>漷</w:t>
      </w:r>
      <w:r>
        <w:rPr>
          <w:rFonts w:hint="eastAsia" w:ascii="仿宋_GB2312" w:hAnsi="仿宋_GB2312" w:eastAsia="仿宋_GB2312" w:cs="仿宋_GB2312"/>
          <w:sz w:val="32"/>
          <w:szCs w:val="32"/>
        </w:rPr>
        <w:t>小路）工程开工，加快京秦高速西延、姚家园路东延一期等项目建设，开展应寺、永乐进京检查站优化提升，提高区域通行效率。系统推进产业图谱落地转化，开展一体化联合招商。加强重点园区协同对接，推动通武廊交界重点区域产业创新发展。完成潮白河国家森林公园先行启动区（森林课堂片区）建设。加强生态环境区域联动执法、基础数据共享。拓展教育、医疗、文体等领域合作。</w:t>
      </w:r>
      <w:r>
        <w:rPr>
          <w:rFonts w:hint="eastAsia" w:ascii="仿宋_GB2312" w:hAnsi="仿宋_GB2312" w:eastAsia="仿宋_GB2312" w:cs="仿宋_GB2312"/>
          <w:b w:val="0"/>
          <w:bCs w:val="0"/>
          <w:sz w:val="32"/>
          <w:szCs w:val="32"/>
        </w:rPr>
        <w:t>强化通亦协同，</w:t>
      </w:r>
      <w:r>
        <w:rPr>
          <w:rFonts w:hint="eastAsia" w:ascii="仿宋_GB2312" w:hAnsi="仿宋_GB2312" w:eastAsia="仿宋_GB2312" w:cs="仿宋_GB2312"/>
          <w:sz w:val="32"/>
          <w:szCs w:val="32"/>
        </w:rPr>
        <w:t>持续提升基础设施和公共服务配套水平，为重大项目落地提供有力保障。探索建立跨区域产业协同机制，推动项目共建、企业共育。</w:t>
      </w:r>
      <w:r>
        <w:rPr>
          <w:rFonts w:hint="eastAsia" w:ascii="仿宋_GB2312" w:hAnsi="仿宋_GB2312" w:eastAsia="仿宋_GB2312" w:cs="仿宋_GB2312"/>
          <w:b w:val="0"/>
          <w:bCs w:val="0"/>
          <w:sz w:val="32"/>
          <w:szCs w:val="32"/>
        </w:rPr>
        <w:t>深化四区结对，</w:t>
      </w:r>
      <w:r>
        <w:rPr>
          <w:rFonts w:hint="eastAsia" w:ascii="仿宋_GB2312" w:hAnsi="仿宋_GB2312" w:eastAsia="仿宋_GB2312" w:cs="仿宋_GB2312"/>
          <w:sz w:val="32"/>
          <w:szCs w:val="32"/>
        </w:rPr>
        <w:t>进一步拓展协作领域。加强对口支援，做好结对帮扶工作。</w:t>
      </w:r>
    </w:p>
    <w:p>
      <w:pPr>
        <w:pStyle w:val="4"/>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二、坚持以新赋能，高质量推进经济发展</w:t>
      </w:r>
    </w:p>
    <w:p>
      <w:pPr>
        <w:pStyle w:val="18"/>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全面提升产业能级、做优创新生态，加快构建现代化产业体系。</w:t>
      </w:r>
    </w:p>
    <w:p>
      <w:pPr>
        <w:pStyle w:val="18"/>
        <w:spacing w:after="0"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（一）</w:t>
      </w:r>
      <w:r>
        <w:rPr>
          <w:rFonts w:hint="eastAsia" w:ascii="楷体_GB2312" w:hAnsi="楷体_GB2312" w:eastAsia="楷体_GB2312" w:cs="楷体_GB2312"/>
          <w:b w:val="0"/>
          <w:bCs w:val="0"/>
          <w:sz w:val="32"/>
          <w:szCs w:val="32"/>
        </w:rPr>
        <w:t>大力发展新质生产力。</w:t>
      </w:r>
      <w:r>
        <w:rPr>
          <w:rFonts w:hint="eastAsia" w:ascii="仿宋_GB2312" w:hAnsi="仿宋_GB2312" w:eastAsia="仿宋_GB2312" w:cs="仿宋_GB2312"/>
          <w:b w:val="0"/>
          <w:bCs w:val="0"/>
          <w:sz w:val="32"/>
          <w:szCs w:val="32"/>
        </w:rPr>
        <w:t>促进科技创新与产业创新融合，</w:t>
      </w:r>
      <w:r>
        <w:rPr>
          <w:rFonts w:hint="eastAsia" w:ascii="仿宋_GB2312" w:hAnsi="仿宋_GB2312" w:eastAsia="仿宋_GB2312" w:cs="仿宋_GB2312"/>
          <w:sz w:val="32"/>
          <w:szCs w:val="32"/>
        </w:rPr>
        <w:t>争取国家实验室、全国重点实验室等设立分支机构。推动“三城一区”科技成果落地转化15项以上。发挥中国人民大学、北京服装学院通州校区、西北工业大学北京研究院、中国信息通信研究院等高校院所资源优势，打造产学研协同创新平台，促进数据模型、时尚科技、商业航天与卫星网络、新一代信息技术等领域快速发展。积极推进北大人民医院、安贞医院等医产协同项目建设。</w:t>
      </w:r>
      <w:r>
        <w:rPr>
          <w:rFonts w:hint="eastAsia" w:ascii="仿宋_GB2312" w:hAnsi="仿宋_GB2312" w:eastAsia="仿宋_GB2312" w:cs="仿宋_GB2312"/>
          <w:b w:val="0"/>
          <w:bCs w:val="0"/>
          <w:sz w:val="32"/>
          <w:szCs w:val="32"/>
        </w:rPr>
        <w:t>抢抓“人工智能+”发展机遇，</w:t>
      </w:r>
      <w:r>
        <w:rPr>
          <w:rFonts w:hint="eastAsia" w:ascii="仿宋_GB2312" w:hAnsi="仿宋_GB2312" w:eastAsia="仿宋_GB2312" w:cs="仿宋_GB2312"/>
          <w:sz w:val="32"/>
          <w:szCs w:val="32"/>
        </w:rPr>
        <w:t>大力推动人工智能与金融、文旅、医药健康、政务服务、教育、医疗、治理等经济社会各行业各领域深度融合。</w:t>
      </w:r>
    </w:p>
    <w:p>
      <w:pPr>
        <w:pStyle w:val="18"/>
        <w:spacing w:after="0"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（二）</w:t>
      </w:r>
      <w:r>
        <w:rPr>
          <w:rFonts w:hint="eastAsia" w:ascii="楷体_GB2312" w:hAnsi="楷体_GB2312" w:eastAsia="楷体_GB2312" w:cs="楷体_GB2312"/>
          <w:b w:val="0"/>
          <w:bCs w:val="0"/>
          <w:sz w:val="32"/>
          <w:szCs w:val="32"/>
        </w:rPr>
        <w:t>培育壮大重点产业。</w:t>
      </w:r>
      <w:r>
        <w:rPr>
          <w:rFonts w:hint="eastAsia" w:ascii="仿宋_GB2312" w:hAnsi="仿宋_GB2312" w:eastAsia="仿宋_GB2312" w:cs="仿宋_GB2312"/>
          <w:b w:val="0"/>
          <w:bCs w:val="0"/>
          <w:sz w:val="32"/>
          <w:szCs w:val="32"/>
        </w:rPr>
        <w:t>打造先进制造业集群</w:t>
      </w:r>
      <w:r>
        <w:rPr>
          <w:rFonts w:hint="eastAsia" w:ascii="仿宋_GB2312" w:hAnsi="仿宋_GB2312" w:eastAsia="仿宋_GB2312" w:cs="仿宋_GB2312"/>
          <w:sz w:val="32"/>
          <w:szCs w:val="32"/>
        </w:rPr>
        <w:t>，大力发展新能源智能网联汽车、生物医药、集成电路、高端医疗器械、具身智能等产业，推动制造业智能化、绿色化、融合化发展。</w:t>
      </w:r>
      <w:r>
        <w:rPr>
          <w:rFonts w:hint="eastAsia" w:ascii="仿宋_GB2312" w:hAnsi="仿宋_GB2312" w:eastAsia="仿宋_GB2312" w:cs="仿宋_GB2312"/>
          <w:b w:val="0"/>
          <w:bCs w:val="0"/>
          <w:sz w:val="32"/>
          <w:szCs w:val="32"/>
        </w:rPr>
        <w:t>加强现代金融支撑作用，</w:t>
      </w:r>
      <w:r>
        <w:rPr>
          <w:rFonts w:hint="eastAsia" w:ascii="仿宋_GB2312" w:hAnsi="仿宋_GB2312" w:eastAsia="仿宋_GB2312" w:cs="仿宋_GB2312"/>
          <w:sz w:val="32"/>
          <w:szCs w:val="32"/>
        </w:rPr>
        <w:t>研究建立市区两级产业引导基金合作机制。持续加强银行、保险、基金等机构有效金融服务供给，更好支持实体经济发展。</w:t>
      </w:r>
      <w:r>
        <w:rPr>
          <w:rFonts w:hint="eastAsia" w:ascii="仿宋_GB2312" w:hAnsi="仿宋_GB2312" w:eastAsia="仿宋_GB2312" w:cs="仿宋_GB2312"/>
          <w:b w:val="0"/>
          <w:bCs w:val="0"/>
          <w:sz w:val="32"/>
          <w:szCs w:val="32"/>
        </w:rPr>
        <w:t>推动数字经济产业规模化发展，</w:t>
      </w:r>
      <w:r>
        <w:rPr>
          <w:rFonts w:hint="eastAsia" w:ascii="仿宋_GB2312" w:hAnsi="仿宋_GB2312" w:eastAsia="仿宋_GB2312" w:cs="仿宋_GB2312"/>
          <w:sz w:val="32"/>
          <w:szCs w:val="32"/>
        </w:rPr>
        <w:t>加快建设北京数据基础制度先行区，支持重点企业通用大模型与行业垂直模型开发。</w:t>
      </w:r>
      <w:r>
        <w:rPr>
          <w:rFonts w:ascii="仿宋_GB2312" w:hAnsi="仿宋_GB2312" w:eastAsia="仿宋_GB2312" w:cs="仿宋_GB2312"/>
          <w:sz w:val="32"/>
          <w:szCs w:val="32"/>
        </w:rPr>
        <w:t>扩大</w:t>
      </w:r>
      <w:r>
        <w:rPr>
          <w:rFonts w:hint="eastAsia" w:ascii="仿宋_GB2312" w:hAnsi="仿宋_GB2312" w:eastAsia="仿宋_GB2312" w:cs="仿宋_GB2312"/>
          <w:sz w:val="32"/>
          <w:szCs w:val="32"/>
        </w:rPr>
        <w:t>数智北京创新中心资源优势，推动智慧城市和公共数据深度融合，打造数据创新、技术创新和场景创新试验场。大力发展网络视听产业，做强紫光VID网络视听产业园。</w:t>
      </w:r>
      <w:r>
        <w:rPr>
          <w:rFonts w:hint="eastAsia" w:ascii="仿宋_GB2312" w:hAnsi="仿宋_GB2312" w:eastAsia="仿宋_GB2312" w:cs="仿宋_GB2312"/>
          <w:b w:val="0"/>
          <w:bCs w:val="0"/>
          <w:sz w:val="32"/>
          <w:szCs w:val="32"/>
        </w:rPr>
        <w:t>强化中关村科技园区通州园各片区协同联动，</w:t>
      </w:r>
      <w:r>
        <w:rPr>
          <w:rFonts w:hint="eastAsia" w:ascii="仿宋_GB2312" w:hAnsi="仿宋_GB2312" w:eastAsia="仿宋_GB2312" w:cs="仿宋_GB2312"/>
          <w:sz w:val="32"/>
          <w:szCs w:val="32"/>
        </w:rPr>
        <w:t>积极谋划国高新、市高新片区产业布局，加快重点片区建设，系统推进产业项目落地、生态优化、特色培育、配套设施建设、体制机制改革等，全力打造副中心产业发展新高地。</w:t>
      </w:r>
    </w:p>
    <w:p>
      <w:pPr>
        <w:pStyle w:val="18"/>
        <w:spacing w:after="0" w:line="560" w:lineRule="exact"/>
        <w:ind w:firstLine="640" w:firstLineChars="200"/>
        <w:rPr>
          <w:rFonts w:ascii="仿宋_GB2312" w:hAnsi="仿宋_GB2312" w:eastAsia="仿宋_GB2312" w:cs="仿宋_GB2312"/>
          <w:b/>
          <w:bCs/>
          <w:sz w:val="32"/>
          <w:szCs w:val="32"/>
        </w:rPr>
      </w:pPr>
      <w:r>
        <w:rPr>
          <w:rFonts w:hint="eastAsia" w:ascii="楷体_GB2312" w:hAnsi="楷体_GB2312" w:eastAsia="楷体_GB2312" w:cs="楷体_GB2312"/>
          <w:b w:val="0"/>
          <w:bCs w:val="0"/>
          <w:sz w:val="32"/>
          <w:szCs w:val="32"/>
          <w:lang w:eastAsia="zh-CN"/>
        </w:rPr>
        <w:t>（三）</w:t>
      </w:r>
      <w:r>
        <w:rPr>
          <w:rFonts w:hint="eastAsia" w:ascii="楷体_GB2312" w:hAnsi="楷体_GB2312" w:eastAsia="楷体_GB2312" w:cs="楷体_GB2312"/>
          <w:b w:val="0"/>
          <w:bCs w:val="0"/>
          <w:sz w:val="32"/>
          <w:szCs w:val="32"/>
        </w:rPr>
        <w:t>持续优化产业发展环境。</w:t>
      </w:r>
      <w:r>
        <w:rPr>
          <w:rFonts w:hint="eastAsia" w:ascii="仿宋_GB2312" w:hAnsi="仿宋_GB2312" w:eastAsia="仿宋_GB2312" w:cs="仿宋_GB2312"/>
          <w:b w:val="0"/>
          <w:bCs w:val="0"/>
          <w:sz w:val="32"/>
          <w:szCs w:val="32"/>
        </w:rPr>
        <w:t>积极开展全员、全域、全链条招商，</w:t>
      </w:r>
      <w:r>
        <w:rPr>
          <w:rFonts w:hint="eastAsia" w:ascii="仿宋_GB2312" w:hAnsi="仿宋_GB2312" w:eastAsia="仿宋_GB2312" w:cs="仿宋_GB2312"/>
          <w:sz w:val="32"/>
          <w:szCs w:val="32"/>
        </w:rPr>
        <w:t>发挥平台运营公司、商协会等机构作用，凝聚招商合力、形成招商实效。发布先进制造、数智转型、智慧医疗等领域场景清单，吸引更多链主企业、上下游优质项目落地发展。</w:t>
      </w:r>
      <w:r>
        <w:rPr>
          <w:rFonts w:hint="eastAsia" w:ascii="仿宋_GB2312" w:hAnsi="仿宋_GB2312" w:eastAsia="仿宋_GB2312" w:cs="仿宋_GB2312"/>
          <w:b w:val="0"/>
          <w:bCs w:val="0"/>
          <w:sz w:val="32"/>
          <w:szCs w:val="32"/>
        </w:rPr>
        <w:t>提升助企服务质效，</w:t>
      </w:r>
      <w:r>
        <w:rPr>
          <w:rFonts w:hint="eastAsia" w:ascii="仿宋_GB2312" w:hAnsi="仿宋_GB2312" w:eastAsia="仿宋_GB2312" w:cs="仿宋_GB2312"/>
          <w:sz w:val="32"/>
          <w:szCs w:val="32"/>
        </w:rPr>
        <w:t>加强企业全生命周期服务。发挥经济、财源建设专班作用，完善“服务包”、小微企业融资协调等机制，扩大惠企政策“免申即享”覆盖面，提升企业诉求解决质效。深入落实“扫码检查”“非现场监管”“无事不扰”改革措施。推出一批惠民利企的通办服务场景，强化技术赋能，推动“一网通办”向“一网好办”迭代升级。推进高层次人才队伍建设，做好“运河英才”评选认定。</w:t>
      </w:r>
      <w:r>
        <w:rPr>
          <w:rFonts w:hint="eastAsia" w:ascii="仿宋_GB2312" w:hAnsi="仿宋_GB2312" w:eastAsia="仿宋_GB2312" w:cs="仿宋_GB2312"/>
          <w:b w:val="0"/>
          <w:bCs w:val="0"/>
          <w:sz w:val="32"/>
          <w:szCs w:val="32"/>
        </w:rPr>
        <w:t>维护市场公平竞争秩序，</w:t>
      </w:r>
      <w:r>
        <w:rPr>
          <w:rFonts w:hint="eastAsia" w:ascii="仿宋_GB2312" w:hAnsi="仿宋_GB2312" w:eastAsia="仿宋_GB2312" w:cs="仿宋_GB2312"/>
          <w:sz w:val="32"/>
          <w:szCs w:val="32"/>
        </w:rPr>
        <w:t>大力促进民营经济发展，加强知识产权、商业秘密保护，打造国际一流的营商环境。</w:t>
      </w:r>
    </w:p>
    <w:p>
      <w:pPr>
        <w:pStyle w:val="18"/>
        <w:spacing w:after="0" w:line="560" w:lineRule="exact"/>
        <w:ind w:firstLine="640" w:firstLineChars="200"/>
        <w:rPr>
          <w:rFonts w:ascii="黑体" w:hAnsi="黑体" w:eastAsia="黑体" w:cs="黑体"/>
          <w:sz w:val="32"/>
          <w:szCs w:val="32"/>
        </w:rPr>
      </w:pPr>
      <w:r>
        <w:rPr>
          <w:rFonts w:hint="eastAsia" w:ascii="黑体" w:hAnsi="黑体" w:eastAsia="黑体" w:cs="黑体"/>
          <w:sz w:val="32"/>
          <w:szCs w:val="32"/>
        </w:rPr>
        <w:t>三、坚持以文塑旅，高品质推进文商旅体展融合</w:t>
      </w:r>
    </w:p>
    <w:p>
      <w:pPr>
        <w:pStyle w:val="18"/>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发挥大运河文化资源优势，持续提升内需活力，助力北京国际消费中心城市建设。</w:t>
      </w:r>
    </w:p>
    <w:p>
      <w:pPr>
        <w:pStyle w:val="18"/>
        <w:spacing w:after="0"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（一）</w:t>
      </w:r>
      <w:r>
        <w:rPr>
          <w:rFonts w:hint="eastAsia" w:ascii="楷体_GB2312" w:hAnsi="楷体_GB2312" w:eastAsia="楷体_GB2312" w:cs="楷体_GB2312"/>
          <w:b w:val="0"/>
          <w:bCs w:val="0"/>
          <w:sz w:val="32"/>
          <w:szCs w:val="32"/>
        </w:rPr>
        <w:t>做优做活水文章。</w:t>
      </w:r>
      <w:r>
        <w:rPr>
          <w:rFonts w:hint="eastAsia" w:ascii="仿宋_GB2312" w:hAnsi="仿宋_GB2312" w:eastAsia="仿宋_GB2312" w:cs="仿宋_GB2312"/>
          <w:sz w:val="32"/>
          <w:szCs w:val="32"/>
        </w:rPr>
        <w:t>加快打造城市活力片区，优化大运河城市段环境。</w:t>
      </w:r>
      <w:r>
        <w:rPr>
          <w:rFonts w:hint="eastAsia" w:ascii="仿宋_GB2312" w:hAnsi="仿宋_GB2312" w:eastAsia="仿宋_GB2312" w:cs="仿宋_GB2312"/>
          <w:b w:val="0"/>
          <w:bCs w:val="0"/>
          <w:sz w:val="32"/>
          <w:szCs w:val="32"/>
        </w:rPr>
        <w:t>实施大运河水岸空间提升工程，</w:t>
      </w:r>
      <w:r>
        <w:rPr>
          <w:rFonts w:hint="eastAsia" w:ascii="仿宋_GB2312" w:hAnsi="仿宋_GB2312" w:eastAsia="仿宋_GB2312" w:cs="仿宋_GB2312"/>
          <w:sz w:val="32"/>
          <w:szCs w:val="32"/>
        </w:rPr>
        <w:t>活化利用运河沿岸建筑制高点，塑造大运河怡人滨水空间。力促北运河-通惠河通航。高标准运营运河西岸滨水空间。优化城市绿心片区和三大文化设施区域功能品质，推进北京艺术博物馆建设。</w:t>
      </w:r>
      <w:r>
        <w:rPr>
          <w:rFonts w:hint="eastAsia" w:ascii="仿宋_GB2312" w:hAnsi="仿宋_GB2312" w:eastAsia="仿宋_GB2312" w:cs="仿宋_GB2312"/>
          <w:b w:val="0"/>
          <w:bCs w:val="0"/>
          <w:sz w:val="32"/>
          <w:szCs w:val="32"/>
        </w:rPr>
        <w:t>拓展“游船+”多元场景，</w:t>
      </w:r>
      <w:r>
        <w:rPr>
          <w:rFonts w:hint="eastAsia" w:ascii="仿宋_GB2312" w:hAnsi="仿宋_GB2312" w:eastAsia="仿宋_GB2312" w:cs="仿宋_GB2312"/>
          <w:sz w:val="32"/>
          <w:szCs w:val="32"/>
        </w:rPr>
        <w:t>推出大运河“运上行”水景演艺项目，常态化开展大运河文化旅游景区灯光秀，打造特色游船旅游体验。</w:t>
      </w:r>
    </w:p>
    <w:p>
      <w:pPr>
        <w:pStyle w:val="18"/>
        <w:spacing w:after="0"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（二）</w:t>
      </w:r>
      <w:r>
        <w:rPr>
          <w:rFonts w:hint="eastAsia" w:ascii="楷体_GB2312" w:hAnsi="楷体_GB2312" w:eastAsia="楷体_GB2312" w:cs="楷体_GB2312"/>
          <w:b w:val="0"/>
          <w:bCs w:val="0"/>
          <w:sz w:val="32"/>
          <w:szCs w:val="32"/>
        </w:rPr>
        <w:t>积极打造文体活动品牌。</w:t>
      </w:r>
      <w:r>
        <w:rPr>
          <w:rFonts w:hint="eastAsia" w:ascii="仿宋_GB2312" w:hAnsi="仿宋_GB2312" w:eastAsia="仿宋_GB2312" w:cs="仿宋_GB2312"/>
          <w:b w:val="0"/>
          <w:bCs w:val="0"/>
          <w:sz w:val="32"/>
          <w:szCs w:val="32"/>
        </w:rPr>
        <w:t>大力发展赛事经济，</w:t>
      </w:r>
      <w:r>
        <w:rPr>
          <w:rFonts w:hint="eastAsia" w:ascii="仿宋_GB2312" w:hAnsi="仿宋_GB2312" w:eastAsia="仿宋_GB2312" w:cs="仿宋_GB2312"/>
          <w:sz w:val="32"/>
          <w:szCs w:val="32"/>
        </w:rPr>
        <w:t>完善水上运动设施体系，力争更多国家级水上赛事落地，办好马拉松、龙舟赛、帆船赛、篮球赛等品牌体育赛事活动。</w:t>
      </w:r>
      <w:r>
        <w:rPr>
          <w:rFonts w:hint="eastAsia" w:ascii="仿宋_GB2312" w:hAnsi="仿宋_GB2312" w:eastAsia="仿宋_GB2312" w:cs="仿宋_GB2312"/>
          <w:b w:val="0"/>
          <w:bCs w:val="0"/>
          <w:sz w:val="32"/>
          <w:szCs w:val="32"/>
        </w:rPr>
        <w:t>推动大运河文化保护传承利用，</w:t>
      </w:r>
      <w:r>
        <w:rPr>
          <w:rFonts w:hint="eastAsia" w:ascii="仿宋_GB2312" w:hAnsi="仿宋_GB2312" w:eastAsia="仿宋_GB2312" w:cs="仿宋_GB2312"/>
          <w:sz w:val="32"/>
          <w:szCs w:val="32"/>
        </w:rPr>
        <w:t>进一步加强文物保护工作。提升“运河有戏”等演艺品牌影响力，组织开展戏剧节、“遇见·运河”城市探访等特色活动，举办首都市民系列文化活动1300场以上，力促大运河音乐节焕新亮相。</w:t>
      </w:r>
    </w:p>
    <w:p>
      <w:pPr>
        <w:pStyle w:val="18"/>
        <w:spacing w:after="0"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（三）</w:t>
      </w:r>
      <w:r>
        <w:rPr>
          <w:rFonts w:hint="eastAsia" w:ascii="楷体_GB2312" w:hAnsi="楷体_GB2312" w:eastAsia="楷体_GB2312" w:cs="楷体_GB2312"/>
          <w:b w:val="0"/>
          <w:bCs w:val="0"/>
          <w:sz w:val="32"/>
          <w:szCs w:val="32"/>
        </w:rPr>
        <w:t>深入挖潜消费热点。</w:t>
      </w:r>
      <w:r>
        <w:rPr>
          <w:rFonts w:hint="eastAsia" w:ascii="仿宋_GB2312" w:hAnsi="仿宋_GB2312" w:eastAsia="仿宋_GB2312" w:cs="仿宋_GB2312"/>
          <w:sz w:val="32"/>
          <w:szCs w:val="32"/>
        </w:rPr>
        <w:t>高水平运营“湾里”商业娱乐综合体，打造区域消费新增长极。推进传统商圈更新改造，品牌化特色化运营“运河大集”，提升一刻钟便民生活圈服务品质。加力发展特色民宿、乡村旅游。推出精品旅游线路，高水平建设“环球影城×大运河”国际消费体验区。大力发展首发经济、票根经济、银发经济、夜间经济，进一步延长消费链、激发新潜能。</w:t>
      </w:r>
    </w:p>
    <w:p>
      <w:pPr>
        <w:pStyle w:val="18"/>
        <w:spacing w:after="0" w:line="560" w:lineRule="exact"/>
        <w:ind w:firstLine="640" w:firstLineChars="200"/>
        <w:rPr>
          <w:rFonts w:ascii="楷体_GB2312" w:hAnsi="楷体_GB2312" w:eastAsia="楷体_GB2312" w:cs="楷体_GB2312"/>
          <w:sz w:val="32"/>
          <w:szCs w:val="32"/>
        </w:rPr>
      </w:pPr>
      <w:r>
        <w:rPr>
          <w:rFonts w:hint="eastAsia" w:ascii="黑体" w:hAnsi="黑体" w:eastAsia="黑体" w:cs="黑体"/>
          <w:sz w:val="32"/>
          <w:szCs w:val="32"/>
        </w:rPr>
        <w:t>四、坚持以绿为底，高标准建设国家绿色发展示范区</w:t>
      </w:r>
    </w:p>
    <w:p>
      <w:pPr>
        <w:pStyle w:val="18"/>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深入贯彻绿色发展理念，协同推进降碳、减污、</w:t>
      </w:r>
      <w:r>
        <w:rPr>
          <w:rFonts w:hint="eastAsia" w:ascii="仿宋_GB2312" w:hAnsi="仿宋_GB2312" w:eastAsia="仿宋_GB2312" w:cs="仿宋_GB2312"/>
          <w:spacing w:val="-11"/>
          <w:sz w:val="32"/>
          <w:szCs w:val="32"/>
        </w:rPr>
        <w:t>扩绿、增长，推动生产、生活、生态更高水平和谐交融。</w:t>
      </w:r>
    </w:p>
    <w:p>
      <w:pPr>
        <w:pStyle w:val="18"/>
        <w:spacing w:after="0"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（一）</w:t>
      </w:r>
      <w:r>
        <w:rPr>
          <w:rFonts w:hint="eastAsia" w:ascii="楷体_GB2312" w:hAnsi="楷体_GB2312" w:eastAsia="楷体_GB2312" w:cs="楷体_GB2312"/>
          <w:b w:val="0"/>
          <w:bCs w:val="0"/>
          <w:sz w:val="32"/>
          <w:szCs w:val="32"/>
        </w:rPr>
        <w:t>提升</w:t>
      </w:r>
      <w:r>
        <w:rPr>
          <w:rFonts w:ascii="楷体_GB2312" w:hAnsi="楷体_GB2312" w:eastAsia="楷体_GB2312" w:cs="楷体_GB2312"/>
          <w:b w:val="0"/>
          <w:bCs w:val="0"/>
          <w:sz w:val="32"/>
          <w:szCs w:val="32"/>
        </w:rPr>
        <w:t>绿色发展引领力。</w:t>
      </w:r>
      <w:r>
        <w:rPr>
          <w:rFonts w:hint="eastAsia" w:ascii="仿宋_GB2312" w:hAnsi="仿宋_GB2312" w:eastAsia="仿宋_GB2312" w:cs="仿宋_GB2312"/>
          <w:sz w:val="32"/>
          <w:szCs w:val="32"/>
        </w:rPr>
        <w:t>推动北京绿色交易所建设面向全球的国家级绿色交易所，推进气候投融资试点建设，支持国家绿色技术交易中心建设。大力引进绿色技术工程研究中心、创新中心，加速建设北京绿色技术创新服务产业园。建立健全</w:t>
      </w:r>
      <w:r>
        <w:rPr>
          <w:rFonts w:ascii="仿宋_GB2312" w:hAnsi="仿宋_GB2312" w:eastAsia="仿宋_GB2312" w:cs="仿宋_GB2312"/>
          <w:sz w:val="32"/>
          <w:szCs w:val="32"/>
        </w:rPr>
        <w:t>绿色</w:t>
      </w:r>
      <w:r>
        <w:rPr>
          <w:rFonts w:hint="eastAsia" w:ascii="仿宋_GB2312" w:hAnsi="仿宋_GB2312" w:eastAsia="仿宋_GB2312" w:cs="仿宋_GB2312"/>
          <w:sz w:val="32"/>
          <w:szCs w:val="32"/>
        </w:rPr>
        <w:t>成本分析</w:t>
      </w:r>
      <w:r>
        <w:rPr>
          <w:rFonts w:ascii="仿宋_GB2312" w:hAnsi="仿宋_GB2312" w:eastAsia="仿宋_GB2312" w:cs="仿宋_GB2312"/>
          <w:sz w:val="32"/>
          <w:szCs w:val="32"/>
        </w:rPr>
        <w:t>和绿色价格认证</w:t>
      </w:r>
      <w:r>
        <w:rPr>
          <w:rFonts w:hint="eastAsia" w:ascii="仿宋_GB2312" w:hAnsi="仿宋_GB2312" w:eastAsia="仿宋_GB2312" w:cs="仿宋_GB2312"/>
          <w:sz w:val="32"/>
          <w:szCs w:val="32"/>
        </w:rPr>
        <w:t>体系，形成</w:t>
      </w:r>
      <w:r>
        <w:rPr>
          <w:rFonts w:ascii="仿宋_GB2312" w:hAnsi="仿宋_GB2312" w:eastAsia="仿宋_GB2312" w:cs="仿宋_GB2312"/>
          <w:sz w:val="32"/>
          <w:szCs w:val="32"/>
        </w:rPr>
        <w:t>2-3项绿色价值认证案例。</w:t>
      </w:r>
      <w:r>
        <w:rPr>
          <w:rFonts w:hint="eastAsia" w:ascii="仿宋_GB2312" w:hAnsi="仿宋_GB2312" w:eastAsia="仿宋_GB2312" w:cs="仿宋_GB2312"/>
          <w:sz w:val="32"/>
          <w:szCs w:val="32"/>
        </w:rPr>
        <w:t>办好北京绿色发展论坛，不断提升绿色发展看城市副中心的影响力。</w:t>
      </w:r>
    </w:p>
    <w:p>
      <w:pPr>
        <w:pStyle w:val="18"/>
        <w:spacing w:after="0" w:line="560" w:lineRule="exact"/>
        <w:ind w:firstLine="640" w:firstLineChars="200"/>
        <w:rPr>
          <w:rFonts w:ascii="仿宋_GB2312" w:hAnsi="仿宋_GB2312" w:eastAsia="仿宋_GB2312" w:cs="仿宋_GB2312"/>
          <w:b/>
          <w:bCs/>
          <w:sz w:val="32"/>
          <w:szCs w:val="32"/>
        </w:rPr>
      </w:pPr>
      <w:r>
        <w:rPr>
          <w:rFonts w:hint="eastAsia" w:ascii="楷体_GB2312" w:hAnsi="楷体_GB2312" w:eastAsia="楷体_GB2312" w:cs="楷体_GB2312"/>
          <w:b w:val="0"/>
          <w:bCs w:val="0"/>
          <w:sz w:val="32"/>
          <w:szCs w:val="32"/>
          <w:lang w:eastAsia="zh-CN"/>
        </w:rPr>
        <w:t>（二）</w:t>
      </w:r>
      <w:r>
        <w:rPr>
          <w:rFonts w:hint="eastAsia" w:ascii="楷体_GB2312" w:hAnsi="楷体_GB2312" w:eastAsia="楷体_GB2312" w:cs="楷体_GB2312"/>
          <w:b w:val="0"/>
          <w:bCs w:val="0"/>
          <w:sz w:val="32"/>
          <w:szCs w:val="32"/>
        </w:rPr>
        <w:t>推动</w:t>
      </w:r>
      <w:r>
        <w:rPr>
          <w:rFonts w:ascii="楷体_GB2312" w:hAnsi="楷体_GB2312" w:eastAsia="楷体_GB2312" w:cs="楷体_GB2312"/>
          <w:b w:val="0"/>
          <w:bCs w:val="0"/>
          <w:sz w:val="32"/>
          <w:szCs w:val="32"/>
        </w:rPr>
        <w:t>重点领域节能降碳。</w:t>
      </w:r>
      <w:r>
        <w:rPr>
          <w:rFonts w:hint="eastAsia" w:ascii="仿宋_GB2312" w:hAnsi="仿宋_GB2312" w:eastAsia="仿宋_GB2312" w:cs="仿宋_GB2312"/>
          <w:sz w:val="32"/>
          <w:szCs w:val="32"/>
        </w:rPr>
        <w:t>推进大型公共建筑能效分级工作，促进既有建筑焕新升级，推广装配式建造方式。实施14家公共机构太阳能利用改造。推进建设清洁运输试验区。补建升级电动自行车充电设施。引导公众、企业积极参与绿色低碳行动，推动绿色发展理念成为社会共识。</w:t>
      </w:r>
    </w:p>
    <w:p>
      <w:pPr>
        <w:pStyle w:val="18"/>
        <w:spacing w:after="0"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（三）</w:t>
      </w:r>
      <w:r>
        <w:rPr>
          <w:rFonts w:hint="eastAsia" w:ascii="楷体_GB2312" w:hAnsi="楷体_GB2312" w:eastAsia="楷体_GB2312" w:cs="楷体_GB2312"/>
          <w:b w:val="0"/>
          <w:bCs w:val="0"/>
          <w:sz w:val="32"/>
          <w:szCs w:val="32"/>
        </w:rPr>
        <w:t>大力推进</w:t>
      </w:r>
      <w:r>
        <w:rPr>
          <w:rFonts w:ascii="楷体_GB2312" w:hAnsi="楷体_GB2312" w:eastAsia="楷体_GB2312" w:cs="楷体_GB2312"/>
          <w:b w:val="0"/>
          <w:bCs w:val="0"/>
          <w:sz w:val="32"/>
          <w:szCs w:val="32"/>
        </w:rPr>
        <w:t>花园城市建设。</w:t>
      </w:r>
      <w:r>
        <w:rPr>
          <w:rFonts w:hint="eastAsia" w:ascii="仿宋_GB2312" w:hAnsi="仿宋_GB2312" w:eastAsia="仿宋_GB2312" w:cs="仿宋_GB2312"/>
          <w:sz w:val="32"/>
          <w:szCs w:val="32"/>
        </w:rPr>
        <w:t>力争六环高线公园启动段开园。利用闲置空地、裸地，打造900公顷以上特色花海。完成北运河两岸绿化彩化提升工程。建设</w:t>
      </w:r>
      <w:r>
        <w:rPr>
          <w:rFonts w:ascii="仿宋_GB2312" w:hAnsi="仿宋_GB2312" w:eastAsia="仿宋_GB2312" w:cs="仿宋_GB2312"/>
          <w:sz w:val="32"/>
          <w:szCs w:val="32"/>
        </w:rPr>
        <w:t>18处村公园、6</w:t>
      </w:r>
      <w:r>
        <w:rPr>
          <w:rFonts w:hint="eastAsia" w:ascii="仿宋_GB2312" w:hAnsi="仿宋_GB2312" w:eastAsia="仿宋_GB2312" w:cs="仿宋_GB2312"/>
          <w:sz w:val="32"/>
          <w:szCs w:val="32"/>
        </w:rPr>
        <w:t>处社区微公园，增补3万平方米小微绿地，打造一批花园社区。力促梨园镇花园大道示范项目完工。强化公园绿地活化利用，完善文体、商业设施，形成多元化“公园+”消费新场景。</w:t>
      </w:r>
    </w:p>
    <w:p>
      <w:pPr>
        <w:pStyle w:val="18"/>
        <w:spacing w:after="0"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（四）</w:t>
      </w:r>
      <w:r>
        <w:rPr>
          <w:rFonts w:ascii="楷体_GB2312" w:hAnsi="楷体_GB2312" w:eastAsia="楷体_GB2312" w:cs="楷体_GB2312"/>
          <w:b w:val="0"/>
          <w:bCs w:val="0"/>
          <w:sz w:val="32"/>
          <w:szCs w:val="32"/>
        </w:rPr>
        <w:t>打好污染防治攻坚战。</w:t>
      </w:r>
      <w:r>
        <w:rPr>
          <w:rFonts w:hint="eastAsia" w:ascii="仿宋_GB2312" w:hAnsi="仿宋_GB2312" w:eastAsia="仿宋_GB2312" w:cs="仿宋_GB2312"/>
          <w:b w:val="0"/>
          <w:bCs w:val="0"/>
          <w:sz w:val="32"/>
          <w:szCs w:val="32"/>
        </w:rPr>
        <w:t>深化0.1微克攻坚行动，</w:t>
      </w:r>
      <w:r>
        <w:rPr>
          <w:rFonts w:hint="eastAsia" w:ascii="仿宋_GB2312" w:hAnsi="仿宋_GB2312" w:eastAsia="仿宋_GB2312" w:cs="仿宋_GB2312"/>
          <w:sz w:val="32"/>
          <w:szCs w:val="32"/>
        </w:rPr>
        <w:t>推进扬尘污染精细治理，加强各类机动车和非道路移动机械排放管理。推动基坑气膜等绿色施工模式适用尽用，积极创建“绿牌”工地。</w:t>
      </w:r>
      <w:r>
        <w:rPr>
          <w:rFonts w:hint="eastAsia" w:ascii="仿宋_GB2312" w:hAnsi="仿宋_GB2312" w:eastAsia="仿宋_GB2312" w:cs="仿宋_GB2312"/>
          <w:b w:val="0"/>
          <w:bCs w:val="0"/>
          <w:sz w:val="32"/>
          <w:szCs w:val="32"/>
        </w:rPr>
        <w:t>加强水环境综合治理，</w:t>
      </w:r>
      <w:r>
        <w:rPr>
          <w:rFonts w:hint="eastAsia" w:ascii="仿宋_GB2312" w:hAnsi="仿宋_GB2312" w:eastAsia="仿宋_GB2312" w:cs="仿宋_GB2312"/>
          <w:sz w:val="32"/>
          <w:szCs w:val="32"/>
        </w:rPr>
        <w:t>保持黑臭水体动态清零，开工建设南大沟及萧太后河退水渠综合治理工程，确保城南水网（台马片区、于永片区）等骨干沟渠水网完工。加快减河北综合资源利用中心（一期）项目建设，新建、改扩建9座城镇再生水厂。实施美丽河湖保护与建设，抓好生物多样性保护。</w:t>
      </w:r>
      <w:r>
        <w:rPr>
          <w:rFonts w:hint="eastAsia" w:ascii="仿宋_GB2312" w:hAnsi="仿宋_GB2312" w:eastAsia="仿宋_GB2312" w:cs="仿宋_GB2312"/>
          <w:b w:val="0"/>
          <w:bCs w:val="0"/>
          <w:sz w:val="32"/>
          <w:szCs w:val="32"/>
        </w:rPr>
        <w:t>加强固体废物和新污染物治理，</w:t>
      </w:r>
      <w:r>
        <w:rPr>
          <w:rFonts w:hint="eastAsia" w:ascii="仿宋_GB2312" w:hAnsi="仿宋_GB2312" w:eastAsia="仿宋_GB2312" w:cs="仿宋_GB2312"/>
          <w:sz w:val="32"/>
          <w:szCs w:val="32"/>
        </w:rPr>
        <w:t>有效管控土壤环境风险。</w:t>
      </w:r>
    </w:p>
    <w:p>
      <w:pPr>
        <w:pStyle w:val="18"/>
        <w:spacing w:after="0" w:line="560" w:lineRule="exact"/>
        <w:ind w:firstLine="640" w:firstLineChars="200"/>
        <w:rPr>
          <w:rFonts w:ascii="楷体_GB2312" w:hAnsi="楷体_GB2312" w:eastAsia="楷体_GB2312" w:cs="楷体_GB2312"/>
          <w:sz w:val="32"/>
          <w:szCs w:val="32"/>
        </w:rPr>
      </w:pPr>
      <w:r>
        <w:rPr>
          <w:rFonts w:hint="eastAsia" w:ascii="黑体" w:hAnsi="黑体" w:eastAsia="黑体" w:cs="黑体"/>
          <w:sz w:val="32"/>
          <w:szCs w:val="32"/>
        </w:rPr>
        <w:t>五、坚持以优提质，高效能推进城市治理</w:t>
      </w:r>
    </w:p>
    <w:p>
      <w:pPr>
        <w:pStyle w:val="18"/>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聚焦建设未来没有“城市病”的城区，提高治理能力现代化水平，提升城市形象品质和宜居环境。</w:t>
      </w:r>
    </w:p>
    <w:p>
      <w:pPr>
        <w:pStyle w:val="18"/>
        <w:spacing w:after="0"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（一）</w:t>
      </w:r>
      <w:r>
        <w:rPr>
          <w:rFonts w:hint="eastAsia" w:ascii="楷体_GB2312" w:hAnsi="楷体_GB2312" w:eastAsia="楷体_GB2312" w:cs="楷体_GB2312"/>
          <w:b w:val="0"/>
          <w:bCs w:val="0"/>
          <w:sz w:val="32"/>
          <w:szCs w:val="32"/>
        </w:rPr>
        <w:t>大力实施</w:t>
      </w:r>
      <w:r>
        <w:rPr>
          <w:rFonts w:ascii="楷体_GB2312" w:hAnsi="楷体_GB2312" w:eastAsia="楷体_GB2312" w:cs="楷体_GB2312"/>
          <w:b w:val="0"/>
          <w:bCs w:val="0"/>
          <w:sz w:val="32"/>
          <w:szCs w:val="32"/>
        </w:rPr>
        <w:t>城市更新。</w:t>
      </w:r>
      <w:r>
        <w:rPr>
          <w:rFonts w:hint="eastAsia" w:ascii="仿宋_GB2312" w:hAnsi="仿宋_GB2312" w:eastAsia="仿宋_GB2312" w:cs="仿宋_GB2312"/>
          <w:sz w:val="32"/>
          <w:szCs w:val="32"/>
        </w:rPr>
        <w:t>深入开展新一轮疏解整治促提升专项行动。加强背街小巷长效管护。持续开展老旧小区综合整治，更新老旧电梯100部以上，完成10个小区市政管线改造。加快推进7个家园中心建设，完成北苑家园中心主体结构施工。开展八通线沿线等区域环境整治，持续推进城市家具规范治理。加强土地、资金等要素保障，积极引入社会资本，推动城市环境品质持续优化。</w:t>
      </w:r>
    </w:p>
    <w:p>
      <w:pPr>
        <w:pStyle w:val="18"/>
        <w:spacing w:after="0"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（二）</w:t>
      </w:r>
      <w:r>
        <w:rPr>
          <w:rFonts w:hint="eastAsia" w:ascii="楷体_GB2312" w:hAnsi="楷体_GB2312" w:eastAsia="楷体_GB2312" w:cs="楷体_GB2312"/>
          <w:b w:val="0"/>
          <w:bCs w:val="0"/>
          <w:sz w:val="32"/>
          <w:szCs w:val="32"/>
        </w:rPr>
        <w:t>强化交通综合治理</w:t>
      </w:r>
      <w:r>
        <w:rPr>
          <w:rFonts w:ascii="楷体_GB2312" w:hAnsi="楷体_GB2312" w:eastAsia="楷体_GB2312" w:cs="楷体_GB2312"/>
          <w:b w:val="0"/>
          <w:bCs w:val="0"/>
          <w:sz w:val="32"/>
          <w:szCs w:val="32"/>
        </w:rPr>
        <w:t>。</w:t>
      </w:r>
      <w:r>
        <w:rPr>
          <w:rFonts w:hint="eastAsia" w:ascii="仿宋_GB2312" w:hAnsi="仿宋_GB2312" w:eastAsia="仿宋_GB2312" w:cs="仿宋_GB2312"/>
          <w:b w:val="0"/>
          <w:bCs w:val="0"/>
          <w:sz w:val="32"/>
          <w:szCs w:val="32"/>
        </w:rPr>
        <w:t>发挥综合交通一体化提升工作专班作用，</w:t>
      </w:r>
      <w:r>
        <w:rPr>
          <w:rFonts w:hint="eastAsia" w:ascii="仿宋_GB2312" w:hAnsi="仿宋_GB2312" w:eastAsia="仿宋_GB2312" w:cs="仿宋_GB2312"/>
          <w:sz w:val="32"/>
          <w:szCs w:val="32"/>
        </w:rPr>
        <w:t>持续提高城市副中心及周边地区交通运行效率。加快京台路（西段）、潞苑南一街等道路建设，建成通运东路（中段），完成一批道路移交和规范管理。</w:t>
      </w:r>
      <w:r>
        <w:rPr>
          <w:rFonts w:hint="eastAsia" w:ascii="仿宋_GB2312" w:hAnsi="仿宋_GB2312" w:eastAsia="仿宋_GB2312" w:cs="仿宋_GB2312"/>
          <w:b w:val="0"/>
          <w:bCs w:val="0"/>
          <w:sz w:val="32"/>
          <w:szCs w:val="32"/>
        </w:rPr>
        <w:t>加强学医景商等重点区域整治，</w:t>
      </w:r>
      <w:r>
        <w:rPr>
          <w:rFonts w:hint="eastAsia" w:ascii="仿宋_GB2312" w:hAnsi="仿宋_GB2312" w:eastAsia="仿宋_GB2312" w:cs="仿宋_GB2312"/>
          <w:sz w:val="32"/>
          <w:szCs w:val="32"/>
        </w:rPr>
        <w:t>打通一批“断头路”，持续推进25个重点路口治理，确保六合桥等疏堵工程完工。推进运河商务区综合交通提升，加快通燕高速节点改造，力促通州北关站、北运河西站P+R新型智慧停车场完工。</w:t>
      </w:r>
      <w:r>
        <w:rPr>
          <w:rFonts w:hint="eastAsia" w:ascii="仿宋_GB2312" w:hAnsi="仿宋_GB2312" w:eastAsia="仿宋_GB2312" w:cs="仿宋_GB2312"/>
          <w:b w:val="0"/>
          <w:bCs w:val="0"/>
          <w:sz w:val="32"/>
          <w:szCs w:val="32"/>
        </w:rPr>
        <w:t>推动智慧交通（二期）项目建设。</w:t>
      </w:r>
      <w:r>
        <w:rPr>
          <w:rFonts w:hint="eastAsia" w:ascii="仿宋_GB2312" w:hAnsi="仿宋_GB2312" w:eastAsia="仿宋_GB2312" w:cs="仿宋_GB2312"/>
          <w:sz w:val="32"/>
          <w:szCs w:val="32"/>
        </w:rPr>
        <w:t>扩大路网绿波带覆盖范围，推进路口信号灯配时自适应优化。推动“双智”城市4.0阶段建设。</w:t>
      </w:r>
    </w:p>
    <w:p>
      <w:pPr>
        <w:pStyle w:val="18"/>
        <w:spacing w:after="0"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（三）</w:t>
      </w:r>
      <w:r>
        <w:rPr>
          <w:rFonts w:hint="eastAsia" w:ascii="楷体_GB2312" w:hAnsi="楷体_GB2312" w:eastAsia="楷体_GB2312" w:cs="楷体_GB2312"/>
          <w:b w:val="0"/>
          <w:bCs w:val="0"/>
          <w:sz w:val="32"/>
          <w:szCs w:val="32"/>
        </w:rPr>
        <w:t>持续</w:t>
      </w:r>
      <w:r>
        <w:rPr>
          <w:rFonts w:ascii="楷体_GB2312" w:hAnsi="楷体_GB2312" w:eastAsia="楷体_GB2312" w:cs="楷体_GB2312"/>
          <w:b w:val="0"/>
          <w:bCs w:val="0"/>
          <w:sz w:val="32"/>
          <w:szCs w:val="32"/>
        </w:rPr>
        <w:t>加强社会治理。</w:t>
      </w:r>
      <w:r>
        <w:rPr>
          <w:rFonts w:hint="eastAsia" w:ascii="仿宋_GB2312" w:hAnsi="仿宋_GB2312" w:eastAsia="仿宋_GB2312" w:cs="仿宋_GB2312"/>
          <w:b w:val="0"/>
          <w:bCs w:val="0"/>
          <w:sz w:val="32"/>
          <w:szCs w:val="32"/>
        </w:rPr>
        <w:t>深化“热线+网格”“秒接速办”机制作用，</w:t>
      </w:r>
      <w:r>
        <w:rPr>
          <w:rFonts w:hint="eastAsia" w:ascii="仿宋_GB2312" w:hAnsi="仿宋_GB2312" w:eastAsia="仿宋_GB2312" w:cs="仿宋_GB2312"/>
          <w:sz w:val="32"/>
          <w:szCs w:val="32"/>
        </w:rPr>
        <w:t>确保“每月一题”专项治理取得实效。统筹实施100项小微项目惠民生工程。</w:t>
      </w:r>
      <w:r>
        <w:rPr>
          <w:rFonts w:hint="eastAsia" w:ascii="仿宋_GB2312" w:hAnsi="仿宋_GB2312" w:eastAsia="仿宋_GB2312" w:cs="仿宋_GB2312"/>
          <w:b w:val="0"/>
          <w:bCs w:val="0"/>
          <w:sz w:val="32"/>
          <w:szCs w:val="32"/>
        </w:rPr>
        <w:t>持之以恒抓好两个“关键小事”，</w:t>
      </w:r>
      <w:r>
        <w:rPr>
          <w:rFonts w:hint="eastAsia" w:ascii="仿宋_GB2312" w:hAnsi="仿宋_GB2312" w:eastAsia="仿宋_GB2312" w:cs="仿宋_GB2312"/>
          <w:sz w:val="32"/>
          <w:szCs w:val="32"/>
        </w:rPr>
        <w:t>开展垃圾分类投放点品质提升专项行动，“一小区一方案”推进老旧小区市场化物业服务全覆盖。</w:t>
      </w:r>
      <w:r>
        <w:rPr>
          <w:rFonts w:hint="eastAsia" w:ascii="仿宋_GB2312" w:hAnsi="仿宋_GB2312" w:eastAsia="仿宋_GB2312" w:cs="仿宋_GB2312"/>
          <w:b w:val="0"/>
          <w:bCs w:val="0"/>
          <w:sz w:val="32"/>
          <w:szCs w:val="32"/>
        </w:rPr>
        <w:t>深化“副中心有我”社会动员体系，</w:t>
      </w:r>
      <w:r>
        <w:rPr>
          <w:rFonts w:hint="eastAsia" w:ascii="仿宋_GB2312" w:hAnsi="仿宋_GB2312" w:eastAsia="仿宋_GB2312" w:cs="仿宋_GB2312"/>
          <w:sz w:val="32"/>
          <w:szCs w:val="32"/>
        </w:rPr>
        <w:t>完善街乡镇、职能部门、企事业单位等联动机制，力争形成一批基层融合共治示范案例。推进9个行政村撤村建居工作。完成社区（村）“两委”换届选举。</w:t>
      </w:r>
    </w:p>
    <w:p>
      <w:pPr>
        <w:pStyle w:val="18"/>
        <w:spacing w:after="0" w:line="560" w:lineRule="exact"/>
        <w:ind w:firstLine="640" w:firstLineChars="200"/>
        <w:rPr>
          <w:rFonts w:ascii="黑体" w:hAnsi="黑体" w:eastAsia="黑体" w:cs="黑体"/>
          <w:sz w:val="32"/>
          <w:szCs w:val="32"/>
        </w:rPr>
      </w:pPr>
      <w:r>
        <w:rPr>
          <w:rFonts w:hint="eastAsia" w:ascii="黑体" w:hAnsi="黑体" w:eastAsia="黑体" w:cs="黑体"/>
          <w:sz w:val="32"/>
          <w:szCs w:val="32"/>
        </w:rPr>
        <w:t>六、坚持以民为本，高品质增进民生福祉</w:t>
      </w:r>
    </w:p>
    <w:p>
      <w:pPr>
        <w:pStyle w:val="18"/>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紧扣“七有”“五性”，着力保障和改善民生，进一步增强人民群众获得感、幸福感、安全感。</w:t>
      </w:r>
    </w:p>
    <w:p>
      <w:pPr>
        <w:pStyle w:val="18"/>
        <w:spacing w:after="0"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（一）</w:t>
      </w:r>
      <w:r>
        <w:rPr>
          <w:rFonts w:hint="eastAsia" w:ascii="楷体_GB2312" w:hAnsi="楷体_GB2312" w:eastAsia="楷体_GB2312" w:cs="楷体_GB2312"/>
          <w:b w:val="0"/>
          <w:bCs w:val="0"/>
          <w:sz w:val="32"/>
          <w:szCs w:val="32"/>
        </w:rPr>
        <w:t>持续提升社会事业发展水平。</w:t>
      </w:r>
      <w:r>
        <w:rPr>
          <w:rFonts w:hint="eastAsia" w:ascii="仿宋_GB2312" w:hAnsi="仿宋_GB2312" w:eastAsia="仿宋_GB2312" w:cs="仿宋_GB2312"/>
          <w:b w:val="0"/>
          <w:bCs w:val="0"/>
          <w:sz w:val="32"/>
          <w:szCs w:val="32"/>
        </w:rPr>
        <w:t>努力办好人民满意的教育，</w:t>
      </w:r>
      <w:r>
        <w:rPr>
          <w:rFonts w:hint="eastAsia" w:ascii="仿宋_GB2312" w:hAnsi="仿宋_GB2312" w:eastAsia="仿宋_GB2312" w:cs="仿宋_GB2312"/>
          <w:sz w:val="32"/>
          <w:szCs w:val="32"/>
        </w:rPr>
        <w:t>健全与人口变化相适应的学位资源统筹调配机制，新增中小学学位6500个。加快潞苑中学、物资学院一贯制学校建设。扩增公办学前学位720个，确保2所幼儿园开园。完善优质教育资源布局，推进教育城乡一体化发展。巩固“运河思政”品牌，深化大中小学思政教育一体化改革创新试验区建设。实施健体润心行动计划。推动校级教联体实现全覆盖。</w:t>
      </w:r>
      <w:r>
        <w:rPr>
          <w:rFonts w:hint="eastAsia" w:ascii="仿宋_GB2312" w:hAnsi="仿宋_GB2312" w:eastAsia="仿宋_GB2312" w:cs="仿宋_GB2312"/>
          <w:b w:val="0"/>
          <w:bCs w:val="0"/>
          <w:sz w:val="32"/>
          <w:szCs w:val="32"/>
        </w:rPr>
        <w:t>强化医疗服务供给，</w:t>
      </w:r>
      <w:r>
        <w:rPr>
          <w:rFonts w:hint="eastAsia" w:ascii="仿宋_GB2312" w:hAnsi="仿宋_GB2312" w:eastAsia="仿宋_GB2312" w:cs="仿宋_GB2312"/>
          <w:bCs/>
          <w:sz w:val="32"/>
          <w:szCs w:val="32"/>
        </w:rPr>
        <w:t>推动首儿所通州院区完工，保障市疾控中心、卫生职业学院完成搬迁，推进市急救中心、区妇幼保健院迁建项目实施。加快国家医学中心建设。完善公共卫生体系，提高基层医疗卫生能力。大力促进中医药传承创新发展。争创全国医养结合示范区。</w:t>
      </w:r>
      <w:r>
        <w:rPr>
          <w:rFonts w:hint="eastAsia" w:ascii="仿宋_GB2312" w:hAnsi="仿宋_GB2312" w:eastAsia="仿宋_GB2312" w:cs="仿宋_GB2312"/>
          <w:sz w:val="32"/>
          <w:szCs w:val="32"/>
        </w:rPr>
        <w:t>继续做好民族、宗教、侨务工作，促进气象、地方志、地震、国动、双拥、红十字、残疾人、慈善等各项事业健康发展。</w:t>
      </w:r>
    </w:p>
    <w:p>
      <w:pPr>
        <w:pStyle w:val="18"/>
        <w:spacing w:after="0"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（二）</w:t>
      </w:r>
      <w:r>
        <w:rPr>
          <w:rFonts w:hint="eastAsia" w:ascii="楷体_GB2312" w:hAnsi="楷体_GB2312" w:eastAsia="楷体_GB2312" w:cs="楷体_GB2312"/>
          <w:b w:val="0"/>
          <w:bCs w:val="0"/>
          <w:sz w:val="32"/>
          <w:szCs w:val="32"/>
        </w:rPr>
        <w:t>大力提升社会保障服务水平。</w:t>
      </w:r>
      <w:r>
        <w:rPr>
          <w:rFonts w:hint="eastAsia" w:ascii="仿宋_GB2312" w:hAnsi="仿宋_GB2312" w:eastAsia="仿宋_GB2312" w:cs="仿宋_GB2312"/>
          <w:b w:val="0"/>
          <w:bCs w:val="0"/>
          <w:sz w:val="32"/>
          <w:szCs w:val="32"/>
        </w:rPr>
        <w:t>落实全市高质量充分就业政策，</w:t>
      </w:r>
      <w:r>
        <w:rPr>
          <w:rFonts w:hint="eastAsia" w:ascii="仿宋_GB2312" w:hAnsi="仿宋_GB2312" w:eastAsia="仿宋_GB2312" w:cs="仿宋_GB2312"/>
          <w:sz w:val="32"/>
          <w:szCs w:val="32"/>
        </w:rPr>
        <w:t>促进城乡劳动力就业不少于1.5万人，</w:t>
      </w:r>
      <w:r>
        <w:rPr>
          <w:rFonts w:ascii="仿宋_GB2312" w:hAnsi="仿宋_GB2312" w:eastAsia="仿宋_GB2312" w:cs="仿宋_GB2312"/>
          <w:sz w:val="32"/>
          <w:szCs w:val="32"/>
        </w:rPr>
        <w:t>城镇</w:t>
      </w:r>
      <w:r>
        <w:rPr>
          <w:rFonts w:hint="eastAsia" w:ascii="仿宋_GB2312" w:hAnsi="仿宋_GB2312" w:eastAsia="仿宋_GB2312" w:cs="仿宋_GB2312"/>
          <w:sz w:val="32"/>
          <w:szCs w:val="32"/>
        </w:rPr>
        <w:t>调查</w:t>
      </w:r>
      <w:r>
        <w:rPr>
          <w:rFonts w:ascii="仿宋_GB2312" w:hAnsi="仿宋_GB2312" w:eastAsia="仿宋_GB2312" w:cs="仿宋_GB2312"/>
          <w:sz w:val="32"/>
          <w:szCs w:val="32"/>
        </w:rPr>
        <w:t>失业率控制在5%以内</w:t>
      </w:r>
      <w:r>
        <w:rPr>
          <w:rFonts w:hint="eastAsia" w:ascii="仿宋_GB2312" w:hAnsi="仿宋_GB2312" w:eastAsia="仿宋_GB2312" w:cs="仿宋_GB2312"/>
          <w:sz w:val="32"/>
          <w:szCs w:val="32"/>
        </w:rPr>
        <w:t>。推进灵活就业人员、农民工等重点人群参保扩面。</w:t>
      </w:r>
      <w:r>
        <w:rPr>
          <w:rFonts w:hint="eastAsia" w:ascii="仿宋_GB2312" w:hAnsi="仿宋_GB2312" w:eastAsia="仿宋_GB2312" w:cs="仿宋_GB2312"/>
          <w:b w:val="0"/>
          <w:bCs w:val="0"/>
          <w:sz w:val="32"/>
          <w:szCs w:val="32"/>
        </w:rPr>
        <w:t>健全三级养老服务网络，</w:t>
      </w:r>
      <w:r>
        <w:rPr>
          <w:rFonts w:hint="eastAsia" w:ascii="仿宋_GB2312" w:hAnsi="仿宋_GB2312" w:eastAsia="仿宋_GB2312" w:cs="仿宋_GB2312"/>
          <w:sz w:val="32"/>
          <w:szCs w:val="32"/>
        </w:rPr>
        <w:t>推进区级养老服务指导中心建设，新建10家养老服务驿站。</w:t>
      </w:r>
      <w:r>
        <w:rPr>
          <w:rFonts w:hint="eastAsia" w:ascii="仿宋_GB2312" w:hAnsi="仿宋_GB2312" w:eastAsia="仿宋_GB2312" w:cs="仿宋_GB2312"/>
          <w:b w:val="0"/>
          <w:bCs w:val="0"/>
          <w:sz w:val="32"/>
          <w:szCs w:val="32"/>
        </w:rPr>
        <w:t>加强托幼一体服务，</w:t>
      </w:r>
      <w:r>
        <w:rPr>
          <w:rFonts w:hint="eastAsia" w:ascii="仿宋_GB2312" w:hAnsi="仿宋_GB2312" w:eastAsia="仿宋_GB2312" w:cs="仿宋_GB2312"/>
          <w:sz w:val="32"/>
          <w:szCs w:val="32"/>
        </w:rPr>
        <w:t>增加普惠托位300个。</w:t>
      </w:r>
      <w:r>
        <w:rPr>
          <w:rFonts w:hint="eastAsia" w:ascii="仿宋_GB2312" w:hAnsi="仿宋_GB2312" w:eastAsia="仿宋_GB2312" w:cs="仿宋_GB2312"/>
          <w:b w:val="0"/>
          <w:bCs w:val="0"/>
          <w:sz w:val="32"/>
          <w:szCs w:val="32"/>
        </w:rPr>
        <w:t>大力促进职住平衡，</w:t>
      </w:r>
      <w:r>
        <w:rPr>
          <w:rFonts w:hint="eastAsia" w:ascii="仿宋_GB2312" w:hAnsi="仿宋_GB2312" w:eastAsia="仿宋_GB2312" w:cs="仿宋_GB2312"/>
          <w:sz w:val="32"/>
          <w:szCs w:val="32"/>
        </w:rPr>
        <w:t>推进6个集租房项目建设，竣工保障性住房2500套。加强住房租售管理，推动房地产市场平稳健康发展，推出更多好房子、好小区、好社区。</w:t>
      </w:r>
    </w:p>
    <w:p>
      <w:pPr>
        <w:pStyle w:val="18"/>
        <w:spacing w:after="0"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（三）</w:t>
      </w:r>
      <w:r>
        <w:rPr>
          <w:rFonts w:hint="eastAsia" w:ascii="楷体_GB2312" w:hAnsi="楷体_GB2312" w:eastAsia="楷体_GB2312" w:cs="楷体_GB2312"/>
          <w:b w:val="0"/>
          <w:bCs w:val="0"/>
          <w:sz w:val="32"/>
          <w:szCs w:val="32"/>
        </w:rPr>
        <w:t>着力提升安全发展保障水平。</w:t>
      </w:r>
      <w:r>
        <w:rPr>
          <w:rFonts w:hint="eastAsia" w:ascii="仿宋_GB2312" w:hAnsi="仿宋_GB2312" w:eastAsia="仿宋_GB2312" w:cs="仿宋_GB2312"/>
          <w:sz w:val="32"/>
          <w:szCs w:val="32"/>
        </w:rPr>
        <w:t>全面完成安全生产治本攻坚三年行动，全力压减各类生产安全事故。优化消防站点布局，提升消防救援5分钟响应覆盖率。健全农产品质量安全监管体系，持续强化校园餐安全管理。深化气候适应型城市试点建设，力促北运河堤防加固工程完工、潮白河综合治理与生态修复工程竣工。持续加强城市积水点治理。完善社会矛盾风险预警监测体系，提高信访工作信息化法治化水平。加强重大活动服务保障，守牢意识形态主阵地，确保社会大局和谐稳定。</w:t>
      </w:r>
    </w:p>
    <w:p>
      <w:pPr>
        <w:pStyle w:val="18"/>
        <w:spacing w:after="0" w:line="560" w:lineRule="exact"/>
        <w:ind w:firstLine="640" w:firstLineChars="200"/>
        <w:rPr>
          <w:rFonts w:ascii="黑体" w:hAnsi="黑体" w:eastAsia="黑体" w:cs="黑体"/>
          <w:sz w:val="32"/>
          <w:szCs w:val="32"/>
        </w:rPr>
      </w:pPr>
      <w:r>
        <w:rPr>
          <w:rFonts w:hint="eastAsia" w:ascii="黑体" w:hAnsi="黑体" w:eastAsia="黑体" w:cs="黑体"/>
          <w:sz w:val="32"/>
          <w:szCs w:val="32"/>
        </w:rPr>
        <w:t>七、坚持以改增效，高标准推进全面深化改革</w:t>
      </w:r>
    </w:p>
    <w:p>
      <w:pPr>
        <w:pStyle w:val="18"/>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以改革提质效、以开放激活力，为城市副中心高质量发展注入强大动力。</w:t>
      </w:r>
    </w:p>
    <w:p>
      <w:pPr>
        <w:pStyle w:val="18"/>
        <w:spacing w:after="0" w:line="560" w:lineRule="exact"/>
        <w:ind w:firstLine="640" w:firstLineChars="200"/>
        <w:rPr>
          <w:rFonts w:ascii="仿宋_GB2312" w:hAnsi="仿宋_GB2312" w:eastAsia="仿宋_GB2312" w:cs="仿宋_GB2312"/>
          <w:b/>
          <w:bCs/>
          <w:sz w:val="32"/>
          <w:szCs w:val="32"/>
        </w:rPr>
      </w:pPr>
      <w:r>
        <w:rPr>
          <w:rFonts w:hint="eastAsia" w:ascii="楷体_GB2312" w:hAnsi="楷体_GB2312" w:eastAsia="楷体_GB2312" w:cs="楷体_GB2312"/>
          <w:b w:val="0"/>
          <w:bCs w:val="0"/>
          <w:sz w:val="32"/>
          <w:szCs w:val="32"/>
          <w:lang w:eastAsia="zh-CN"/>
        </w:rPr>
        <w:t>（一）</w:t>
      </w:r>
      <w:r>
        <w:rPr>
          <w:rFonts w:hint="eastAsia" w:ascii="楷体_GB2312" w:hAnsi="楷体_GB2312" w:eastAsia="楷体_GB2312" w:cs="楷体_GB2312"/>
          <w:b w:val="0"/>
          <w:bCs w:val="0"/>
          <w:sz w:val="32"/>
          <w:szCs w:val="32"/>
        </w:rPr>
        <w:t>持续</w:t>
      </w:r>
      <w:r>
        <w:rPr>
          <w:rFonts w:ascii="楷体_GB2312" w:hAnsi="楷体_GB2312" w:eastAsia="楷体_GB2312" w:cs="楷体_GB2312"/>
          <w:b w:val="0"/>
          <w:bCs w:val="0"/>
          <w:sz w:val="32"/>
          <w:szCs w:val="32"/>
        </w:rPr>
        <w:t>深化重点领域改革。</w:t>
      </w:r>
      <w:r>
        <w:rPr>
          <w:rFonts w:hint="eastAsia" w:ascii="仿宋_GB2312" w:hAnsi="仿宋_GB2312" w:eastAsia="仿宋_GB2312" w:cs="仿宋_GB2312"/>
          <w:b w:val="0"/>
          <w:bCs w:val="0"/>
          <w:sz w:val="32"/>
          <w:szCs w:val="32"/>
        </w:rPr>
        <w:t>深入推进要素市场化配置综合改革</w:t>
      </w:r>
      <w:r>
        <w:rPr>
          <w:rFonts w:ascii="仿宋_GB2312" w:hAnsi="仿宋_GB2312" w:eastAsia="仿宋_GB2312" w:cs="仿宋_GB2312"/>
          <w:b w:val="0"/>
          <w:bCs w:val="0"/>
          <w:sz w:val="32"/>
          <w:szCs w:val="32"/>
        </w:rPr>
        <w:t>试点工作</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rPr>
        <w:t>确保技术、土地、人力资源、数据、资本、资源环境六大要素领域实现新突破，形成一批具有示范引领作用的标志性改革案例。</w:t>
      </w:r>
      <w:r>
        <w:rPr>
          <w:rFonts w:hint="eastAsia" w:ascii="仿宋_GB2312" w:hAnsi="仿宋_GB2312" w:eastAsia="仿宋_GB2312" w:cs="仿宋_GB2312"/>
          <w:b w:val="0"/>
          <w:bCs w:val="0"/>
          <w:sz w:val="32"/>
          <w:szCs w:val="32"/>
        </w:rPr>
        <w:t>全面落实《北京城市副中心条例》，</w:t>
      </w:r>
      <w:r>
        <w:rPr>
          <w:rFonts w:hint="eastAsia" w:ascii="仿宋_GB2312" w:hAnsi="仿宋_GB2312" w:eastAsia="仿宋_GB2312" w:cs="仿宋_GB2312"/>
          <w:sz w:val="32"/>
          <w:szCs w:val="32"/>
        </w:rPr>
        <w:t>推动出台配套政策措施，强化副中心建设发展的法治保障。</w:t>
      </w:r>
      <w:r>
        <w:rPr>
          <w:rFonts w:hint="eastAsia" w:ascii="仿宋_GB2312" w:hAnsi="仿宋_GB2312" w:eastAsia="仿宋_GB2312" w:cs="仿宋_GB2312"/>
          <w:b w:val="0"/>
          <w:bCs w:val="0"/>
          <w:sz w:val="32"/>
          <w:szCs w:val="32"/>
        </w:rPr>
        <w:t>持续深化国资国企改革</w:t>
      </w:r>
      <w:r>
        <w:rPr>
          <w:rFonts w:hint="eastAsia" w:ascii="仿宋_GB2312" w:hAnsi="仿宋_GB2312" w:eastAsia="仿宋_GB2312" w:cs="仿宋_GB2312"/>
          <w:sz w:val="32"/>
          <w:szCs w:val="32"/>
        </w:rPr>
        <w:t>，有序推进区管企业新一轮重组和专业化整合。</w:t>
      </w:r>
      <w:r>
        <w:rPr>
          <w:rFonts w:hint="eastAsia" w:ascii="仿宋_GB2312" w:hAnsi="仿宋_GB2312" w:eastAsia="仿宋_GB2312" w:cs="仿宋_GB2312"/>
          <w:b w:val="0"/>
          <w:bCs w:val="0"/>
          <w:sz w:val="32"/>
          <w:szCs w:val="32"/>
        </w:rPr>
        <w:t>规范农村集体“三资”监管，</w:t>
      </w:r>
      <w:r>
        <w:rPr>
          <w:rFonts w:hint="eastAsia" w:ascii="仿宋_GB2312" w:hAnsi="仿宋_GB2312" w:eastAsia="仿宋_GB2312" w:cs="仿宋_GB2312"/>
          <w:sz w:val="32"/>
          <w:szCs w:val="32"/>
        </w:rPr>
        <w:t>加强涉地农村集体经济合同管理，稳步推进农村土地制度改革。</w:t>
      </w:r>
      <w:r>
        <w:rPr>
          <w:rFonts w:hint="eastAsia" w:ascii="仿宋_GB2312" w:hAnsi="仿宋_GB2312" w:eastAsia="仿宋_GB2312" w:cs="仿宋_GB2312"/>
          <w:b w:val="0"/>
          <w:bCs w:val="0"/>
          <w:sz w:val="32"/>
          <w:szCs w:val="32"/>
        </w:rPr>
        <w:t>充分发挥财源建设等机制奖励激励作用，</w:t>
      </w:r>
      <w:r>
        <w:rPr>
          <w:rFonts w:hint="eastAsia" w:ascii="仿宋_GB2312" w:hAnsi="仿宋_GB2312" w:eastAsia="仿宋_GB2312" w:cs="仿宋_GB2312"/>
          <w:sz w:val="32"/>
          <w:szCs w:val="32"/>
        </w:rPr>
        <w:t>进一步提升工作质效。</w:t>
      </w:r>
    </w:p>
    <w:p>
      <w:pPr>
        <w:pStyle w:val="18"/>
        <w:spacing w:after="0"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（二）</w:t>
      </w:r>
      <w:r>
        <w:rPr>
          <w:rFonts w:hint="eastAsia" w:ascii="楷体_GB2312" w:hAnsi="楷体_GB2312" w:eastAsia="楷体_GB2312" w:cs="楷体_GB2312"/>
          <w:b w:val="0"/>
          <w:bCs w:val="0"/>
          <w:sz w:val="32"/>
          <w:szCs w:val="32"/>
        </w:rPr>
        <w:t>扎实推进高水平开放</w:t>
      </w:r>
      <w:r>
        <w:rPr>
          <w:rFonts w:ascii="楷体_GB2312" w:hAnsi="楷体_GB2312" w:eastAsia="楷体_GB2312" w:cs="楷体_GB2312"/>
          <w:b w:val="0"/>
          <w:bCs w:val="0"/>
          <w:sz w:val="32"/>
          <w:szCs w:val="32"/>
        </w:rPr>
        <w:t>。</w:t>
      </w:r>
      <w:r>
        <w:rPr>
          <w:rFonts w:hint="eastAsia" w:ascii="仿宋_GB2312" w:hAnsi="仿宋_GB2312" w:eastAsia="仿宋_GB2312" w:cs="仿宋_GB2312"/>
          <w:sz w:val="32"/>
          <w:szCs w:val="32"/>
        </w:rPr>
        <w:t>用好“两区”开放政策，提高招商国际化水平，推动更多外资项目和优质国际资源落地发展，加快形成一批制度创新案例。积极承办国际化交流会议等品牌活动，健全媒体宣传矩阵，讲好副中心故事，提升国际影响力。</w:t>
      </w:r>
    </w:p>
    <w:p>
      <w:pPr>
        <w:pStyle w:val="18"/>
        <w:spacing w:after="0" w:line="560" w:lineRule="exact"/>
        <w:ind w:firstLine="640" w:firstLineChars="200"/>
        <w:rPr>
          <w:rFonts w:ascii="黑体" w:hAnsi="黑体" w:eastAsia="黑体" w:cs="黑体"/>
          <w:sz w:val="32"/>
          <w:szCs w:val="32"/>
        </w:rPr>
      </w:pPr>
      <w:r>
        <w:rPr>
          <w:rFonts w:hint="eastAsia" w:ascii="黑体" w:hAnsi="黑体" w:eastAsia="黑体" w:cs="黑体"/>
          <w:sz w:val="32"/>
          <w:szCs w:val="32"/>
        </w:rPr>
        <w:t>八、坚持以实笃行，全面加强政府自身建设</w:t>
      </w:r>
    </w:p>
    <w:p>
      <w:pPr>
        <w:pStyle w:val="18"/>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新的起点对政府工作提出了新的更高要求，完成今年目标任务，确保“十五五”开好局、起好步，要把政府自身建设得更加坚强有力。</w:t>
      </w:r>
      <w:r>
        <w:rPr>
          <w:rFonts w:hint="eastAsia" w:ascii="仿宋_GB2312" w:hAnsi="仿宋_GB2312" w:eastAsia="仿宋_GB2312" w:cs="仿宋_GB2312"/>
          <w:b w:val="0"/>
          <w:bCs w:val="0"/>
          <w:sz w:val="32"/>
          <w:szCs w:val="32"/>
        </w:rPr>
        <w:t>坚定不移加强政治建设。</w:t>
      </w:r>
      <w:r>
        <w:rPr>
          <w:rFonts w:hint="eastAsia" w:ascii="仿宋_GB2312" w:hAnsi="仿宋_GB2312" w:eastAsia="仿宋_GB2312" w:cs="仿宋_GB2312"/>
          <w:sz w:val="32"/>
          <w:szCs w:val="32"/>
        </w:rPr>
        <w:t>牢记“看北京首先要从政治上看”，坚定拥护“两个确立”、坚决做到“两个维护”，始终坚持把党的领导贯穿政府工作各方面全过程，深入贯彻党中央及市委市政府、区委各项决策部署。以首善标准抓好中央巡视、中央生态环保督察、中央安全生产考核巡查等反馈问题整改。</w:t>
      </w:r>
      <w:r>
        <w:rPr>
          <w:rFonts w:hint="eastAsia" w:ascii="仿宋_GB2312" w:hAnsi="仿宋_GB2312" w:eastAsia="仿宋_GB2312" w:cs="仿宋_GB2312"/>
          <w:b w:val="0"/>
          <w:bCs w:val="0"/>
          <w:sz w:val="32"/>
          <w:szCs w:val="32"/>
        </w:rPr>
        <w:t>坚持依法行政。</w:t>
      </w:r>
      <w:r>
        <w:rPr>
          <w:rFonts w:hint="eastAsia" w:ascii="仿宋_GB2312" w:hAnsi="仿宋_GB2312" w:eastAsia="仿宋_GB2312" w:cs="仿宋_GB2312"/>
          <w:sz w:val="32"/>
          <w:szCs w:val="32"/>
        </w:rPr>
        <w:t>自觉接受人大法律监督、工作监督和政协民主监督，办好市区两级人大代表建议和政协委员提案。</w:t>
      </w:r>
      <w:bookmarkStart w:id="53" w:name="OLE_LINK5"/>
      <w:r>
        <w:rPr>
          <w:rFonts w:hint="eastAsia" w:ascii="仿宋_GB2312" w:hAnsi="仿宋_GB2312" w:eastAsia="仿宋_GB2312" w:cs="仿宋_GB2312"/>
          <w:sz w:val="32"/>
          <w:szCs w:val="32"/>
        </w:rPr>
        <w:t>持续巩固全国法治政府建设示范区成果，严格规范公正文明执法，扎实推进“九五”普法。</w:t>
      </w:r>
      <w:bookmarkEnd w:id="53"/>
      <w:r>
        <w:rPr>
          <w:rFonts w:hint="eastAsia" w:ascii="仿宋_GB2312" w:hAnsi="仿宋_GB2312" w:eastAsia="仿宋_GB2312" w:cs="仿宋_GB2312"/>
          <w:b w:val="0"/>
          <w:bCs w:val="0"/>
          <w:sz w:val="32"/>
          <w:szCs w:val="32"/>
        </w:rPr>
        <w:t>持续提升政府效能。</w:t>
      </w:r>
      <w:r>
        <w:rPr>
          <w:rFonts w:hint="eastAsia" w:ascii="仿宋_GB2312" w:hAnsi="仿宋_GB2312" w:eastAsia="仿宋_GB2312" w:cs="仿宋_GB2312"/>
          <w:sz w:val="32"/>
          <w:szCs w:val="32"/>
        </w:rPr>
        <w:t>坚持政府过紧日子，继续严控一般性支出。强化重实干重实绩的用人导向，充分激发干部队伍干事创业的内生动力。</w:t>
      </w:r>
      <w:r>
        <w:rPr>
          <w:rFonts w:hint="eastAsia" w:ascii="仿宋_GB2312" w:hAnsi="仿宋_GB2312" w:eastAsia="仿宋_GB2312" w:cs="仿宋_GB2312"/>
          <w:b w:val="0"/>
          <w:bCs w:val="0"/>
          <w:sz w:val="32"/>
          <w:szCs w:val="32"/>
        </w:rPr>
        <w:t>加强作风建设。</w:t>
      </w:r>
      <w:r>
        <w:rPr>
          <w:rFonts w:hint="eastAsia" w:ascii="仿宋_GB2312" w:hAnsi="仿宋_GB2312" w:eastAsia="仿宋_GB2312" w:cs="仿宋_GB2312"/>
          <w:sz w:val="32"/>
          <w:szCs w:val="32"/>
        </w:rPr>
        <w:t>巩固拓展深入贯彻中央八项规定精神学习教育成果，坚定不移推进政府系统全面从严治党。持之以恒纠“四风”、树新风，推进基层减负。坚持不敢腐、不能腐、不想腐一体推进，全力营造风清气正的政治生态。</w:t>
      </w:r>
    </w:p>
    <w:p>
      <w:pPr>
        <w:pStyle w:val="18"/>
        <w:spacing w:after="0" w:line="560" w:lineRule="exact"/>
        <w:ind w:firstLine="640" w:firstLineChars="200"/>
        <w:rPr>
          <w:sz w:val="32"/>
          <w:szCs w:val="32"/>
        </w:rPr>
      </w:pPr>
      <w:r>
        <w:rPr>
          <w:rFonts w:hint="eastAsia" w:ascii="仿宋_GB2312" w:hAnsi="仿宋_GB2312" w:eastAsia="仿宋_GB2312" w:cs="仿宋_GB2312"/>
          <w:sz w:val="32"/>
          <w:szCs w:val="32"/>
        </w:rPr>
        <w:t>各位代表！征程万里风正劲，重任千钧再扬帆。让我们更加紧密地团结在以习近平同志为核心的党中央周围，在市委市政府和区委的坚强领导下，以只争朝夕、永不懈怠的奋斗精神，凝聚勇往直前、团结奋进的磅礴力量，乘势而上、锐意进取，为打造中国式现代化进程中的城市发展样板而努力奋斗！</w:t>
      </w:r>
    </w:p>
    <w:p>
      <w:pPr>
        <w:spacing w:line="560" w:lineRule="exact"/>
        <w:rPr>
          <w:sz w:val="32"/>
          <w:szCs w:val="32"/>
        </w:rPr>
      </w:pPr>
    </w:p>
    <w:p>
      <w:pPr>
        <w:spacing w:line="7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2"/>
          <w:szCs w:val="32"/>
        </w:rPr>
        <w:br w:type="page"/>
      </w:r>
      <w:r>
        <w:rPr>
          <w:rFonts w:hint="eastAsia" w:ascii="方正小标宋简体" w:hAnsi="方正小标宋简体" w:eastAsia="方正小标宋简体" w:cs="方正小标宋简体"/>
          <w:sz w:val="44"/>
          <w:szCs w:val="44"/>
        </w:rPr>
        <w:t>名词解释</w:t>
      </w:r>
    </w:p>
    <w:p>
      <w:pPr>
        <w:pStyle w:val="7"/>
        <w:spacing w:line="560" w:lineRule="exact"/>
        <w:ind w:firstLine="0" w:firstLineChars="0"/>
        <w:jc w:val="center"/>
        <w:rPr>
          <w:rFonts w:ascii="仿宋_GB2312" w:hAnsi="仿宋_GB2312" w:cs="仿宋_GB2312"/>
          <w:sz w:val="32"/>
          <w:szCs w:val="32"/>
        </w:rPr>
      </w:pPr>
      <w:r>
        <w:rPr>
          <w:rFonts w:hint="eastAsia" w:ascii="仿宋_GB2312" w:hAnsi="仿宋_GB2312" w:cs="仿宋_GB2312"/>
          <w:sz w:val="32"/>
          <w:szCs w:val="32"/>
        </w:rPr>
        <w:t>（按在报告中出现的先后顺序排列）</w:t>
      </w:r>
    </w:p>
    <w:p>
      <w:pPr>
        <w:pStyle w:val="7"/>
        <w:spacing w:line="560" w:lineRule="exact"/>
        <w:ind w:firstLine="0" w:firstLineChars="0"/>
        <w:jc w:val="center"/>
        <w:rPr>
          <w:rFonts w:ascii="仿宋_GB2312" w:hAnsi="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rPr>
        <w:t>1.“百千工程”建设：</w:t>
      </w:r>
      <w:r>
        <w:rPr>
          <w:rFonts w:hint="eastAsia" w:ascii="仿宋_GB2312" w:hAnsi="仿宋_GB2312" w:eastAsia="仿宋_GB2312" w:cs="仿宋_GB2312"/>
          <w:sz w:val="32"/>
          <w:szCs w:val="32"/>
        </w:rPr>
        <w:t>“百村示范、千村振兴”工程的简称。北京市深入学习运用“千万工程”经验，在巩固提升“百村示范、千村整治”工程成果的基础上，开展新一轮“百村示范、千村振兴”工程，从以人居环境整治为主向促进乡村全面振兴迭代升级。</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rPr>
        <w:t>2.“伏羲农场”：</w:t>
      </w:r>
      <w:r>
        <w:rPr>
          <w:rFonts w:hint="eastAsia" w:ascii="仿宋_GB2312" w:hAnsi="仿宋_GB2312" w:eastAsia="仿宋_GB2312" w:cs="仿宋_GB2312"/>
          <w:sz w:val="32"/>
          <w:szCs w:val="32"/>
        </w:rPr>
        <w:t>北京运河惠农农业科技有限公司与中国科学院智能农业机械装备工程实验室合作建设的智慧农业项目，致力于构建全链条智能化现代农耕体系。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rPr>
        <w:t>3.“1+1+N”产业政策体系：</w:t>
      </w:r>
      <w:r>
        <w:rPr>
          <w:rFonts w:hint="eastAsia" w:ascii="仿宋_GB2312" w:hAnsi="仿宋_GB2312" w:eastAsia="仿宋_GB2312" w:cs="仿宋_GB2312"/>
          <w:sz w:val="32"/>
          <w:szCs w:val="32"/>
        </w:rPr>
        <w:t>以《关于加快推进北京城市副中心产业高质量发展的若干措施》为纲领，以《全面打造“三最”营商品牌助力北京城市副中心高质量发展实施方案》为服务保障，N项产业配套细则为补充的产业政策体系。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rPr>
        <w:t>4.“运河上的通州”文旅品牌：</w:t>
      </w:r>
      <w:r>
        <w:rPr>
          <w:rFonts w:hint="eastAsia" w:ascii="仿宋_GB2312" w:hAnsi="仿宋_GB2312" w:eastAsia="仿宋_GB2312" w:cs="仿宋_GB2312"/>
          <w:sz w:val="32"/>
          <w:szCs w:val="32"/>
        </w:rPr>
        <w:t>北京城市副中心着力打造并全面打响的文旅品牌，旨在依托大运河历史文化底蕴，推动文商旅体农融合发展，打造世界级旅游目的地。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rPr>
        <w:t>5.“秒接速办”服务品牌：</w:t>
      </w:r>
      <w:r>
        <w:rPr>
          <w:rFonts w:hint="eastAsia" w:ascii="仿宋_GB2312" w:hAnsi="仿宋_GB2312" w:eastAsia="仿宋_GB2312" w:cs="仿宋_GB2312"/>
          <w:sz w:val="32"/>
          <w:szCs w:val="32"/>
        </w:rPr>
        <w:t>在接诉即办工作中，以“1秒钟接单、1分钟派单、1小时处置并完成回复”为工作目标，提升服务效率，解决群众急难愁盼的基层服务品牌。</w:t>
      </w:r>
    </w:p>
    <w:p>
      <w:pPr>
        <w:pStyle w:val="7"/>
        <w:spacing w:line="560" w:lineRule="exact"/>
        <w:ind w:firstLine="763"/>
        <w:rPr>
          <w:rFonts w:ascii="仿宋_GB2312" w:hAnsi="仿宋_GB2312" w:cs="仿宋_GB2312"/>
          <w:sz w:val="32"/>
          <w:szCs w:val="32"/>
        </w:rPr>
      </w:pPr>
      <w:r>
        <w:rPr>
          <w:rFonts w:hint="eastAsia" w:ascii="仿宋_GB2312" w:hAnsi="仿宋_GB2312" w:cs="仿宋_GB2312"/>
          <w:b w:val="0"/>
          <w:bCs w:val="0"/>
          <w:sz w:val="32"/>
          <w:szCs w:val="32"/>
        </w:rPr>
        <w:t>6.“玉见骑士”治理品牌：</w:t>
      </w:r>
      <w:r>
        <w:rPr>
          <w:rFonts w:hint="eastAsia" w:ascii="仿宋_GB2312" w:hAnsi="仿宋_GB2312" w:cs="仿宋_GB2312"/>
          <w:sz w:val="32"/>
          <w:szCs w:val="32"/>
        </w:rPr>
        <w:t>玉桥街道服务、动员辖区快递外卖员等新就业群体，依托“玉见”平台，发挥文明引导、隐患排查等重要作用的党建工作品牌，获评北京市新兴领域100个“党建强 发展强”党建创新品牌、首都最佳志愿服务项目。</w:t>
      </w:r>
    </w:p>
    <w:p>
      <w:pPr>
        <w:spacing w:line="560" w:lineRule="exac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7.两个“关键小事”：</w:t>
      </w:r>
      <w:r>
        <w:rPr>
          <w:rFonts w:hint="eastAsia" w:ascii="仿宋_GB2312" w:hAnsi="仿宋_GB2312" w:eastAsia="仿宋_GB2312" w:cs="仿宋_GB2312"/>
          <w:sz w:val="32"/>
          <w:szCs w:val="32"/>
        </w:rPr>
        <w:t>垃圾分类和物业管理。</w:t>
      </w:r>
    </w:p>
    <w:p>
      <w:pPr>
        <w:spacing w:line="560" w:lineRule="exac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bidi="ar"/>
        </w:rPr>
        <w:t>8.</w:t>
      </w:r>
      <w:r>
        <w:rPr>
          <w:rFonts w:hint="eastAsia" w:ascii="仿宋_GB2312" w:hAnsi="仿宋_GB2312" w:eastAsia="仿宋_GB2312" w:cs="仿宋_GB2312"/>
          <w:b w:val="0"/>
          <w:bCs w:val="0"/>
          <w:sz w:val="32"/>
          <w:szCs w:val="32"/>
        </w:rPr>
        <w:t>数智北京创新中心：</w:t>
      </w:r>
      <w:r>
        <w:rPr>
          <w:rFonts w:hint="eastAsia" w:ascii="仿宋_GB2312" w:hAnsi="仿宋_GB2312" w:eastAsia="仿宋_GB2312" w:cs="仿宋_GB2312"/>
          <w:sz w:val="32"/>
          <w:szCs w:val="32"/>
        </w:rPr>
        <w:t>由北京市政务服务和数据管理局、通州区人民政府等共同建设的创新机构，聚焦数据创新、评测验证、创新孵化等核心业务，定位为智慧城市资源集聚区、数据要素创新策源地、城市数智化建设新范式和数字产业生态构建新引擎。</w:t>
      </w:r>
    </w:p>
    <w:p>
      <w:pPr>
        <w:spacing w:line="560" w:lineRule="exact"/>
        <w:ind w:firstLine="640" w:firstLineChars="200"/>
        <w:rPr>
          <w:rFonts w:ascii="仿宋_GB2312" w:hAnsi="仿宋_GB2312" w:eastAsia="仿宋_GB2312" w:cs="仿宋_GB2312"/>
          <w:b w:val="0"/>
          <w:bCs w:val="0"/>
          <w:sz w:val="32"/>
          <w:szCs w:val="32"/>
          <w:lang w:bidi="ar"/>
        </w:rPr>
      </w:pPr>
      <w:r>
        <w:rPr>
          <w:rFonts w:hint="eastAsia" w:ascii="仿宋_GB2312" w:hAnsi="仿宋_GB2312" w:eastAsia="仿宋_GB2312" w:cs="仿宋_GB2312"/>
          <w:b w:val="0"/>
          <w:bCs w:val="0"/>
          <w:sz w:val="32"/>
          <w:szCs w:val="32"/>
          <w:lang w:bidi="ar"/>
        </w:rPr>
        <w:t>9.四大慢性病一体化管理体系：</w:t>
      </w:r>
      <w:r>
        <w:rPr>
          <w:rFonts w:hint="eastAsia" w:ascii="仿宋_GB2312" w:hAnsi="仿宋_GB2312" w:eastAsia="仿宋_GB2312" w:cs="仿宋_GB2312"/>
          <w:sz w:val="32"/>
          <w:szCs w:val="32"/>
          <w:lang w:bidi="ar"/>
        </w:rPr>
        <w:t>聚焦心脑血管疾病、慢性呼吸系统疾病、恶性肿瘤（癌症）、糖尿病四大重点慢性病防治，建立的“防筛管救治康”六位一体慢性病全流程防治体系。</w:t>
      </w:r>
    </w:p>
    <w:p>
      <w:pPr>
        <w:spacing w:line="560" w:lineRule="exact"/>
        <w:ind w:firstLine="640" w:firstLineChars="200"/>
        <w:rPr>
          <w:rFonts w:ascii="仿宋_GB2312" w:hAnsi="仿宋_GB2312" w:eastAsia="仿宋_GB2312" w:cs="仿宋_GB2312"/>
          <w:b w:val="0"/>
          <w:bCs w:val="0"/>
          <w:sz w:val="32"/>
          <w:szCs w:val="32"/>
          <w:lang w:bidi="ar"/>
        </w:rPr>
      </w:pPr>
      <w:r>
        <w:rPr>
          <w:rFonts w:hint="eastAsia" w:ascii="仿宋_GB2312" w:hAnsi="仿宋_GB2312" w:eastAsia="仿宋_GB2312" w:cs="仿宋_GB2312"/>
          <w:b w:val="0"/>
          <w:bCs w:val="0"/>
          <w:sz w:val="32"/>
          <w:szCs w:val="32"/>
        </w:rPr>
        <w:t>10.</w:t>
      </w:r>
      <w:r>
        <w:rPr>
          <w:rFonts w:hint="eastAsia" w:ascii="仿宋_GB2312" w:hAnsi="仿宋_GB2312" w:eastAsia="仿宋_GB2312" w:cs="仿宋_GB2312"/>
          <w:b w:val="0"/>
          <w:bCs w:val="0"/>
          <w:sz w:val="32"/>
          <w:szCs w:val="32"/>
          <w:lang w:bidi="ar"/>
        </w:rPr>
        <w:t>“通通有解”多元解纷品牌：</w:t>
      </w:r>
      <w:r>
        <w:rPr>
          <w:rFonts w:hint="eastAsia" w:ascii="仿宋_GB2312" w:hAnsi="仿宋_GB2312" w:eastAsia="仿宋_GB2312" w:cs="仿宋_GB2312"/>
          <w:sz w:val="32"/>
          <w:szCs w:val="32"/>
          <w:lang w:bidi="ar"/>
        </w:rPr>
        <w:t>矛盾化解品牌，通过创建一个平台、组建一支队伍、构建一套机制，横向联动公安局、检察院、法院、司法局及相关行政单位调解部门，纵向贯通各街道乡镇综治中心，建立三级纵向调解模式（一级为协商和解，二级为多元调解，三级为司法调解），实现矛盾纠纷调解、工作责任分解、信访难题破解、群众心事疏解。</w:t>
      </w:r>
    </w:p>
    <w:p>
      <w:pPr>
        <w:spacing w:line="560" w:lineRule="exac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11.“物业城市”模式：</w:t>
      </w:r>
      <w:r>
        <w:rPr>
          <w:rFonts w:hint="eastAsia" w:ascii="仿宋_GB2312" w:hAnsi="仿宋_GB2312" w:eastAsia="仿宋_GB2312" w:cs="仿宋_GB2312"/>
          <w:sz w:val="32"/>
          <w:szCs w:val="32"/>
        </w:rPr>
        <w:t>推进城市管理服务体制机制改革的一种创新，将物联网、人工智能等信息技术、物业管理的系统性思维和流程管理能力与城市管理服务相融合，提升城市管理一体化、标准化、精细化、智能化水平。</w:t>
      </w:r>
    </w:p>
    <w:p>
      <w:pPr>
        <w:spacing w:line="560" w:lineRule="exac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12.不动产信托财产登记：</w:t>
      </w:r>
      <w:r>
        <w:rPr>
          <w:rFonts w:hint="eastAsia" w:ascii="仿宋_GB2312" w:hAnsi="仿宋_GB2312" w:eastAsia="仿宋_GB2312" w:cs="仿宋_GB2312"/>
          <w:sz w:val="32"/>
          <w:szCs w:val="32"/>
        </w:rPr>
        <w:t>委托人将国有土地上已取得合法不动产权证书的不动产相关权利转移给信托机构，依法向不动产登记机构申请将信托财产权利和其他法定事项记载于不动产登记簿的行为。2024年12月《关于做好不动产信托财产登记工作的通知（试行）》发布，标志着北京在全国率先开展不动产信托财产登记试点。</w:t>
      </w:r>
    </w:p>
    <w:p>
      <w:pPr>
        <w:spacing w:line="560" w:lineRule="exac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13.股权信托财产登记：</w:t>
      </w:r>
      <w:r>
        <w:rPr>
          <w:rFonts w:hint="eastAsia" w:ascii="仿宋_GB2312" w:hAnsi="仿宋_GB2312" w:eastAsia="仿宋_GB2312" w:cs="仿宋_GB2312"/>
          <w:sz w:val="32"/>
          <w:szCs w:val="32"/>
        </w:rPr>
        <w:t>委托人将其合法持有的股权转移给信托机构或者委托信托机构出资入股，依法向公司登记机关申请股东变更登记或公司设立登记并对信托财产权利进行公示的行为。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rPr>
        <w:t>14.“优化文化服务供给模式和协同治理体系”案例：</w:t>
      </w:r>
      <w:r>
        <w:rPr>
          <w:rFonts w:hint="eastAsia" w:ascii="仿宋_GB2312" w:hAnsi="仿宋_GB2312" w:eastAsia="仿宋_GB2312" w:cs="仿宋_GB2312"/>
          <w:sz w:val="32"/>
          <w:szCs w:val="32"/>
        </w:rPr>
        <w:t>在优化营业性演出许可审批方面，北京将从事经营性演出活动审批权限下放至城市副中心管委会，制定演出申报指南、实施演出内容预审、放宽演出申报条件、实施大型营业性演出活动一件事集成办理等，实现了审批服务优化。</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rPr>
        <w:t>15.处理好“三个关系”：</w:t>
      </w:r>
      <w:r>
        <w:rPr>
          <w:rFonts w:hint="eastAsia" w:ascii="仿宋_GB2312" w:hAnsi="仿宋_GB2312" w:eastAsia="仿宋_GB2312" w:cs="仿宋_GB2312"/>
          <w:sz w:val="32"/>
          <w:szCs w:val="32"/>
        </w:rPr>
        <w:t>2023年5月12日，习近平总书记在深入推进京津冀协同发展座谈会上提出，北京城市副中心建设</w:t>
      </w:r>
      <w:r>
        <w:rPr>
          <w:rFonts w:hint="eastAsia" w:ascii="仿宋_GB2312" w:hAnsi="仿宋_GB2312" w:eastAsia="仿宋_GB2312" w:cs="仿宋_GB2312"/>
          <w:b w:val="0"/>
          <w:bCs w:val="0"/>
          <w:sz w:val="32"/>
          <w:szCs w:val="32"/>
        </w:rPr>
        <w:t>要处理好同雄安新区的关系</w:t>
      </w:r>
      <w:r>
        <w:rPr>
          <w:rFonts w:hint="eastAsia" w:ascii="仿宋_GB2312" w:hAnsi="仿宋_GB2312" w:eastAsia="仿宋_GB2312" w:cs="仿宋_GB2312"/>
          <w:sz w:val="32"/>
          <w:szCs w:val="32"/>
        </w:rPr>
        <w:t>，“两翼”要协同发力，有效解决北京“大城市病”问题。</w:t>
      </w:r>
      <w:r>
        <w:rPr>
          <w:rFonts w:hint="eastAsia" w:ascii="仿宋_GB2312" w:hAnsi="仿宋_GB2312" w:eastAsia="仿宋_GB2312" w:cs="仿宋_GB2312"/>
          <w:b w:val="0"/>
          <w:bCs w:val="0"/>
          <w:sz w:val="32"/>
          <w:szCs w:val="32"/>
        </w:rPr>
        <w:t>要处理好同中心城区的关系</w:t>
      </w:r>
      <w:r>
        <w:rPr>
          <w:rFonts w:hint="eastAsia" w:ascii="仿宋_GB2312" w:hAnsi="仿宋_GB2312" w:eastAsia="仿宋_GB2312" w:cs="仿宋_GB2312"/>
          <w:sz w:val="32"/>
          <w:szCs w:val="32"/>
        </w:rPr>
        <w:t>，实现以副辅主、主副共兴。要加快推进第二批北京市属行政企事业单位迁入副中心，腾出的空间主要用于加强对首都核心功能的服务保障。</w:t>
      </w:r>
      <w:r>
        <w:rPr>
          <w:rFonts w:hint="eastAsia" w:ascii="仿宋_GB2312" w:hAnsi="仿宋_GB2312" w:eastAsia="仿宋_GB2312" w:cs="仿宋_GB2312"/>
          <w:b w:val="0"/>
          <w:bCs w:val="0"/>
          <w:sz w:val="32"/>
          <w:szCs w:val="32"/>
        </w:rPr>
        <w:t>要处理好同周边地区的关系</w:t>
      </w:r>
      <w:r>
        <w:rPr>
          <w:rFonts w:hint="eastAsia" w:ascii="仿宋_GB2312" w:hAnsi="仿宋_GB2312" w:eastAsia="仿宋_GB2312" w:cs="仿宋_GB2312"/>
          <w:sz w:val="32"/>
          <w:szCs w:val="32"/>
        </w:rPr>
        <w:t>，带动周边交界地区高质量发展。</w:t>
      </w:r>
    </w:p>
    <w:p>
      <w:pPr>
        <w:spacing w:line="560" w:lineRule="exac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16.“一带一轴多组团”空间格局：“一带”</w:t>
      </w:r>
      <w:r>
        <w:rPr>
          <w:rFonts w:hint="eastAsia" w:ascii="仿宋_GB2312" w:hAnsi="仿宋_GB2312" w:eastAsia="仿宋_GB2312" w:cs="仿宋_GB2312"/>
          <w:sz w:val="32"/>
          <w:szCs w:val="32"/>
        </w:rPr>
        <w:t>依托大运河构建城市水绿空间格局，形成一条蓝绿交织的生态文明带；</w:t>
      </w:r>
      <w:r>
        <w:rPr>
          <w:rFonts w:hint="eastAsia" w:ascii="仿宋_GB2312" w:hAnsi="仿宋_GB2312" w:eastAsia="仿宋_GB2312" w:cs="仿宋_GB2312"/>
          <w:b w:val="0"/>
          <w:bCs w:val="0"/>
          <w:sz w:val="32"/>
          <w:szCs w:val="32"/>
        </w:rPr>
        <w:t>“一轴”</w:t>
      </w:r>
      <w:r>
        <w:rPr>
          <w:rFonts w:hint="eastAsia" w:ascii="仿宋_GB2312" w:hAnsi="仿宋_GB2312" w:eastAsia="仿宋_GB2312" w:cs="仿宋_GB2312"/>
          <w:sz w:val="32"/>
          <w:szCs w:val="32"/>
        </w:rPr>
        <w:t>依托六环路建设功能融合活力地区，形成一条清新明亮的创新发展轴；</w:t>
      </w:r>
      <w:r>
        <w:rPr>
          <w:rFonts w:hint="eastAsia" w:ascii="仿宋_GB2312" w:hAnsi="仿宋_GB2312" w:eastAsia="仿宋_GB2312" w:cs="仿宋_GB2312"/>
          <w:b w:val="0"/>
          <w:bCs w:val="0"/>
          <w:sz w:val="32"/>
          <w:szCs w:val="32"/>
        </w:rPr>
        <w:t>“多组团”</w:t>
      </w:r>
      <w:r>
        <w:rPr>
          <w:rFonts w:hint="eastAsia" w:ascii="仿宋_GB2312" w:hAnsi="仿宋_GB2312" w:eastAsia="仿宋_GB2312" w:cs="仿宋_GB2312"/>
          <w:sz w:val="32"/>
          <w:szCs w:val="32"/>
        </w:rPr>
        <w:t>依托水网、绿网、路网，形成12个民生共享组团和36个美丽家园（街区）。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rPr>
        <w:t>17.“小巨人”企业</w:t>
      </w:r>
      <w:r>
        <w:rPr>
          <w:rFonts w:hint="eastAsia" w:ascii="仿宋_GB2312" w:hAnsi="仿宋_GB2312" w:eastAsia="仿宋_GB2312" w:cs="仿宋_GB2312"/>
          <w:sz w:val="32"/>
          <w:szCs w:val="32"/>
        </w:rPr>
        <w:t>：国家专精特新“小巨人”企业，指那些处于产业基础核心领域、产业链关键环节，创新能力突出、掌握核心技术，在细分市场占有率高、质量效益好的优质核心中小企业。</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b w:val="0"/>
          <w:bCs w:val="0"/>
          <w:sz w:val="32"/>
          <w:szCs w:val="32"/>
        </w:rPr>
        <w:t>18.“</w:t>
      </w:r>
      <w:r>
        <w:rPr>
          <w:rFonts w:hint="eastAsia" w:ascii="仿宋_GB2312" w:hAnsi="仿宋_GB2312" w:eastAsia="仿宋_GB2312" w:cs="仿宋_GB2312"/>
          <w:b w:val="0"/>
          <w:bCs w:val="0"/>
          <w:sz w:val="32"/>
          <w:szCs w:val="32"/>
        </w:rPr>
        <w:t>3+4+1”顶层设计体系：“</w:t>
      </w:r>
      <w:r>
        <w:rPr>
          <w:rFonts w:ascii="仿宋_GB2312" w:hAnsi="仿宋_GB2312" w:eastAsia="仿宋_GB2312" w:cs="仿宋_GB2312"/>
          <w:b w:val="0"/>
          <w:bCs w:val="0"/>
          <w:sz w:val="32"/>
          <w:szCs w:val="32"/>
        </w:rPr>
        <w:t>3</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rPr>
        <w:t>指《北京城市总体规划</w:t>
      </w:r>
      <w:bookmarkStart w:id="54" w:name="OLE_LINK15"/>
      <w:bookmarkStart w:id="55" w:name="OLE_LINK14"/>
      <w:r>
        <w:rPr>
          <w:rFonts w:hint="eastAsia" w:ascii="仿宋_GB2312" w:hAnsi="仿宋_GB2312" w:eastAsia="仿宋_GB2312" w:cs="仿宋_GB2312"/>
          <w:sz w:val="32"/>
          <w:szCs w:val="32"/>
        </w:rPr>
        <w:t>（</w:t>
      </w:r>
      <w:bookmarkEnd w:id="54"/>
      <w:bookmarkEnd w:id="55"/>
      <w:r>
        <w:rPr>
          <w:rFonts w:ascii="仿宋_GB2312" w:hAnsi="仿宋_GB2312" w:eastAsia="仿宋_GB2312" w:cs="仿宋_GB2312"/>
          <w:sz w:val="32"/>
          <w:szCs w:val="32"/>
        </w:rPr>
        <w:t>2016年</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2035年</w:t>
      </w:r>
      <w:bookmarkStart w:id="56" w:name="OLE_LINK12"/>
      <w:bookmarkStart w:id="57" w:name="OLE_LINK13"/>
      <w:r>
        <w:rPr>
          <w:rFonts w:hint="eastAsia" w:ascii="仿宋_GB2312" w:hAnsi="仿宋_GB2312" w:eastAsia="仿宋_GB2312" w:cs="仿宋_GB2312"/>
          <w:sz w:val="32"/>
          <w:szCs w:val="32"/>
        </w:rPr>
        <w:t>）</w:t>
      </w:r>
      <w:bookmarkEnd w:id="56"/>
      <w:bookmarkEnd w:id="57"/>
      <w:r>
        <w:rPr>
          <w:rFonts w:ascii="仿宋_GB2312" w:hAnsi="仿宋_GB2312" w:eastAsia="仿宋_GB2312" w:cs="仿宋_GB2312"/>
          <w:sz w:val="32"/>
          <w:szCs w:val="32"/>
        </w:rPr>
        <w:t>》</w:t>
      </w:r>
      <w:bookmarkStart w:id="58" w:name="OLE_LINK7"/>
      <w:r>
        <w:rPr>
          <w:rFonts w:hint="eastAsia" w:ascii="仿宋_GB2312" w:hAnsi="仿宋_GB2312" w:eastAsia="仿宋_GB2312" w:cs="仿宋_GB2312"/>
          <w:sz w:val="32"/>
          <w:szCs w:val="32"/>
        </w:rPr>
        <w:t>《北京城市副中心控制性详细规划（街区层面）（</w:t>
      </w:r>
      <w:r>
        <w:rPr>
          <w:rFonts w:ascii="仿宋_GB2312" w:hAnsi="仿宋_GB2312" w:eastAsia="仿宋_GB2312" w:cs="仿宋_GB2312"/>
          <w:sz w:val="32"/>
          <w:szCs w:val="32"/>
        </w:rPr>
        <w:t>2016年</w:t>
      </w:r>
      <w:r>
        <w:rPr>
          <w:rFonts w:hint="eastAsia" w:ascii="仿宋_GB2312" w:hAnsi="Courier New" w:eastAsia="仿宋_GB2312" w:cs="仿宋_GB2312"/>
          <w:bCs w:val="0"/>
          <w:sz w:val="32"/>
          <w:szCs w:val="32"/>
          <w:lang w:eastAsia="zh-CN"/>
        </w:rPr>
        <w:t>—</w:t>
      </w:r>
      <w:r>
        <w:rPr>
          <w:rFonts w:ascii="仿宋_GB2312" w:hAnsi="仿宋_GB2312" w:eastAsia="仿宋_GB2312" w:cs="仿宋_GB2312"/>
          <w:sz w:val="32"/>
          <w:szCs w:val="32"/>
        </w:rPr>
        <w:t>2035年）》</w:t>
      </w:r>
      <w:bookmarkEnd w:id="58"/>
      <w:r>
        <w:rPr>
          <w:rFonts w:hint="eastAsia" w:ascii="仿宋_GB2312" w:hAnsi="仿宋_GB2312" w:eastAsia="仿宋_GB2312" w:cs="仿宋_GB2312"/>
          <w:sz w:val="32"/>
          <w:szCs w:val="32"/>
        </w:rPr>
        <w:t>《现代化首都都市圈空间协同（</w:t>
      </w:r>
      <w:r>
        <w:rPr>
          <w:rFonts w:ascii="仿宋_GB2312" w:hAnsi="仿宋_GB2312" w:eastAsia="仿宋_GB2312" w:cs="仿宋_GB2312"/>
          <w:sz w:val="32"/>
          <w:szCs w:val="32"/>
        </w:rPr>
        <w:t>2023</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2035</w:t>
      </w:r>
      <w:r>
        <w:rPr>
          <w:rFonts w:hint="eastAsia" w:ascii="仿宋_GB2312" w:hAnsi="仿宋_GB2312" w:eastAsia="仿宋_GB2312" w:cs="仿宋_GB2312"/>
          <w:sz w:val="32"/>
          <w:szCs w:val="32"/>
        </w:rPr>
        <w:t>年）》；</w:t>
      </w:r>
      <w:r>
        <w:rPr>
          <w:rFonts w:hint="eastAsia" w:ascii="仿宋_GB2312" w:hAnsi="仿宋_GB2312" w:eastAsia="仿宋_GB2312" w:cs="仿宋_GB2312"/>
          <w:b w:val="0"/>
          <w:bCs w:val="0"/>
          <w:sz w:val="32"/>
          <w:szCs w:val="32"/>
        </w:rPr>
        <w:t>“</w:t>
      </w:r>
      <w:r>
        <w:rPr>
          <w:rFonts w:ascii="仿宋_GB2312" w:hAnsi="仿宋_GB2312" w:eastAsia="仿宋_GB2312" w:cs="仿宋_GB2312"/>
          <w:b w:val="0"/>
          <w:bCs w:val="0"/>
          <w:sz w:val="32"/>
          <w:szCs w:val="32"/>
        </w:rPr>
        <w:t>4”</w:t>
      </w:r>
      <w:r>
        <w:rPr>
          <w:rFonts w:hint="eastAsia" w:ascii="仿宋_GB2312" w:hAnsi="仿宋_GB2312" w:eastAsia="仿宋_GB2312" w:cs="仿宋_GB2312"/>
          <w:sz w:val="32"/>
          <w:szCs w:val="32"/>
        </w:rPr>
        <w:t>指《国务院关于支持北京城市副中心高质量发展的意见》《推动北京市通州区与河北省三河、大厂、香河三县市一体化高质量发展总体方案》《北京城市副中心建设国家绿色发展示范区实施方案》《北京城市副中心要素市场化配置综合改革试点实施方案》</w:t>
      </w:r>
      <w:bookmarkStart w:id="59" w:name="OLE_LINK8"/>
      <w:bookmarkStart w:id="60" w:name="OLE_LINK9"/>
      <w:r>
        <w:rPr>
          <w:rFonts w:hint="eastAsia" w:ascii="仿宋_GB2312" w:hAnsi="仿宋_GB2312" w:eastAsia="仿宋_GB2312" w:cs="仿宋_GB2312"/>
          <w:sz w:val="32"/>
          <w:szCs w:val="32"/>
        </w:rPr>
        <w:t>；</w:t>
      </w:r>
      <w:r>
        <w:rPr>
          <w:rFonts w:hint="eastAsia" w:ascii="仿宋_GB2312" w:hAnsi="仿宋_GB2312" w:eastAsia="仿宋_GB2312" w:cs="仿宋_GB2312"/>
          <w:b w:val="0"/>
          <w:sz w:val="32"/>
          <w:szCs w:val="32"/>
        </w:rPr>
        <w:t>“</w:t>
      </w:r>
      <w:bookmarkEnd w:id="59"/>
      <w:bookmarkEnd w:id="60"/>
      <w:r>
        <w:rPr>
          <w:rFonts w:ascii="仿宋_GB2312" w:hAnsi="仿宋_GB2312" w:eastAsia="仿宋_GB2312" w:cs="仿宋_GB2312"/>
          <w:b w:val="0"/>
          <w:sz w:val="32"/>
          <w:szCs w:val="32"/>
        </w:rPr>
        <w:t>1”</w:t>
      </w:r>
      <w:r>
        <w:rPr>
          <w:rFonts w:hint="eastAsia" w:ascii="仿宋_GB2312" w:hAnsi="仿宋_GB2312" w:eastAsia="仿宋_GB2312" w:cs="仿宋_GB2312"/>
          <w:sz w:val="32"/>
          <w:szCs w:val="32"/>
        </w:rPr>
        <w:t>指《北京城市副中心条例》。</w:t>
      </w:r>
    </w:p>
    <w:p>
      <w:pPr>
        <w:spacing w:line="560" w:lineRule="exac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19.“两重”“两新”：</w:t>
      </w:r>
      <w:r>
        <w:rPr>
          <w:rFonts w:hint="eastAsia" w:ascii="仿宋_GB2312" w:hAnsi="仿宋_GB2312" w:eastAsia="仿宋_GB2312" w:cs="仿宋_GB2312"/>
          <w:sz w:val="32"/>
          <w:szCs w:val="32"/>
        </w:rPr>
        <w:t>“两重”指推进国家重大战略实施和重点领域安全能力建设；“两新”指推动新一轮大规模设备更新和消费品以旧换新。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rPr>
        <w:t>20.“三城一区”：</w:t>
      </w:r>
      <w:r>
        <w:rPr>
          <w:rFonts w:hint="eastAsia" w:ascii="仿宋_GB2312" w:hAnsi="仿宋_GB2312" w:eastAsia="仿宋_GB2312" w:cs="仿宋_GB2312"/>
          <w:sz w:val="32"/>
          <w:szCs w:val="32"/>
        </w:rPr>
        <w:t>由中关村科学城、怀柔科学城、未来科学城和北京经济技术开发区构成，是北京建设全国科技创新中心的核心载体。</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rPr>
        <w:t>21.紫光VID网络视听产业园：</w:t>
      </w:r>
      <w:r>
        <w:rPr>
          <w:rFonts w:hint="eastAsia" w:ascii="仿宋_GB2312" w:hAnsi="仿宋_GB2312" w:eastAsia="仿宋_GB2312" w:cs="仿宋_GB2312"/>
          <w:sz w:val="32"/>
          <w:szCs w:val="32"/>
        </w:rPr>
        <w:t>位于运河商务区北部，以万兆网络为技术基座，是以网络视听产业为核心的综合性园区。</w:t>
      </w:r>
    </w:p>
    <w:p>
      <w:pPr>
        <w:spacing w:line="560" w:lineRule="exac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22.惠企政策“免申即享”：</w:t>
      </w:r>
      <w:r>
        <w:rPr>
          <w:rFonts w:hint="eastAsia" w:ascii="仿宋_GB2312" w:hAnsi="仿宋_GB2312" w:eastAsia="仿宋_GB2312" w:cs="仿宋_GB2312"/>
          <w:sz w:val="32"/>
          <w:szCs w:val="32"/>
        </w:rPr>
        <w:t>指通过政府部门简政放权、优化服务、信息共享等方式，实现符合条件的企业和群众免予申报、直接享受政策。</w:t>
      </w:r>
    </w:p>
    <w:p>
      <w:pPr>
        <w:spacing w:line="560" w:lineRule="exac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23.大运河“运上行”水景演艺：</w:t>
      </w:r>
      <w:r>
        <w:rPr>
          <w:rFonts w:hint="eastAsia" w:ascii="仿宋_GB2312" w:hAnsi="仿宋_GB2312" w:eastAsia="仿宋_GB2312" w:cs="仿宋_GB2312"/>
          <w:sz w:val="32"/>
          <w:szCs w:val="32"/>
        </w:rPr>
        <w:t>位于大光楼和运通桥之间的水景演艺项目。以运河文化和漕运文化为主题背景，打造七大演艺节点，旨在重现运河繁华盛景，为游客提供船上戏剧表演+岸边六运图鉴融合的沉浸式游船实景演出体验。</w:t>
      </w:r>
    </w:p>
    <w:p>
      <w:pPr>
        <w:spacing w:line="560" w:lineRule="exac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24.“运河有戏”演艺品牌：</w:t>
      </w:r>
      <w:r>
        <w:rPr>
          <w:rFonts w:hint="eastAsia" w:ascii="仿宋_GB2312" w:hAnsi="仿宋_GB2312" w:eastAsia="仿宋_GB2312" w:cs="仿宋_GB2312"/>
          <w:sz w:val="32"/>
          <w:szCs w:val="32"/>
        </w:rPr>
        <w:t>通州区全面落实北京市“演艺之都”建设和“大戏看北京”工作部署，立足增强城市副中心文化旅游主导功能，创新推出的区域性文化演艺品牌。</w:t>
      </w:r>
    </w:p>
    <w:p>
      <w:pPr>
        <w:spacing w:line="560" w:lineRule="exac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25.“绿牌”工地：</w:t>
      </w:r>
      <w:r>
        <w:rPr>
          <w:rFonts w:hint="eastAsia" w:ascii="仿宋_GB2312" w:hAnsi="仿宋_GB2312" w:eastAsia="仿宋_GB2312" w:cs="仿宋_GB2312"/>
          <w:sz w:val="32"/>
          <w:szCs w:val="32"/>
        </w:rPr>
        <w:t>市住建委联合相关部门建立的扬尘治理认证制度。施工、建设和监理单位对照《建设工程扬尘治理自查表》自查符合要求后，向属地申报并通过公开评审通过后的工程，可享受减少执法检查频次等政策。</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rPr>
        <w:t>26.P+R新型智慧停车场：</w:t>
      </w:r>
      <w:r>
        <w:rPr>
          <w:rFonts w:hint="eastAsia" w:ascii="仿宋_GB2312" w:hAnsi="仿宋_GB2312" w:eastAsia="仿宋_GB2312" w:cs="仿宋_GB2312"/>
          <w:sz w:val="32"/>
          <w:szCs w:val="32"/>
        </w:rPr>
        <w:t>即换乘停车场，指在城市中心区外围的轨道交通站点、公交首末站或高速公路旁设置的停车设施，为私人汽车等提供停放空间，并通过降低停车收费，引导驾驶者换乘公共交通进入城市核心区，以减少中心城区交通压力与环境污染。</w:t>
      </w:r>
    </w:p>
    <w:p>
      <w:pPr>
        <w:pStyle w:val="7"/>
        <w:spacing w:line="560" w:lineRule="exact"/>
        <w:ind w:firstLine="763"/>
        <w:rPr>
          <w:sz w:val="32"/>
          <w:szCs w:val="32"/>
        </w:rPr>
      </w:pPr>
      <w:r>
        <w:rPr>
          <w:rFonts w:hint="eastAsia" w:ascii="仿宋_GB2312" w:hAnsi="仿宋_GB2312" w:cs="仿宋_GB2312"/>
          <w:b w:val="0"/>
          <w:bCs w:val="0"/>
          <w:sz w:val="32"/>
          <w:szCs w:val="32"/>
        </w:rPr>
        <w:t>27.“双智”城市：</w:t>
      </w:r>
      <w:r>
        <w:rPr>
          <w:rFonts w:hint="eastAsia" w:ascii="仿宋_GB2312" w:hAnsi="仿宋_GB2312" w:cs="仿宋_GB2312"/>
          <w:sz w:val="32"/>
          <w:szCs w:val="32"/>
        </w:rPr>
        <w:t>指智慧城市基础设施与智能网联汽车协同发展的试点城市。 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28.“运河思政”品牌：</w:t>
      </w:r>
      <w:r>
        <w:rPr>
          <w:rFonts w:hint="eastAsia" w:ascii="仿宋_GB2312" w:hAnsi="仿宋_GB2312" w:eastAsia="仿宋_GB2312" w:cs="仿宋_GB2312"/>
          <w:sz w:val="32"/>
          <w:szCs w:val="32"/>
        </w:rPr>
        <w:t>通州区打造的特色育人品牌。以“正本清源、启智润心、融通四海、潮涌新生”为核心内涵，通过开发全学段思政金课、开展特色实践活动，整合多元育人资源，贯通大中小学育人链条，筑牢青少年理想信念之基，是通州落实思政教育一体化改革的创新实践。</w:t>
      </w: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pStyle w:val="12"/>
        <w:keepNext w:val="0"/>
        <w:keepLines w:val="0"/>
        <w:pageBreakBefore w:val="0"/>
        <w:widowControl w:val="0"/>
        <w:kinsoku/>
        <w:wordWrap/>
        <w:overflowPunct/>
        <w:topLinePunct w:val="0"/>
        <w:autoSpaceDE/>
        <w:autoSpaceDN/>
        <w:bidi w:val="0"/>
        <w:adjustRightInd/>
        <w:snapToGrid/>
        <w:spacing w:beforeAutospacing="0" w:afterAutospacing="0" w:line="660" w:lineRule="exact"/>
        <w:ind w:left="0" w:firstLine="0" w:firstLineChars="0"/>
        <w:jc w:val="lef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pacing w:line="600" w:lineRule="exact"/>
        <w:ind w:left="1329" w:leftChars="1" w:hanging="1327" w:hangingChars="632"/>
        <w:textAlignment w:val="auto"/>
        <w:rPr>
          <w:rFonts w:hint="eastAsia" w:ascii="仿宋_GB2312" w:eastAsia="仿宋_GB2312"/>
          <w:color w:val="000000"/>
          <w:sz w:val="28"/>
          <w:szCs w:val="28"/>
        </w:rPr>
      </w:pPr>
      <w:r>
        <w:rPr>
          <w:rFonts w:hint="eastAsia" w:ascii="仿宋_GB2312" w:eastAsia="仿宋_GB2312"/>
          <w:color w:val="00000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86360</wp:posOffset>
                </wp:positionV>
                <wp:extent cx="560070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pt;margin-top:6.8pt;height:0pt;width:441pt;z-index:251659264;mso-width-relative:page;mso-height-relative:page;" filled="f" stroked="t" coordsize="21600,21600" o:gfxdata="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LH3ZAjSAAAABgEAAA8AAAAAAAAAAQAgAAAAOAAAAGRycy9kb3ducmV2LnhtbFBLAQIUABQAAAAI&#10;AIdO4kA5xCPT3QEAAJkDAAAOAAAAAAAAAAEAIAAAADcBAABkcnMvZTJvRG9jLnhtbFBLBQYAAAAA&#10;BgAGAFkBAACGBQAAAAA=&#10;">
                <v:fill on="f" focussize="0,0"/>
                <v:stroke color="#000000" joinstyle="round"/>
                <v:imagedata o:title=""/>
                <o:lock v:ext="edit" aspectratio="f"/>
              </v:line>
            </w:pict>
          </mc:Fallback>
        </mc:AlternateContent>
      </w:r>
      <w:r>
        <w:rPr>
          <w:rFonts w:hint="eastAsia" w:ascii="仿宋_GB2312" w:eastAsia="仿宋_GB2312"/>
          <w:color w:val="000000"/>
          <w:lang w:val="en-US" w:eastAsia="zh-CN"/>
        </w:rPr>
        <w:t xml:space="preserve">  </w:t>
      </w:r>
      <w:r>
        <w:rPr>
          <w:rFonts w:hint="eastAsia" w:ascii="仿宋_GB2312" w:eastAsia="仿宋_GB2312"/>
          <w:color w:val="000000"/>
          <w:sz w:val="28"/>
          <w:szCs w:val="28"/>
        </w:rPr>
        <w:t>抄送：区委各部、委、办，区人大办公室，区政协办公室，区法院，</w:t>
      </w:r>
    </w:p>
    <w:p>
      <w:pPr>
        <w:keepNext w:val="0"/>
        <w:keepLines w:val="0"/>
        <w:pageBreakBefore w:val="0"/>
        <w:widowControl w:val="0"/>
        <w:kinsoku/>
        <w:wordWrap/>
        <w:overflowPunct/>
        <w:topLinePunct w:val="0"/>
        <w:autoSpaceDE/>
        <w:autoSpaceDN/>
        <w:bidi w:val="0"/>
        <w:adjustRightInd/>
        <w:spacing w:line="600" w:lineRule="exact"/>
        <w:ind w:left="1763" w:leftChars="504" w:hanging="705" w:hangingChars="252"/>
        <w:textAlignment w:val="auto"/>
        <w:rPr>
          <w:rFonts w:hint="eastAsia" w:ascii="仿宋_GB2312" w:eastAsia="仿宋_GB2312"/>
          <w:color w:val="000000"/>
          <w:sz w:val="28"/>
          <w:szCs w:val="28"/>
        </w:rPr>
      </w:pPr>
      <w:r>
        <w:rPr>
          <w:rFonts w:hint="eastAsia" w:ascii="仿宋_GB2312" w:eastAsia="仿宋_GB2312"/>
          <w:color w:val="000000"/>
          <w:sz w:val="28"/>
          <w:szCs w:val="28"/>
        </w:rPr>
        <w:t>区检察院，区各人民团体。</w:t>
      </w:r>
    </w:p>
    <w:p>
      <w:pPr>
        <w:keepNext w:val="0"/>
        <w:keepLines w:val="0"/>
        <w:pageBreakBefore w:val="0"/>
        <w:widowControl w:val="0"/>
        <w:tabs>
          <w:tab w:val="left" w:pos="420"/>
        </w:tabs>
        <w:kinsoku/>
        <w:wordWrap/>
        <w:overflowPunct/>
        <w:topLinePunct w:val="0"/>
        <w:autoSpaceDE/>
        <w:autoSpaceDN/>
        <w:bidi w:val="0"/>
        <w:adjustRightInd/>
        <w:spacing w:line="600" w:lineRule="exact"/>
        <w:textAlignment w:val="auto"/>
        <w:rPr>
          <w:rFonts w:ascii="黑体" w:hAnsi="黑体" w:eastAsia="黑体"/>
          <w:sz w:val="32"/>
          <w:szCs w:val="32"/>
        </w:rPr>
      </w:pPr>
      <w:r>
        <w:rPr>
          <w:rFonts w:hint="eastAsia"/>
          <w:color w:val="00000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388620</wp:posOffset>
                </wp:positionV>
                <wp:extent cx="5600700" cy="0"/>
                <wp:effectExtent l="0" t="4445" r="0" b="5080"/>
                <wp:wrapNone/>
                <wp:docPr id="6" name="直接连接符 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pt;margin-top:30.6pt;height:0pt;width:441pt;z-index:251661312;mso-width-relative:page;mso-height-relative:page;" filled="f" stroked="t" coordsize="21600,21600" o:gfxdata="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EOHvLbTAAAABgEAAA8AAAAAAAAAAQAgAAAAOAAAAGRycy9kb3ducmV2LnhtbFBLAQIUABQAAAAI&#10;AIdO4kCgbjjw3AEAAJkDAAAOAAAAAAAAAAEAIAAAADgBAABkcnMvZTJvRG9jLnhtbFBLBQYAAAAA&#10;BgAGAFkBAACGBQAAAAA=&#10;">
                <v:fill on="f" focussize="0,0"/>
                <v:stroke color="#000000" joinstyle="round"/>
                <v:imagedata o:title=""/>
                <o:lock v:ext="edit" aspectratio="f"/>
              </v:line>
            </w:pict>
          </mc:Fallback>
        </mc:AlternateContent>
      </w:r>
      <w:r>
        <w:rPr>
          <w:rFonts w:hint="eastAsia"/>
          <w:color w:val="00000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-1905</wp:posOffset>
                </wp:positionV>
                <wp:extent cx="560070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pt;margin-top:-0.15pt;height:0pt;width:441pt;z-index:251660288;mso-width-relative:page;mso-height-relative:page;" filled="f" stroked="t" coordsize="21600,21600" o:gfxdata="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CmR6PfSAAAABAEAAA8AAAAAAAAAAQAgAAAAOAAAAGRycy9kb3ducmV2LnhtbFBLAQIUABQAAAAI&#10;AIdO4kDv1CyJ3QEAAJkDAAAOAAAAAAAAAAEAIAAAADcBAABkcnMvZTJvRG9jLnhtbFBLBQYAAAAA&#10;BgAGAFkBAACGBQAAAAA=&#10;">
                <v:fill on="f" focussize="0,0"/>
                <v:stroke color="#000000" joinstyle="round"/>
                <v:imagedata o:title=""/>
                <o:lock v:ext="edit" aspectratio="f"/>
              </v:line>
            </w:pict>
          </mc:Fallback>
        </mc:AlternateContent>
      </w:r>
      <w:r>
        <w:rPr>
          <w:rFonts w:hint="eastAsia"/>
          <w:color w:val="000000"/>
          <w:lang w:val="en-US" w:eastAsia="zh-CN"/>
        </w:rPr>
        <w:t xml:space="preserve">  </w:t>
      </w:r>
      <w:r>
        <w:rPr>
          <w:rFonts w:hint="eastAsia" w:ascii="仿宋_GB2312" w:eastAsia="仿宋_GB2312"/>
          <w:color w:val="000000"/>
          <w:sz w:val="28"/>
          <w:szCs w:val="28"/>
        </w:rPr>
        <w:t xml:space="preserve">北京市通州区人民政府办公室           </w:t>
      </w:r>
      <w:r>
        <w:rPr>
          <w:rFonts w:hint="eastAsia" w:ascii="仿宋_GB2312" w:eastAsia="仿宋_GB2312"/>
          <w:color w:val="000000"/>
          <w:sz w:val="28"/>
          <w:szCs w:val="28"/>
          <w:lang w:val="en-US" w:eastAsia="zh-CN"/>
        </w:rPr>
        <w:t xml:space="preserve"> </w:t>
      </w:r>
      <w:r>
        <w:rPr>
          <w:rFonts w:hint="eastAsia" w:ascii="仿宋_GB2312" w:eastAsia="仿宋_GB2312"/>
          <w:color w:val="000000"/>
          <w:sz w:val="28"/>
          <w:szCs w:val="28"/>
        </w:rPr>
        <w:t xml:space="preserve"> </w:t>
      </w:r>
      <w:r>
        <w:rPr>
          <w:rFonts w:hint="eastAsia" w:ascii="仿宋_GB2312" w:eastAsia="仿宋_GB2312"/>
          <w:color w:val="000000"/>
          <w:sz w:val="28"/>
          <w:szCs w:val="28"/>
          <w:lang w:val="en-US" w:eastAsia="zh-CN"/>
        </w:rPr>
        <w:t xml:space="preserve"> </w:t>
      </w:r>
      <w:r>
        <w:rPr>
          <w:rFonts w:hint="eastAsia" w:ascii="仿宋_GB2312" w:eastAsia="仿宋_GB2312"/>
          <w:color w:val="000000"/>
          <w:sz w:val="28"/>
          <w:szCs w:val="28"/>
        </w:rPr>
        <w:t xml:space="preserve"> 202</w:t>
      </w:r>
      <w:r>
        <w:rPr>
          <w:rFonts w:hint="eastAsia" w:ascii="仿宋_GB2312" w:eastAsia="仿宋_GB2312"/>
          <w:color w:val="000000"/>
          <w:sz w:val="28"/>
          <w:szCs w:val="28"/>
          <w:lang w:val="en-US" w:eastAsia="zh-CN"/>
        </w:rPr>
        <w:t>6</w:t>
      </w:r>
      <w:r>
        <w:rPr>
          <w:rFonts w:hint="eastAsia" w:ascii="仿宋_GB2312" w:eastAsia="仿宋_GB2312"/>
          <w:color w:val="000000"/>
          <w:sz w:val="28"/>
          <w:szCs w:val="28"/>
        </w:rPr>
        <w:t>年</w:t>
      </w:r>
      <w:r>
        <w:rPr>
          <w:rFonts w:hint="eastAsia" w:ascii="仿宋_GB2312" w:eastAsia="仿宋_GB2312"/>
          <w:color w:val="000000"/>
          <w:sz w:val="28"/>
          <w:szCs w:val="28"/>
          <w:lang w:val="en-US" w:eastAsia="zh-CN"/>
        </w:rPr>
        <w:t>3</w:t>
      </w:r>
      <w:r>
        <w:rPr>
          <w:rFonts w:hint="eastAsia" w:ascii="仿宋_GB2312" w:eastAsia="仿宋_GB2312"/>
          <w:color w:val="000000"/>
          <w:sz w:val="28"/>
          <w:szCs w:val="28"/>
        </w:rPr>
        <w:t>月</w:t>
      </w:r>
      <w:r>
        <w:rPr>
          <w:rFonts w:hint="eastAsia" w:ascii="仿宋_GB2312" w:eastAsia="仿宋_GB2312"/>
          <w:color w:val="000000"/>
          <w:sz w:val="28"/>
          <w:szCs w:val="28"/>
          <w:lang w:val="en-US" w:eastAsia="zh-CN"/>
        </w:rPr>
        <w:t>2</w:t>
      </w:r>
      <w:r>
        <w:rPr>
          <w:rFonts w:hint="eastAsia" w:ascii="仿宋_GB2312" w:eastAsia="仿宋_GB2312"/>
          <w:color w:val="000000"/>
          <w:sz w:val="28"/>
          <w:szCs w:val="28"/>
        </w:rPr>
        <w:t>日印发</w:t>
      </w:r>
      <w:r>
        <w:rPr>
          <w:rFonts w:hint="eastAsia" w:ascii="仿宋_GB2312" w:eastAsia="仿宋_GB2312"/>
          <w:color w:val="000000"/>
          <w:sz w:val="28"/>
          <w:szCs w:val="28"/>
          <w:lang w:val="en-US" w:eastAsia="zh-CN"/>
        </w:rPr>
        <w:t xml:space="preserve">  </w:t>
      </w:r>
    </w:p>
    <w:p>
      <w:pPr>
        <w:pStyle w:val="7"/>
        <w:ind w:firstLine="0" w:firstLineChars="0"/>
        <w:rPr>
          <w:szCs w:val="32"/>
        </w:rPr>
      </w:pPr>
    </w:p>
    <w:sectPr>
      <w:footerReference r:id="rId3" w:type="default"/>
      <w:footerReference r:id="rId4" w:type="even"/>
      <w:pgSz w:w="11906" w:h="16838"/>
      <w:pgMar w:top="2098" w:right="1474" w:bottom="1984" w:left="1587" w:header="851" w:footer="147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小标宋">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原版宋体">
    <w:altName w:val="方正书宋_GBK"/>
    <w:panose1 w:val="02010600030101010101"/>
    <w:charset w:val="86"/>
    <w:family w:val="auto"/>
    <w:pitch w:val="default"/>
    <w:sig w:usb0="00000000" w:usb1="00000000" w:usb2="00000000" w:usb3="00000000" w:csb0="00040001"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1050"/>
        <w:tab w:val="left" w:pos="1260"/>
      </w:tabs>
      <w:ind w:firstLine="0" w:firstLineChars="0"/>
      <w:rPr>
        <w:rFonts w:hint="eastAsia" w:ascii="原版宋体" w:hAnsi="原版宋体" w:eastAsia="原版宋体" w:cs="原版宋体"/>
        <w:sz w:val="28"/>
        <w:szCs w:val="28"/>
      </w:rPr>
    </w:pPr>
    <w:r>
      <w:rPr>
        <w:sz w:val="18"/>
      </w:rPr>
      <mc:AlternateContent>
        <mc:Choice Requires="wps">
          <w:drawing>
            <wp:anchor distT="0" distB="0" distL="114300" distR="114300" simplePos="0" relativeHeight="251662336" behindDoc="0" locked="0" layoutInCell="1" allowOverlap="1">
              <wp:simplePos x="0" y="0"/>
              <wp:positionH relativeFrom="margin">
                <wp:posOffset>4709160</wp:posOffset>
              </wp:positionH>
              <wp:positionV relativeFrom="paragraph">
                <wp:posOffset>0</wp:posOffset>
              </wp:positionV>
              <wp:extent cx="907415"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90741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tabs>
                              <w:tab w:val="left" w:pos="1050"/>
                              <w:tab w:val="left" w:pos="1260"/>
                            </w:tabs>
                            <w:rPr>
                              <w:rFonts w:hint="eastAsia" w:ascii="原版宋体" w:hAnsi="原版宋体" w:eastAsia="原版宋体" w:cs="原版宋体"/>
                              <w:sz w:val="28"/>
                              <w:szCs w:val="28"/>
                            </w:rPr>
                          </w:pPr>
                          <w:r>
                            <w:rPr>
                              <w:rFonts w:hint="eastAsia" w:ascii="原版宋体" w:hAnsi="原版宋体" w:eastAsia="原版宋体" w:cs="原版宋体"/>
                              <w:sz w:val="28"/>
                              <w:szCs w:val="28"/>
                            </w:rPr>
                            <w:t xml:space="preserve">— </w:t>
                          </w:r>
                          <w:r>
                            <w:rPr>
                              <w:rFonts w:hint="eastAsia" w:ascii="原版宋体" w:hAnsi="原版宋体" w:eastAsia="原版宋体" w:cs="原版宋体"/>
                              <w:sz w:val="28"/>
                              <w:szCs w:val="28"/>
                            </w:rPr>
                            <w:fldChar w:fldCharType="begin"/>
                          </w:r>
                          <w:r>
                            <w:rPr>
                              <w:rFonts w:hint="eastAsia" w:ascii="原版宋体" w:hAnsi="原版宋体" w:eastAsia="原版宋体" w:cs="原版宋体"/>
                              <w:sz w:val="28"/>
                              <w:szCs w:val="28"/>
                            </w:rPr>
                            <w:instrText xml:space="preserve"> PAGE  \* MERGEFORMAT </w:instrText>
                          </w:r>
                          <w:r>
                            <w:rPr>
                              <w:rFonts w:hint="eastAsia" w:ascii="原版宋体" w:hAnsi="原版宋体" w:eastAsia="原版宋体" w:cs="原版宋体"/>
                              <w:sz w:val="28"/>
                              <w:szCs w:val="28"/>
                            </w:rPr>
                            <w:fldChar w:fldCharType="separate"/>
                          </w:r>
                          <w:r>
                            <w:rPr>
                              <w:rFonts w:hint="eastAsia" w:ascii="原版宋体" w:hAnsi="原版宋体" w:eastAsia="原版宋体" w:cs="原版宋体"/>
                              <w:sz w:val="28"/>
                              <w:szCs w:val="28"/>
                            </w:rPr>
                            <w:t>1</w:t>
                          </w:r>
                          <w:r>
                            <w:rPr>
                              <w:rFonts w:hint="eastAsia" w:ascii="原版宋体" w:hAnsi="原版宋体" w:eastAsia="原版宋体" w:cs="原版宋体"/>
                              <w:sz w:val="28"/>
                              <w:szCs w:val="28"/>
                            </w:rPr>
                            <w:fldChar w:fldCharType="end"/>
                          </w:r>
                          <w:r>
                            <w:rPr>
                              <w:rFonts w:hint="eastAsia" w:ascii="原版宋体" w:hAnsi="原版宋体" w:eastAsia="原版宋体" w:cs="原版宋体"/>
                              <w:sz w:val="28"/>
                              <w:szCs w:val="28"/>
                            </w:rPr>
                            <w:t xml:space="preserve"> —</w:t>
                          </w:r>
                        </w:p>
                      </w:txbxContent>
                    </wps:txbx>
                    <wps:bodyPr rot="0" spcFirstLastPara="0" vertOverflow="overflow" horzOverflow="overflow" vert="horz" wrap="squar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370.8pt;margin-top:0pt;height:144pt;width:71.45pt;mso-position-horizontal-relative:margin;z-index:251662336;mso-width-relative:page;mso-height-relative:page;" filled="f" stroked="f" coordsize="21600,21600" o:gfxdata="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x52M7WAAAACAEAAA8AAAAAAAAAAQAgAAAAOAAAAGRycy9kb3du&#10;cmV2LnhtbFBLAQIUABQAAAAIAIdO4kBJ/2FNJAIAACwEAAAOAAAAAAAAAAEAIAAAADsBAABkcnMv&#10;ZTJvRG9jLnhtbFBLBQYAAAAABgAGAFkBAADRBQAAAAA=&#10;">
              <v:fill on="f" focussize="0,0"/>
              <v:stroke on="f" weight="0.5pt"/>
              <v:imagedata o:title=""/>
              <o:lock v:ext="edit" aspectratio="f"/>
              <v:textbox inset="0mm,0mm,0mm,0mm" style="mso-fit-shape-to-text:t;">
                <w:txbxContent>
                  <w:p>
                    <w:pPr>
                      <w:pStyle w:val="9"/>
                      <w:tabs>
                        <w:tab w:val="left" w:pos="1050"/>
                        <w:tab w:val="left" w:pos="1260"/>
                      </w:tabs>
                      <w:rPr>
                        <w:rFonts w:hint="eastAsia" w:ascii="原版宋体" w:hAnsi="原版宋体" w:eastAsia="原版宋体" w:cs="原版宋体"/>
                        <w:sz w:val="28"/>
                        <w:szCs w:val="28"/>
                      </w:rPr>
                    </w:pPr>
                    <w:r>
                      <w:rPr>
                        <w:rFonts w:hint="eastAsia" w:ascii="原版宋体" w:hAnsi="原版宋体" w:eastAsia="原版宋体" w:cs="原版宋体"/>
                        <w:sz w:val="28"/>
                        <w:szCs w:val="28"/>
                      </w:rPr>
                      <w:t xml:space="preserve">— </w:t>
                    </w:r>
                    <w:r>
                      <w:rPr>
                        <w:rFonts w:hint="eastAsia" w:ascii="原版宋体" w:hAnsi="原版宋体" w:eastAsia="原版宋体" w:cs="原版宋体"/>
                        <w:sz w:val="28"/>
                        <w:szCs w:val="28"/>
                      </w:rPr>
                      <w:fldChar w:fldCharType="begin"/>
                    </w:r>
                    <w:r>
                      <w:rPr>
                        <w:rFonts w:hint="eastAsia" w:ascii="原版宋体" w:hAnsi="原版宋体" w:eastAsia="原版宋体" w:cs="原版宋体"/>
                        <w:sz w:val="28"/>
                        <w:szCs w:val="28"/>
                      </w:rPr>
                      <w:instrText xml:space="preserve"> PAGE  \* MERGEFORMAT </w:instrText>
                    </w:r>
                    <w:r>
                      <w:rPr>
                        <w:rFonts w:hint="eastAsia" w:ascii="原版宋体" w:hAnsi="原版宋体" w:eastAsia="原版宋体" w:cs="原版宋体"/>
                        <w:sz w:val="28"/>
                        <w:szCs w:val="28"/>
                      </w:rPr>
                      <w:fldChar w:fldCharType="separate"/>
                    </w:r>
                    <w:r>
                      <w:rPr>
                        <w:rFonts w:hint="eastAsia" w:ascii="原版宋体" w:hAnsi="原版宋体" w:eastAsia="原版宋体" w:cs="原版宋体"/>
                        <w:sz w:val="28"/>
                        <w:szCs w:val="28"/>
                      </w:rPr>
                      <w:t>1</w:t>
                    </w:r>
                    <w:r>
                      <w:rPr>
                        <w:rFonts w:hint="eastAsia" w:ascii="原版宋体" w:hAnsi="原版宋体" w:eastAsia="原版宋体" w:cs="原版宋体"/>
                        <w:sz w:val="28"/>
                        <w:szCs w:val="28"/>
                      </w:rPr>
                      <w:fldChar w:fldCharType="end"/>
                    </w:r>
                    <w:r>
                      <w:rPr>
                        <w:rFonts w:hint="eastAsia" w:ascii="原版宋体" w:hAnsi="原版宋体" w:eastAsia="原版宋体" w:cs="原版宋体"/>
                        <w:sz w:val="28"/>
                        <w:szCs w:val="28"/>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4679950</wp:posOffset>
              </wp:positionH>
              <wp:positionV relativeFrom="paragraph">
                <wp:posOffset>0</wp:posOffset>
              </wp:positionV>
              <wp:extent cx="1045845"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045845" cy="1828800"/>
                      </a:xfrm>
                      <a:prstGeom prst="rect">
                        <a:avLst/>
                      </a:prstGeom>
                      <a:noFill/>
                      <a:ln w="6350">
                        <a:noFill/>
                      </a:ln>
                      <a:effectLst/>
                    </wps:spPr>
                    <wps:txbx>
                      <w:txbxContent>
                        <w:p>
                          <w:pPr>
                            <w:pStyle w:val="9"/>
                            <w:tabs>
                              <w:tab w:val="left" w:pos="1050"/>
                              <w:tab w:val="left" w:pos="1260"/>
                            </w:tabs>
                            <w:ind w:firstLine="0" w:firstLineChars="0"/>
                            <w:rPr>
                              <w:rFonts w:hint="eastAsia" w:ascii="原版宋体" w:hAnsi="原版宋体" w:eastAsia="原版宋体" w:cs="原版宋体"/>
                              <w:sz w:val="28"/>
                              <w:szCs w:val="28"/>
                            </w:rPr>
                          </w:pPr>
                        </w:p>
                      </w:txbxContent>
                    </wps:txbx>
                    <wps:bodyPr wrap="square" lIns="0" tIns="0" rIns="0" bIns="0" upright="true">
                      <a:spAutoFit/>
                    </wps:bodyPr>
                  </wps:wsp>
                </a:graphicData>
              </a:graphic>
            </wp:anchor>
          </w:drawing>
        </mc:Choice>
        <mc:Fallback>
          <w:pict>
            <v:shape id="_x0000_s1026" o:spid="_x0000_s1026" o:spt="202" type="#_x0000_t202" style="position:absolute;left:0pt;margin-left:368.5pt;margin-top:0pt;height:144pt;width:82.35pt;mso-position-horizontal-relative:margin;z-index:251660288;mso-width-relative:page;mso-height-relative:page;" filled="f" stroked="f" coordsize="21600,21600" o:gfxdata="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0rqiptcAAAAIAQAADwAA&#10;AAAAAAABACAAAAA4AAAAZHJzL2Rvd25yZXYueG1sUEsBAhQAFAAAAAgAh07iQAkX6Z7IAQAAagMA&#10;AA4AAAAAAAAAAQAgAAAAPAEAAGRycy9lMm9Eb2MueG1sUEsFBgAAAAAGAAYAWQEAAHYFAAAAAA==&#10;">
              <v:fill on="f" focussize="0,0"/>
              <v:stroke on="f" weight="0.5pt"/>
              <v:imagedata o:title=""/>
              <o:lock v:ext="edit" aspectratio="f"/>
              <v:textbox inset="0mm,0mm,0mm,0mm" style="mso-fit-shape-to-text:t;">
                <w:txbxContent>
                  <w:p>
                    <w:pPr>
                      <w:pStyle w:val="9"/>
                      <w:tabs>
                        <w:tab w:val="left" w:pos="1050"/>
                        <w:tab w:val="left" w:pos="1260"/>
                      </w:tabs>
                      <w:ind w:firstLine="0" w:firstLineChars="0"/>
                      <w:rPr>
                        <w:rFonts w:hint="eastAsia" w:ascii="原版宋体" w:hAnsi="原版宋体" w:eastAsia="原版宋体" w:cs="原版宋体"/>
                        <w:sz w:val="28"/>
                        <w:szCs w:val="28"/>
                      </w:rPr>
                    </w:pPr>
                  </w:p>
                </w:txbxContent>
              </v:textbox>
            </v:shape>
          </w:pict>
        </mc:Fallback>
      </mc:AlternateContent>
    </w:r>
    <w:r>
      <w:rPr>
        <w:rFonts w:hint="eastAsia"/>
        <w:lang w:val="en-US" w:eastAsia="zh-CN"/>
      </w:rPr>
      <w:t xml:space="preserve"> </w: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firstLine="280" w:firstLineChars="100"/>
                            <w:rPr>
                              <w:rFonts w:hint="eastAsia" w:ascii="原版宋体" w:hAnsi="原版宋体" w:eastAsia="原版宋体" w:cs="原版宋体"/>
                              <w:sz w:val="28"/>
                              <w:szCs w:val="28"/>
                            </w:rPr>
                          </w:pPr>
                          <w:r>
                            <w:rPr>
                              <w:rFonts w:hint="eastAsia" w:ascii="原版宋体" w:hAnsi="原版宋体" w:eastAsia="原版宋体" w:cs="原版宋体"/>
                              <w:sz w:val="28"/>
                              <w:szCs w:val="28"/>
                            </w:rPr>
                            <w:t xml:space="preserve">— </w:t>
                          </w:r>
                          <w:r>
                            <w:rPr>
                              <w:rFonts w:hint="eastAsia" w:ascii="原版宋体" w:hAnsi="原版宋体" w:eastAsia="原版宋体" w:cs="原版宋体"/>
                              <w:sz w:val="28"/>
                              <w:szCs w:val="28"/>
                            </w:rPr>
                            <w:fldChar w:fldCharType="begin"/>
                          </w:r>
                          <w:r>
                            <w:rPr>
                              <w:rFonts w:hint="eastAsia" w:ascii="原版宋体" w:hAnsi="原版宋体" w:eastAsia="原版宋体" w:cs="原版宋体"/>
                              <w:sz w:val="28"/>
                              <w:szCs w:val="28"/>
                            </w:rPr>
                            <w:instrText xml:space="preserve"> PAGE  \* MERGEFORMAT </w:instrText>
                          </w:r>
                          <w:r>
                            <w:rPr>
                              <w:rFonts w:hint="eastAsia" w:ascii="原版宋体" w:hAnsi="原版宋体" w:eastAsia="原版宋体" w:cs="原版宋体"/>
                              <w:sz w:val="28"/>
                              <w:szCs w:val="28"/>
                            </w:rPr>
                            <w:fldChar w:fldCharType="separate"/>
                          </w:r>
                          <w:r>
                            <w:rPr>
                              <w:rFonts w:hint="eastAsia" w:ascii="原版宋体" w:hAnsi="原版宋体" w:eastAsia="原版宋体" w:cs="原版宋体"/>
                              <w:sz w:val="28"/>
                              <w:szCs w:val="28"/>
                            </w:rPr>
                            <w:t>2</w:t>
                          </w:r>
                          <w:r>
                            <w:rPr>
                              <w:rFonts w:hint="eastAsia" w:ascii="原版宋体" w:hAnsi="原版宋体" w:eastAsia="原版宋体" w:cs="原版宋体"/>
                              <w:sz w:val="28"/>
                              <w:szCs w:val="28"/>
                            </w:rPr>
                            <w:fldChar w:fldCharType="end"/>
                          </w:r>
                          <w:r>
                            <w:rPr>
                              <w:rFonts w:hint="eastAsia" w:ascii="原版宋体" w:hAnsi="原版宋体" w:eastAsia="原版宋体" w:cs="原版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dwRadHQIAACsEAAAOAAAAZHJz&#10;L2Uyb0RvYy54bWytU82O0zAQviPxDpbvNGmBVV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ihLDNGZ0+vb19P3p9OML&#10;wRsAalyYwW/j4BnbN7YtaPR7MZgC3lPrrfQ63WiKwAVoHy8IizYSjsfxdDKd5jBx2AYFKbLrd+dD&#10;fCusJkkoqMcIO2TZYR3i2XVwSdmMXdVKdWNUhjQFvXn5O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B3BFp0dAgAAKwQAAA4AAAAAAAAAAQAgAAAANQEAAGRycy9lMm9Eb2MueG1sUEsF&#10;BgAAAAAGAAYAWQEAAMQFAAAAAA==&#10;">
              <v:fill on="f" focussize="0,0"/>
              <v:stroke on="f" weight="0.5pt"/>
              <v:imagedata o:title=""/>
              <o:lock v:ext="edit" aspectratio="f"/>
              <v:textbox inset="0mm,0mm,0mm,0mm" style="mso-fit-shape-to-text:t;">
                <w:txbxContent>
                  <w:p>
                    <w:pPr>
                      <w:pStyle w:val="9"/>
                      <w:ind w:firstLine="280" w:firstLineChars="100"/>
                      <w:rPr>
                        <w:rFonts w:hint="eastAsia" w:ascii="原版宋体" w:hAnsi="原版宋体" w:eastAsia="原版宋体" w:cs="原版宋体"/>
                        <w:sz w:val="28"/>
                        <w:szCs w:val="28"/>
                      </w:rPr>
                    </w:pPr>
                    <w:r>
                      <w:rPr>
                        <w:rFonts w:hint="eastAsia" w:ascii="原版宋体" w:hAnsi="原版宋体" w:eastAsia="原版宋体" w:cs="原版宋体"/>
                        <w:sz w:val="28"/>
                        <w:szCs w:val="28"/>
                      </w:rPr>
                      <w:t xml:space="preserve">— </w:t>
                    </w:r>
                    <w:r>
                      <w:rPr>
                        <w:rFonts w:hint="eastAsia" w:ascii="原版宋体" w:hAnsi="原版宋体" w:eastAsia="原版宋体" w:cs="原版宋体"/>
                        <w:sz w:val="28"/>
                        <w:szCs w:val="28"/>
                      </w:rPr>
                      <w:fldChar w:fldCharType="begin"/>
                    </w:r>
                    <w:r>
                      <w:rPr>
                        <w:rFonts w:hint="eastAsia" w:ascii="原版宋体" w:hAnsi="原版宋体" w:eastAsia="原版宋体" w:cs="原版宋体"/>
                        <w:sz w:val="28"/>
                        <w:szCs w:val="28"/>
                      </w:rPr>
                      <w:instrText xml:space="preserve"> PAGE  \* MERGEFORMAT </w:instrText>
                    </w:r>
                    <w:r>
                      <w:rPr>
                        <w:rFonts w:hint="eastAsia" w:ascii="原版宋体" w:hAnsi="原版宋体" w:eastAsia="原版宋体" w:cs="原版宋体"/>
                        <w:sz w:val="28"/>
                        <w:szCs w:val="28"/>
                      </w:rPr>
                      <w:fldChar w:fldCharType="separate"/>
                    </w:r>
                    <w:r>
                      <w:rPr>
                        <w:rFonts w:hint="eastAsia" w:ascii="原版宋体" w:hAnsi="原版宋体" w:eastAsia="原版宋体" w:cs="原版宋体"/>
                        <w:sz w:val="28"/>
                        <w:szCs w:val="28"/>
                      </w:rPr>
                      <w:t>2</w:t>
                    </w:r>
                    <w:r>
                      <w:rPr>
                        <w:rFonts w:hint="eastAsia" w:ascii="原版宋体" w:hAnsi="原版宋体" w:eastAsia="原版宋体" w:cs="原版宋体"/>
                        <w:sz w:val="28"/>
                        <w:szCs w:val="28"/>
                      </w:rPr>
                      <w:fldChar w:fldCharType="end"/>
                    </w:r>
                    <w:r>
                      <w:rPr>
                        <w:rFonts w:hint="eastAsia" w:ascii="原版宋体" w:hAnsi="原版宋体" w:eastAsia="原版宋体" w:cs="原版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TrueTypeFonts/>
  <w:saveSubsetFonts/>
  <w:bordersDoNotSurroundHeader w:val="true"/>
  <w:bordersDoNotSurroundFooter w:val="true"/>
  <w:documentProtection w:enforcement="0"/>
  <w:defaultTabStop w:val="420"/>
  <w:evenAndOddHeaders w:val="true"/>
  <w:drawingGridVerticalSpacing w:val="156"/>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2ZTExZDhjMGNmZmFkMmVjZjg0M2RhNjI5ZDQ4ZTEifQ=="/>
  </w:docVars>
  <w:rsids>
    <w:rsidRoot w:val="13997CEF"/>
    <w:rsid w:val="000716DB"/>
    <w:rsid w:val="000C1F6D"/>
    <w:rsid w:val="000F71A8"/>
    <w:rsid w:val="000F7CB3"/>
    <w:rsid w:val="00113742"/>
    <w:rsid w:val="0023372B"/>
    <w:rsid w:val="00263232"/>
    <w:rsid w:val="002C0326"/>
    <w:rsid w:val="002D7246"/>
    <w:rsid w:val="002F0A46"/>
    <w:rsid w:val="002F2511"/>
    <w:rsid w:val="003006D3"/>
    <w:rsid w:val="00303E72"/>
    <w:rsid w:val="00352C3E"/>
    <w:rsid w:val="0039613D"/>
    <w:rsid w:val="003A45C2"/>
    <w:rsid w:val="0040109B"/>
    <w:rsid w:val="00432BA1"/>
    <w:rsid w:val="00441185"/>
    <w:rsid w:val="00482D85"/>
    <w:rsid w:val="004D54FD"/>
    <w:rsid w:val="004F3412"/>
    <w:rsid w:val="005B73B2"/>
    <w:rsid w:val="005E2A39"/>
    <w:rsid w:val="005F7AEB"/>
    <w:rsid w:val="00625EC1"/>
    <w:rsid w:val="00626814"/>
    <w:rsid w:val="006954B8"/>
    <w:rsid w:val="006C1995"/>
    <w:rsid w:val="0075242B"/>
    <w:rsid w:val="008932F9"/>
    <w:rsid w:val="00902010"/>
    <w:rsid w:val="00903890"/>
    <w:rsid w:val="0091464B"/>
    <w:rsid w:val="00937981"/>
    <w:rsid w:val="00943EFA"/>
    <w:rsid w:val="009877E7"/>
    <w:rsid w:val="00A67866"/>
    <w:rsid w:val="00AE73D7"/>
    <w:rsid w:val="00B44936"/>
    <w:rsid w:val="00B71697"/>
    <w:rsid w:val="00BE41CC"/>
    <w:rsid w:val="00C03CDD"/>
    <w:rsid w:val="00C37BFA"/>
    <w:rsid w:val="00C47CA0"/>
    <w:rsid w:val="00C61BD1"/>
    <w:rsid w:val="00C72C46"/>
    <w:rsid w:val="00CC03C7"/>
    <w:rsid w:val="00D474D9"/>
    <w:rsid w:val="00E201C8"/>
    <w:rsid w:val="00E2659F"/>
    <w:rsid w:val="00E53550"/>
    <w:rsid w:val="00E83869"/>
    <w:rsid w:val="00E841FC"/>
    <w:rsid w:val="00EC1D90"/>
    <w:rsid w:val="00EE13B7"/>
    <w:rsid w:val="00F3064D"/>
    <w:rsid w:val="00F6046F"/>
    <w:rsid w:val="00F84800"/>
    <w:rsid w:val="00FC25A8"/>
    <w:rsid w:val="00FE4DA7"/>
    <w:rsid w:val="01130DE1"/>
    <w:rsid w:val="01134830"/>
    <w:rsid w:val="011C7193"/>
    <w:rsid w:val="017930F7"/>
    <w:rsid w:val="0187250F"/>
    <w:rsid w:val="01952A27"/>
    <w:rsid w:val="01B24D65"/>
    <w:rsid w:val="01C12F0F"/>
    <w:rsid w:val="01EC534F"/>
    <w:rsid w:val="01F7097B"/>
    <w:rsid w:val="01FE3C84"/>
    <w:rsid w:val="01FF3BC3"/>
    <w:rsid w:val="02143C1B"/>
    <w:rsid w:val="023462B0"/>
    <w:rsid w:val="023A5733"/>
    <w:rsid w:val="025F11D5"/>
    <w:rsid w:val="02624152"/>
    <w:rsid w:val="02872743"/>
    <w:rsid w:val="02D461D1"/>
    <w:rsid w:val="02D70568"/>
    <w:rsid w:val="02E5649E"/>
    <w:rsid w:val="0305373E"/>
    <w:rsid w:val="03927693"/>
    <w:rsid w:val="03A17C16"/>
    <w:rsid w:val="03BE465B"/>
    <w:rsid w:val="03DD026B"/>
    <w:rsid w:val="03E92D44"/>
    <w:rsid w:val="03F12ACF"/>
    <w:rsid w:val="04781A0B"/>
    <w:rsid w:val="04826D2E"/>
    <w:rsid w:val="048B2A85"/>
    <w:rsid w:val="04984C25"/>
    <w:rsid w:val="04AA38DD"/>
    <w:rsid w:val="05457CCC"/>
    <w:rsid w:val="05537F03"/>
    <w:rsid w:val="056E3AC7"/>
    <w:rsid w:val="05A87846"/>
    <w:rsid w:val="05B97C74"/>
    <w:rsid w:val="05FF7B35"/>
    <w:rsid w:val="060234C6"/>
    <w:rsid w:val="06397D1A"/>
    <w:rsid w:val="06651DB0"/>
    <w:rsid w:val="067D5433"/>
    <w:rsid w:val="06961906"/>
    <w:rsid w:val="06A14863"/>
    <w:rsid w:val="06AE2595"/>
    <w:rsid w:val="06B3590D"/>
    <w:rsid w:val="06BB3315"/>
    <w:rsid w:val="06CD64B7"/>
    <w:rsid w:val="07174852"/>
    <w:rsid w:val="072C6967"/>
    <w:rsid w:val="072E3CFE"/>
    <w:rsid w:val="073A09AE"/>
    <w:rsid w:val="074F100F"/>
    <w:rsid w:val="075E2D09"/>
    <w:rsid w:val="0768220B"/>
    <w:rsid w:val="077E536A"/>
    <w:rsid w:val="07960D8A"/>
    <w:rsid w:val="07EE22B7"/>
    <w:rsid w:val="084D0D93"/>
    <w:rsid w:val="088E2B2E"/>
    <w:rsid w:val="08AE08B0"/>
    <w:rsid w:val="09023352"/>
    <w:rsid w:val="09153DF2"/>
    <w:rsid w:val="092056EE"/>
    <w:rsid w:val="09256908"/>
    <w:rsid w:val="09935AD9"/>
    <w:rsid w:val="09BD3DD1"/>
    <w:rsid w:val="09F576AA"/>
    <w:rsid w:val="0A190E33"/>
    <w:rsid w:val="0A567C82"/>
    <w:rsid w:val="0A6240EA"/>
    <w:rsid w:val="0A783593"/>
    <w:rsid w:val="0A9F717D"/>
    <w:rsid w:val="0AA12680"/>
    <w:rsid w:val="0AA62CC3"/>
    <w:rsid w:val="0AAA550E"/>
    <w:rsid w:val="0AAE6112"/>
    <w:rsid w:val="0AB1211B"/>
    <w:rsid w:val="0AB70FA0"/>
    <w:rsid w:val="0AC15133"/>
    <w:rsid w:val="0AD90520"/>
    <w:rsid w:val="0B7E0D69"/>
    <w:rsid w:val="0BB833D3"/>
    <w:rsid w:val="0BEA62F9"/>
    <w:rsid w:val="0C152235"/>
    <w:rsid w:val="0C1A1EAE"/>
    <w:rsid w:val="0C3C6653"/>
    <w:rsid w:val="0C60439D"/>
    <w:rsid w:val="0C7F1625"/>
    <w:rsid w:val="0C961836"/>
    <w:rsid w:val="0D2333BE"/>
    <w:rsid w:val="0D2E70E7"/>
    <w:rsid w:val="0D392EB0"/>
    <w:rsid w:val="0D6A6A48"/>
    <w:rsid w:val="0D755B06"/>
    <w:rsid w:val="0D904706"/>
    <w:rsid w:val="0D977D41"/>
    <w:rsid w:val="0DA25E38"/>
    <w:rsid w:val="0DD974DE"/>
    <w:rsid w:val="0E0F0165"/>
    <w:rsid w:val="0E5462E2"/>
    <w:rsid w:val="0E5E559E"/>
    <w:rsid w:val="0E7A4ECE"/>
    <w:rsid w:val="0EF425D6"/>
    <w:rsid w:val="0F013114"/>
    <w:rsid w:val="0F274708"/>
    <w:rsid w:val="0F6B0C88"/>
    <w:rsid w:val="0F706658"/>
    <w:rsid w:val="0F860C64"/>
    <w:rsid w:val="0FAE09D7"/>
    <w:rsid w:val="0FB41753"/>
    <w:rsid w:val="0FD6408A"/>
    <w:rsid w:val="0FDD12D3"/>
    <w:rsid w:val="10514AD4"/>
    <w:rsid w:val="10E523E9"/>
    <w:rsid w:val="11586174"/>
    <w:rsid w:val="117B28D2"/>
    <w:rsid w:val="11A24C43"/>
    <w:rsid w:val="11B02492"/>
    <w:rsid w:val="11D1597D"/>
    <w:rsid w:val="11EA44ED"/>
    <w:rsid w:val="11F53106"/>
    <w:rsid w:val="124F49C9"/>
    <w:rsid w:val="12577F45"/>
    <w:rsid w:val="125A5FCE"/>
    <w:rsid w:val="126E505C"/>
    <w:rsid w:val="12D22A79"/>
    <w:rsid w:val="130265BC"/>
    <w:rsid w:val="133A28D1"/>
    <w:rsid w:val="13997CEF"/>
    <w:rsid w:val="13EB1DBD"/>
    <w:rsid w:val="13F81EFD"/>
    <w:rsid w:val="141D277C"/>
    <w:rsid w:val="14AC23BE"/>
    <w:rsid w:val="14B85F0D"/>
    <w:rsid w:val="14BE7220"/>
    <w:rsid w:val="14C60571"/>
    <w:rsid w:val="15037A97"/>
    <w:rsid w:val="15280F4A"/>
    <w:rsid w:val="154F0D92"/>
    <w:rsid w:val="159B1857"/>
    <w:rsid w:val="15A22717"/>
    <w:rsid w:val="15A56CD9"/>
    <w:rsid w:val="16023FD1"/>
    <w:rsid w:val="165278B9"/>
    <w:rsid w:val="166F6B2B"/>
    <w:rsid w:val="16883251"/>
    <w:rsid w:val="168B455A"/>
    <w:rsid w:val="16B45A16"/>
    <w:rsid w:val="17343E84"/>
    <w:rsid w:val="17943BFA"/>
    <w:rsid w:val="17D64F6F"/>
    <w:rsid w:val="182504DC"/>
    <w:rsid w:val="187C6339"/>
    <w:rsid w:val="1886272B"/>
    <w:rsid w:val="188E28A1"/>
    <w:rsid w:val="18E759E8"/>
    <w:rsid w:val="18FD4823"/>
    <w:rsid w:val="191730CE"/>
    <w:rsid w:val="191A668A"/>
    <w:rsid w:val="19242F02"/>
    <w:rsid w:val="192543DE"/>
    <w:rsid w:val="193837FA"/>
    <w:rsid w:val="194A350E"/>
    <w:rsid w:val="199057E3"/>
    <w:rsid w:val="19A20B54"/>
    <w:rsid w:val="19F62C81"/>
    <w:rsid w:val="1A322A8F"/>
    <w:rsid w:val="1A674BDF"/>
    <w:rsid w:val="1A885114"/>
    <w:rsid w:val="1AD01CC6"/>
    <w:rsid w:val="1AD031C7"/>
    <w:rsid w:val="1B1819F4"/>
    <w:rsid w:val="1B444F95"/>
    <w:rsid w:val="1B5E58EE"/>
    <w:rsid w:val="1B6A0B93"/>
    <w:rsid w:val="1B88053A"/>
    <w:rsid w:val="1BF146E6"/>
    <w:rsid w:val="1BF22168"/>
    <w:rsid w:val="1C351E13"/>
    <w:rsid w:val="1C4C613D"/>
    <w:rsid w:val="1C7723C1"/>
    <w:rsid w:val="1C82376D"/>
    <w:rsid w:val="1C8629DB"/>
    <w:rsid w:val="1CE529F5"/>
    <w:rsid w:val="1CF87E3B"/>
    <w:rsid w:val="1D3F52E8"/>
    <w:rsid w:val="1D406EDD"/>
    <w:rsid w:val="1D7025D9"/>
    <w:rsid w:val="1D767D65"/>
    <w:rsid w:val="1D8743CB"/>
    <w:rsid w:val="1D975F2E"/>
    <w:rsid w:val="1DAB688A"/>
    <w:rsid w:val="1DB70D69"/>
    <w:rsid w:val="1DEA606D"/>
    <w:rsid w:val="1E0A3F49"/>
    <w:rsid w:val="1E5B1DDD"/>
    <w:rsid w:val="1E734785"/>
    <w:rsid w:val="1E7C0184"/>
    <w:rsid w:val="1EB85E41"/>
    <w:rsid w:val="1EDA3596"/>
    <w:rsid w:val="1F073974"/>
    <w:rsid w:val="1F4E6803"/>
    <w:rsid w:val="1F616FEE"/>
    <w:rsid w:val="1F816280"/>
    <w:rsid w:val="1F8C3FD1"/>
    <w:rsid w:val="1F9F2664"/>
    <w:rsid w:val="1FB80D46"/>
    <w:rsid w:val="1FD244A3"/>
    <w:rsid w:val="1FE73C71"/>
    <w:rsid w:val="207F747A"/>
    <w:rsid w:val="208C2876"/>
    <w:rsid w:val="20C76F3D"/>
    <w:rsid w:val="20D800EF"/>
    <w:rsid w:val="21747FA4"/>
    <w:rsid w:val="217E3F31"/>
    <w:rsid w:val="21D35E40"/>
    <w:rsid w:val="224D4CCC"/>
    <w:rsid w:val="229467F2"/>
    <w:rsid w:val="229E204B"/>
    <w:rsid w:val="22A25CBE"/>
    <w:rsid w:val="22DD303F"/>
    <w:rsid w:val="2305185C"/>
    <w:rsid w:val="23092C0A"/>
    <w:rsid w:val="23240DEA"/>
    <w:rsid w:val="23437031"/>
    <w:rsid w:val="235C402C"/>
    <w:rsid w:val="23796741"/>
    <w:rsid w:val="238A3D30"/>
    <w:rsid w:val="23AD7E95"/>
    <w:rsid w:val="23E24AEB"/>
    <w:rsid w:val="244E4C7E"/>
    <w:rsid w:val="245416F5"/>
    <w:rsid w:val="24913173"/>
    <w:rsid w:val="249721CD"/>
    <w:rsid w:val="24D87982"/>
    <w:rsid w:val="24EE7D70"/>
    <w:rsid w:val="24F920B5"/>
    <w:rsid w:val="24FB5F79"/>
    <w:rsid w:val="25372F17"/>
    <w:rsid w:val="255C04C8"/>
    <w:rsid w:val="25674580"/>
    <w:rsid w:val="258D01D5"/>
    <w:rsid w:val="25AB5D69"/>
    <w:rsid w:val="25F16CA2"/>
    <w:rsid w:val="26105CCA"/>
    <w:rsid w:val="264A2191"/>
    <w:rsid w:val="267B015C"/>
    <w:rsid w:val="26C64E7A"/>
    <w:rsid w:val="26D46DE7"/>
    <w:rsid w:val="277C7BD6"/>
    <w:rsid w:val="2799068D"/>
    <w:rsid w:val="27FA6C80"/>
    <w:rsid w:val="280C3E84"/>
    <w:rsid w:val="283A1A23"/>
    <w:rsid w:val="28522FE0"/>
    <w:rsid w:val="29127DD1"/>
    <w:rsid w:val="29267C11"/>
    <w:rsid w:val="294A2E54"/>
    <w:rsid w:val="296A2F9F"/>
    <w:rsid w:val="2998574A"/>
    <w:rsid w:val="29B92AA2"/>
    <w:rsid w:val="29D14FFE"/>
    <w:rsid w:val="29E40120"/>
    <w:rsid w:val="29EC1BE0"/>
    <w:rsid w:val="2A063FE4"/>
    <w:rsid w:val="2A1060BE"/>
    <w:rsid w:val="2A1E4926"/>
    <w:rsid w:val="2A273037"/>
    <w:rsid w:val="2A395782"/>
    <w:rsid w:val="2A544E00"/>
    <w:rsid w:val="2A707EC8"/>
    <w:rsid w:val="2A884B9E"/>
    <w:rsid w:val="2AA66BEC"/>
    <w:rsid w:val="2AB12C3B"/>
    <w:rsid w:val="2AC31C08"/>
    <w:rsid w:val="2AC63E3A"/>
    <w:rsid w:val="2AF41E53"/>
    <w:rsid w:val="2B0513A0"/>
    <w:rsid w:val="2B097DA7"/>
    <w:rsid w:val="2B1E77E7"/>
    <w:rsid w:val="2B241423"/>
    <w:rsid w:val="2B6C68DB"/>
    <w:rsid w:val="2BA81A30"/>
    <w:rsid w:val="2C097673"/>
    <w:rsid w:val="2C3445A6"/>
    <w:rsid w:val="2C3A722F"/>
    <w:rsid w:val="2C4058A5"/>
    <w:rsid w:val="2C6B18F9"/>
    <w:rsid w:val="2C8C3B7C"/>
    <w:rsid w:val="2C921419"/>
    <w:rsid w:val="2CA91A51"/>
    <w:rsid w:val="2CDF4518"/>
    <w:rsid w:val="2D125BFD"/>
    <w:rsid w:val="2D877332"/>
    <w:rsid w:val="2DD54A0F"/>
    <w:rsid w:val="2DF271BE"/>
    <w:rsid w:val="2DFC47ED"/>
    <w:rsid w:val="2E2760CC"/>
    <w:rsid w:val="2E704C40"/>
    <w:rsid w:val="2E80686D"/>
    <w:rsid w:val="2E895BDE"/>
    <w:rsid w:val="2E9A012C"/>
    <w:rsid w:val="2EA0410A"/>
    <w:rsid w:val="2EC71DCC"/>
    <w:rsid w:val="2EDF7627"/>
    <w:rsid w:val="2EF47FA6"/>
    <w:rsid w:val="2F3140DB"/>
    <w:rsid w:val="2F380C3E"/>
    <w:rsid w:val="2F3C2909"/>
    <w:rsid w:val="2F5B602D"/>
    <w:rsid w:val="2F656B52"/>
    <w:rsid w:val="2F773248"/>
    <w:rsid w:val="2F856565"/>
    <w:rsid w:val="2FA343F6"/>
    <w:rsid w:val="2FF7C57C"/>
    <w:rsid w:val="304545E8"/>
    <w:rsid w:val="30474804"/>
    <w:rsid w:val="30754E3E"/>
    <w:rsid w:val="30CD3A8E"/>
    <w:rsid w:val="30D51E0F"/>
    <w:rsid w:val="31470B66"/>
    <w:rsid w:val="31617CEF"/>
    <w:rsid w:val="31751AFA"/>
    <w:rsid w:val="31767E71"/>
    <w:rsid w:val="318254C8"/>
    <w:rsid w:val="31B334C3"/>
    <w:rsid w:val="32321E08"/>
    <w:rsid w:val="32385EF0"/>
    <w:rsid w:val="325C5C5F"/>
    <w:rsid w:val="3276317E"/>
    <w:rsid w:val="32AE5E17"/>
    <w:rsid w:val="33910AAB"/>
    <w:rsid w:val="339F7DC0"/>
    <w:rsid w:val="33A61841"/>
    <w:rsid w:val="33E000E5"/>
    <w:rsid w:val="34006852"/>
    <w:rsid w:val="34016815"/>
    <w:rsid w:val="342F7A89"/>
    <w:rsid w:val="34AD15A4"/>
    <w:rsid w:val="35523A2F"/>
    <w:rsid w:val="35A61EA1"/>
    <w:rsid w:val="360911D8"/>
    <w:rsid w:val="360E4A51"/>
    <w:rsid w:val="36560C01"/>
    <w:rsid w:val="365B5BD0"/>
    <w:rsid w:val="367E38A4"/>
    <w:rsid w:val="36B260C9"/>
    <w:rsid w:val="36C2684E"/>
    <w:rsid w:val="36CE5497"/>
    <w:rsid w:val="36EE6DB0"/>
    <w:rsid w:val="3790442C"/>
    <w:rsid w:val="379A05C5"/>
    <w:rsid w:val="379D78CF"/>
    <w:rsid w:val="37C67FAA"/>
    <w:rsid w:val="37CB1393"/>
    <w:rsid w:val="37E868CC"/>
    <w:rsid w:val="37F259E6"/>
    <w:rsid w:val="38264736"/>
    <w:rsid w:val="38763166"/>
    <w:rsid w:val="38A90883"/>
    <w:rsid w:val="38B279B4"/>
    <w:rsid w:val="38C457FD"/>
    <w:rsid w:val="38F372D7"/>
    <w:rsid w:val="38F87E37"/>
    <w:rsid w:val="38F93A05"/>
    <w:rsid w:val="390D0EEA"/>
    <w:rsid w:val="39171FBA"/>
    <w:rsid w:val="3956224D"/>
    <w:rsid w:val="397A0F15"/>
    <w:rsid w:val="398016D6"/>
    <w:rsid w:val="39961129"/>
    <w:rsid w:val="39C9665C"/>
    <w:rsid w:val="3A0F6DD0"/>
    <w:rsid w:val="3A2D05C6"/>
    <w:rsid w:val="3A2E3E02"/>
    <w:rsid w:val="3A4F0BDB"/>
    <w:rsid w:val="3A5F1810"/>
    <w:rsid w:val="3A6507D5"/>
    <w:rsid w:val="3A6E6DEA"/>
    <w:rsid w:val="3A761CC4"/>
    <w:rsid w:val="3A7C32FC"/>
    <w:rsid w:val="3A88536D"/>
    <w:rsid w:val="3A8B0918"/>
    <w:rsid w:val="3AAF1923"/>
    <w:rsid w:val="3AE71FBF"/>
    <w:rsid w:val="3AF244C2"/>
    <w:rsid w:val="3B056063"/>
    <w:rsid w:val="3B077C09"/>
    <w:rsid w:val="3B15706C"/>
    <w:rsid w:val="3B3674C1"/>
    <w:rsid w:val="3B431323"/>
    <w:rsid w:val="3BB33BFE"/>
    <w:rsid w:val="3C7F78B3"/>
    <w:rsid w:val="3C846317"/>
    <w:rsid w:val="3CA558B9"/>
    <w:rsid w:val="3CFC4DDD"/>
    <w:rsid w:val="3D0968BF"/>
    <w:rsid w:val="3D2B37EA"/>
    <w:rsid w:val="3D4A76E1"/>
    <w:rsid w:val="3D5A2FE6"/>
    <w:rsid w:val="3D733EF0"/>
    <w:rsid w:val="3DAC5CA6"/>
    <w:rsid w:val="3DD36C5A"/>
    <w:rsid w:val="3DF31283"/>
    <w:rsid w:val="3E0042A1"/>
    <w:rsid w:val="3E0E070F"/>
    <w:rsid w:val="3E4464B5"/>
    <w:rsid w:val="3EE96C43"/>
    <w:rsid w:val="3EF17445"/>
    <w:rsid w:val="3EF26282"/>
    <w:rsid w:val="3F315E13"/>
    <w:rsid w:val="3F5F7F07"/>
    <w:rsid w:val="3F6E4C84"/>
    <w:rsid w:val="3F740A45"/>
    <w:rsid w:val="3FBFE50E"/>
    <w:rsid w:val="3FC01EDD"/>
    <w:rsid w:val="3FCF3A3E"/>
    <w:rsid w:val="409417A1"/>
    <w:rsid w:val="40B44C10"/>
    <w:rsid w:val="40CA48EC"/>
    <w:rsid w:val="40D667EF"/>
    <w:rsid w:val="40ED406C"/>
    <w:rsid w:val="40FC0C2D"/>
    <w:rsid w:val="40FD1D97"/>
    <w:rsid w:val="40FF672D"/>
    <w:rsid w:val="41C33591"/>
    <w:rsid w:val="41D25EF9"/>
    <w:rsid w:val="4229072A"/>
    <w:rsid w:val="4241219A"/>
    <w:rsid w:val="42431190"/>
    <w:rsid w:val="424741EF"/>
    <w:rsid w:val="42850203"/>
    <w:rsid w:val="42B20202"/>
    <w:rsid w:val="42FC0372"/>
    <w:rsid w:val="4361391A"/>
    <w:rsid w:val="43802150"/>
    <w:rsid w:val="43C26E36"/>
    <w:rsid w:val="43CF1663"/>
    <w:rsid w:val="43D2324F"/>
    <w:rsid w:val="43DD0403"/>
    <w:rsid w:val="43E207FF"/>
    <w:rsid w:val="43F35365"/>
    <w:rsid w:val="440B6331"/>
    <w:rsid w:val="44457AF1"/>
    <w:rsid w:val="44A93358"/>
    <w:rsid w:val="44D9443A"/>
    <w:rsid w:val="451A06ED"/>
    <w:rsid w:val="45225AF9"/>
    <w:rsid w:val="453D63C7"/>
    <w:rsid w:val="456B78EC"/>
    <w:rsid w:val="457B3491"/>
    <w:rsid w:val="45984E10"/>
    <w:rsid w:val="45DF51AF"/>
    <w:rsid w:val="46296199"/>
    <w:rsid w:val="465E1D96"/>
    <w:rsid w:val="468419BA"/>
    <w:rsid w:val="469A249B"/>
    <w:rsid w:val="46F71420"/>
    <w:rsid w:val="47102A26"/>
    <w:rsid w:val="475829D0"/>
    <w:rsid w:val="47E0217A"/>
    <w:rsid w:val="480A42FC"/>
    <w:rsid w:val="480B0A3F"/>
    <w:rsid w:val="483E7D1A"/>
    <w:rsid w:val="484C72AA"/>
    <w:rsid w:val="4864156E"/>
    <w:rsid w:val="49244D8F"/>
    <w:rsid w:val="49247038"/>
    <w:rsid w:val="49E261E4"/>
    <w:rsid w:val="4A1A3E74"/>
    <w:rsid w:val="4A3744DC"/>
    <w:rsid w:val="4A3E4CF3"/>
    <w:rsid w:val="4A411E89"/>
    <w:rsid w:val="4A5B288E"/>
    <w:rsid w:val="4A7E3B94"/>
    <w:rsid w:val="4ABA35F0"/>
    <w:rsid w:val="4ABE12AD"/>
    <w:rsid w:val="4AC42A28"/>
    <w:rsid w:val="4AFC63CD"/>
    <w:rsid w:val="4B357284"/>
    <w:rsid w:val="4B51409F"/>
    <w:rsid w:val="4B665A16"/>
    <w:rsid w:val="4BD7A7EA"/>
    <w:rsid w:val="4C125606"/>
    <w:rsid w:val="4C160526"/>
    <w:rsid w:val="4C1D61CD"/>
    <w:rsid w:val="4C210EF5"/>
    <w:rsid w:val="4CD63001"/>
    <w:rsid w:val="4CDC3826"/>
    <w:rsid w:val="4D2868CB"/>
    <w:rsid w:val="4DA57479"/>
    <w:rsid w:val="4DB07786"/>
    <w:rsid w:val="4DC13C49"/>
    <w:rsid w:val="4DCB34AF"/>
    <w:rsid w:val="4DE139DF"/>
    <w:rsid w:val="4E19322E"/>
    <w:rsid w:val="4EC54586"/>
    <w:rsid w:val="4F082033"/>
    <w:rsid w:val="4F0E7FF8"/>
    <w:rsid w:val="4F1F0E01"/>
    <w:rsid w:val="4F290E6D"/>
    <w:rsid w:val="4F2A72C9"/>
    <w:rsid w:val="4F6620E4"/>
    <w:rsid w:val="4F791EF0"/>
    <w:rsid w:val="4FAD6EC7"/>
    <w:rsid w:val="4FE614EB"/>
    <w:rsid w:val="4FF82FCD"/>
    <w:rsid w:val="50017497"/>
    <w:rsid w:val="50063FE8"/>
    <w:rsid w:val="50186577"/>
    <w:rsid w:val="50416722"/>
    <w:rsid w:val="50447F53"/>
    <w:rsid w:val="505219DB"/>
    <w:rsid w:val="50AD56CE"/>
    <w:rsid w:val="50B30973"/>
    <w:rsid w:val="50E8791B"/>
    <w:rsid w:val="512B3061"/>
    <w:rsid w:val="513973C2"/>
    <w:rsid w:val="51BD3FEA"/>
    <w:rsid w:val="51ED4DB3"/>
    <w:rsid w:val="52146E27"/>
    <w:rsid w:val="52D27B05"/>
    <w:rsid w:val="52E64F23"/>
    <w:rsid w:val="52FC4B82"/>
    <w:rsid w:val="5354676C"/>
    <w:rsid w:val="536D5046"/>
    <w:rsid w:val="53AA4A72"/>
    <w:rsid w:val="53C03E02"/>
    <w:rsid w:val="53E52DB4"/>
    <w:rsid w:val="540208BE"/>
    <w:rsid w:val="544D50D9"/>
    <w:rsid w:val="545C6276"/>
    <w:rsid w:val="54D25EB5"/>
    <w:rsid w:val="54DB3829"/>
    <w:rsid w:val="54E102E3"/>
    <w:rsid w:val="55083CB2"/>
    <w:rsid w:val="55563F10"/>
    <w:rsid w:val="556D465F"/>
    <w:rsid w:val="556D4EBB"/>
    <w:rsid w:val="5584155C"/>
    <w:rsid w:val="55A2088A"/>
    <w:rsid w:val="55BF5030"/>
    <w:rsid w:val="55CA6385"/>
    <w:rsid w:val="55E66E75"/>
    <w:rsid w:val="55EF2E09"/>
    <w:rsid w:val="56101975"/>
    <w:rsid w:val="5617277B"/>
    <w:rsid w:val="563A7E9B"/>
    <w:rsid w:val="563F17F5"/>
    <w:rsid w:val="56655C57"/>
    <w:rsid w:val="56751DF0"/>
    <w:rsid w:val="56B539C6"/>
    <w:rsid w:val="572C2811"/>
    <w:rsid w:val="57392CD8"/>
    <w:rsid w:val="5741332D"/>
    <w:rsid w:val="57FB3603"/>
    <w:rsid w:val="581C5157"/>
    <w:rsid w:val="58354948"/>
    <w:rsid w:val="589667EE"/>
    <w:rsid w:val="58B06210"/>
    <w:rsid w:val="58BC4221"/>
    <w:rsid w:val="58D21AA9"/>
    <w:rsid w:val="58F84A43"/>
    <w:rsid w:val="58F86605"/>
    <w:rsid w:val="593205CE"/>
    <w:rsid w:val="5AA93841"/>
    <w:rsid w:val="5AAA192E"/>
    <w:rsid w:val="5AF344D0"/>
    <w:rsid w:val="5AF56A87"/>
    <w:rsid w:val="5AF73B4C"/>
    <w:rsid w:val="5B01445B"/>
    <w:rsid w:val="5B0907CB"/>
    <w:rsid w:val="5B46753D"/>
    <w:rsid w:val="5B702511"/>
    <w:rsid w:val="5B847399"/>
    <w:rsid w:val="5BB44533"/>
    <w:rsid w:val="5BC44B79"/>
    <w:rsid w:val="5BE03979"/>
    <w:rsid w:val="5BE51882"/>
    <w:rsid w:val="5BE73454"/>
    <w:rsid w:val="5BF56112"/>
    <w:rsid w:val="5C03323C"/>
    <w:rsid w:val="5C414DE8"/>
    <w:rsid w:val="5C572EB5"/>
    <w:rsid w:val="5C5F274D"/>
    <w:rsid w:val="5C5F61A0"/>
    <w:rsid w:val="5C6627B6"/>
    <w:rsid w:val="5C6C36AD"/>
    <w:rsid w:val="5C724368"/>
    <w:rsid w:val="5C9F5A23"/>
    <w:rsid w:val="5CC9246D"/>
    <w:rsid w:val="5CCB7A9F"/>
    <w:rsid w:val="5CF93986"/>
    <w:rsid w:val="5D0638AC"/>
    <w:rsid w:val="5DB85D46"/>
    <w:rsid w:val="5DCB5E66"/>
    <w:rsid w:val="5DE51238"/>
    <w:rsid w:val="5DFFD805"/>
    <w:rsid w:val="5E251187"/>
    <w:rsid w:val="5E3F455B"/>
    <w:rsid w:val="5E5F09AB"/>
    <w:rsid w:val="5E9C2E38"/>
    <w:rsid w:val="5ECE0C99"/>
    <w:rsid w:val="5EE14AA4"/>
    <w:rsid w:val="5F0A2A47"/>
    <w:rsid w:val="5F4C75E5"/>
    <w:rsid w:val="5F522ECB"/>
    <w:rsid w:val="60270506"/>
    <w:rsid w:val="604B5757"/>
    <w:rsid w:val="6078095D"/>
    <w:rsid w:val="60856DD7"/>
    <w:rsid w:val="60903C99"/>
    <w:rsid w:val="60967506"/>
    <w:rsid w:val="609B1944"/>
    <w:rsid w:val="60B6634D"/>
    <w:rsid w:val="60C76855"/>
    <w:rsid w:val="60F4430B"/>
    <w:rsid w:val="610A27C2"/>
    <w:rsid w:val="61A50812"/>
    <w:rsid w:val="61B6615E"/>
    <w:rsid w:val="620568E4"/>
    <w:rsid w:val="627B71A0"/>
    <w:rsid w:val="62DD37AA"/>
    <w:rsid w:val="63106C4A"/>
    <w:rsid w:val="63976673"/>
    <w:rsid w:val="63D30A57"/>
    <w:rsid w:val="63E82325"/>
    <w:rsid w:val="641C3596"/>
    <w:rsid w:val="64447C6C"/>
    <w:rsid w:val="645C7B76"/>
    <w:rsid w:val="646B6C33"/>
    <w:rsid w:val="64A830C6"/>
    <w:rsid w:val="65286EB7"/>
    <w:rsid w:val="65442E9B"/>
    <w:rsid w:val="655E2142"/>
    <w:rsid w:val="65AB4911"/>
    <w:rsid w:val="65DF45BB"/>
    <w:rsid w:val="660C4AF0"/>
    <w:rsid w:val="667F7D42"/>
    <w:rsid w:val="672777C9"/>
    <w:rsid w:val="6729674E"/>
    <w:rsid w:val="67665908"/>
    <w:rsid w:val="678036AE"/>
    <w:rsid w:val="67915D89"/>
    <w:rsid w:val="67AB0999"/>
    <w:rsid w:val="67B32C30"/>
    <w:rsid w:val="67C955F8"/>
    <w:rsid w:val="67F041B2"/>
    <w:rsid w:val="68817BAC"/>
    <w:rsid w:val="68B87428"/>
    <w:rsid w:val="68BB5A72"/>
    <w:rsid w:val="68F6534C"/>
    <w:rsid w:val="692F24C1"/>
    <w:rsid w:val="6939071B"/>
    <w:rsid w:val="6939102D"/>
    <w:rsid w:val="69503956"/>
    <w:rsid w:val="69BF2C3F"/>
    <w:rsid w:val="69D54BC0"/>
    <w:rsid w:val="69F17C5C"/>
    <w:rsid w:val="69F83187"/>
    <w:rsid w:val="6A282625"/>
    <w:rsid w:val="6A3419CA"/>
    <w:rsid w:val="6A4D269B"/>
    <w:rsid w:val="6A560F28"/>
    <w:rsid w:val="6A797808"/>
    <w:rsid w:val="6A891297"/>
    <w:rsid w:val="6A9C3978"/>
    <w:rsid w:val="6ACF0F63"/>
    <w:rsid w:val="6AD8523C"/>
    <w:rsid w:val="6B0845B4"/>
    <w:rsid w:val="6B436283"/>
    <w:rsid w:val="6B7666A0"/>
    <w:rsid w:val="6BA67EB4"/>
    <w:rsid w:val="6BA84375"/>
    <w:rsid w:val="6BD72B24"/>
    <w:rsid w:val="6C600CDA"/>
    <w:rsid w:val="6C762E7E"/>
    <w:rsid w:val="6C922387"/>
    <w:rsid w:val="6CD32FEB"/>
    <w:rsid w:val="6CD42A17"/>
    <w:rsid w:val="6CEA7E4C"/>
    <w:rsid w:val="6CEC29E0"/>
    <w:rsid w:val="6D1B5985"/>
    <w:rsid w:val="6D344536"/>
    <w:rsid w:val="6D4B22A2"/>
    <w:rsid w:val="6D774C0B"/>
    <w:rsid w:val="6D831710"/>
    <w:rsid w:val="6D8455BA"/>
    <w:rsid w:val="6DC83F0A"/>
    <w:rsid w:val="6DF7168F"/>
    <w:rsid w:val="6E353A32"/>
    <w:rsid w:val="6E636C6E"/>
    <w:rsid w:val="6E742683"/>
    <w:rsid w:val="6EC57260"/>
    <w:rsid w:val="6F043F31"/>
    <w:rsid w:val="6F0E52E8"/>
    <w:rsid w:val="6F655ACF"/>
    <w:rsid w:val="6F835D7B"/>
    <w:rsid w:val="6FAE2879"/>
    <w:rsid w:val="6FE31A6C"/>
    <w:rsid w:val="6FEA4288"/>
    <w:rsid w:val="6FF25363"/>
    <w:rsid w:val="6FF76652"/>
    <w:rsid w:val="70024467"/>
    <w:rsid w:val="70194095"/>
    <w:rsid w:val="708C4146"/>
    <w:rsid w:val="70B72996"/>
    <w:rsid w:val="70C92F6F"/>
    <w:rsid w:val="70DB68D7"/>
    <w:rsid w:val="70EC47EA"/>
    <w:rsid w:val="71290C33"/>
    <w:rsid w:val="714D4ACF"/>
    <w:rsid w:val="716E3926"/>
    <w:rsid w:val="7171012E"/>
    <w:rsid w:val="7197453A"/>
    <w:rsid w:val="71A01B77"/>
    <w:rsid w:val="71A54D29"/>
    <w:rsid w:val="71DE745D"/>
    <w:rsid w:val="722D62E3"/>
    <w:rsid w:val="727F44F3"/>
    <w:rsid w:val="728359ED"/>
    <w:rsid w:val="72BD5C84"/>
    <w:rsid w:val="7304438F"/>
    <w:rsid w:val="73085C46"/>
    <w:rsid w:val="731709D3"/>
    <w:rsid w:val="733F8FAA"/>
    <w:rsid w:val="739369E5"/>
    <w:rsid w:val="73DE0228"/>
    <w:rsid w:val="74442D83"/>
    <w:rsid w:val="74632079"/>
    <w:rsid w:val="74661BE6"/>
    <w:rsid w:val="747E5E34"/>
    <w:rsid w:val="74B51E7D"/>
    <w:rsid w:val="74DA0D6F"/>
    <w:rsid w:val="751F4C9B"/>
    <w:rsid w:val="75306BE1"/>
    <w:rsid w:val="75FB99E6"/>
    <w:rsid w:val="76050920"/>
    <w:rsid w:val="76936197"/>
    <w:rsid w:val="76C3532E"/>
    <w:rsid w:val="76C778EB"/>
    <w:rsid w:val="76D54682"/>
    <w:rsid w:val="76F6A520"/>
    <w:rsid w:val="7757693D"/>
    <w:rsid w:val="775B07E0"/>
    <w:rsid w:val="775C4818"/>
    <w:rsid w:val="77704880"/>
    <w:rsid w:val="7772528F"/>
    <w:rsid w:val="777F961F"/>
    <w:rsid w:val="779EA5EE"/>
    <w:rsid w:val="77B35E2C"/>
    <w:rsid w:val="77BF2C19"/>
    <w:rsid w:val="77E41AA7"/>
    <w:rsid w:val="77FB6F7A"/>
    <w:rsid w:val="78155176"/>
    <w:rsid w:val="785328F2"/>
    <w:rsid w:val="786A240A"/>
    <w:rsid w:val="789465C4"/>
    <w:rsid w:val="78CA163A"/>
    <w:rsid w:val="78F25B22"/>
    <w:rsid w:val="796B11C3"/>
    <w:rsid w:val="79A87EB4"/>
    <w:rsid w:val="79C71236"/>
    <w:rsid w:val="7A2D6FBC"/>
    <w:rsid w:val="7AD33C0D"/>
    <w:rsid w:val="7AF31D93"/>
    <w:rsid w:val="7AF406B1"/>
    <w:rsid w:val="7B0E5DCE"/>
    <w:rsid w:val="7B0F1874"/>
    <w:rsid w:val="7B187EFC"/>
    <w:rsid w:val="7B445194"/>
    <w:rsid w:val="7BFC781D"/>
    <w:rsid w:val="7C403AAF"/>
    <w:rsid w:val="7C582B10"/>
    <w:rsid w:val="7C5A34A0"/>
    <w:rsid w:val="7C715C38"/>
    <w:rsid w:val="7C7A2722"/>
    <w:rsid w:val="7CBA7C88"/>
    <w:rsid w:val="7CC06A9D"/>
    <w:rsid w:val="7CFF8C97"/>
    <w:rsid w:val="7D2E186E"/>
    <w:rsid w:val="7D2F57E7"/>
    <w:rsid w:val="7D6704FF"/>
    <w:rsid w:val="7D7706C8"/>
    <w:rsid w:val="7D883202"/>
    <w:rsid w:val="7DBA173E"/>
    <w:rsid w:val="7DC70768"/>
    <w:rsid w:val="7DF651AB"/>
    <w:rsid w:val="7DFC0E94"/>
    <w:rsid w:val="7E17715E"/>
    <w:rsid w:val="7E2C0299"/>
    <w:rsid w:val="7E6F7C7C"/>
    <w:rsid w:val="7EBD3600"/>
    <w:rsid w:val="7EBE4AC5"/>
    <w:rsid w:val="7EBF248B"/>
    <w:rsid w:val="7EDC282E"/>
    <w:rsid w:val="7F0A07D1"/>
    <w:rsid w:val="7F301C41"/>
    <w:rsid w:val="7F5DF478"/>
    <w:rsid w:val="7FD9144C"/>
    <w:rsid w:val="7FF3D383"/>
    <w:rsid w:val="7FFF168A"/>
    <w:rsid w:val="9F2FFF28"/>
    <w:rsid w:val="B2BF0A54"/>
    <w:rsid w:val="B2EFD3AA"/>
    <w:rsid w:val="B9DADC5D"/>
    <w:rsid w:val="BFDF58CC"/>
    <w:rsid w:val="C19E24D7"/>
    <w:rsid w:val="D57E7501"/>
    <w:rsid w:val="DBBFA7DD"/>
    <w:rsid w:val="DDEFFC90"/>
    <w:rsid w:val="DEE5319F"/>
    <w:rsid w:val="DFFF535C"/>
    <w:rsid w:val="EE9DE28C"/>
    <w:rsid w:val="F27F2CA7"/>
    <w:rsid w:val="F2FF4B79"/>
    <w:rsid w:val="F7DFBFB0"/>
    <w:rsid w:val="F7F74575"/>
    <w:rsid w:val="FD7F1EB3"/>
    <w:rsid w:val="FDFBAEA6"/>
    <w:rsid w:val="FF7B9952"/>
    <w:rsid w:val="FFD395D7"/>
    <w:rsid w:val="FFFF6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index 9"/>
    <w:basedOn w:val="1"/>
    <w:next w:val="1"/>
    <w:unhideWhenUsed/>
    <w:qFormat/>
    <w:uiPriority w:val="99"/>
    <w:pPr>
      <w:spacing w:line="560" w:lineRule="exact"/>
      <w:ind w:firstLine="720" w:firstLineChars="200"/>
    </w:pPr>
    <w:rPr>
      <w:rFonts w:ascii="仿宋_GB2312" w:hAnsi="黑体" w:eastAsia="仿宋_GB2312"/>
      <w:sz w:val="36"/>
      <w:szCs w:val="36"/>
    </w:rPr>
  </w:style>
  <w:style w:type="paragraph" w:styleId="3">
    <w:name w:val="annotation text"/>
    <w:basedOn w:val="1"/>
    <w:qFormat/>
    <w:uiPriority w:val="0"/>
    <w:pPr>
      <w:jc w:val="left"/>
    </w:pPr>
  </w:style>
  <w:style w:type="paragraph" w:styleId="4">
    <w:name w:val="Body Text"/>
    <w:basedOn w:val="1"/>
    <w:next w:val="5"/>
    <w:qFormat/>
    <w:uiPriority w:val="0"/>
    <w:rPr>
      <w:rFonts w:eastAsia="仿宋_GB2312"/>
      <w:sz w:val="28"/>
    </w:rPr>
  </w:style>
  <w:style w:type="paragraph" w:customStyle="1" w:styleId="5">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styleId="6">
    <w:name w:val="Block Text"/>
    <w:basedOn w:val="1"/>
    <w:qFormat/>
    <w:uiPriority w:val="0"/>
    <w:pPr>
      <w:spacing w:after="120"/>
      <w:ind w:left="1440" w:leftChars="700" w:right="1440" w:rightChars="700"/>
    </w:pPr>
  </w:style>
  <w:style w:type="paragraph" w:styleId="7">
    <w:name w:val="Plain Text"/>
    <w:basedOn w:val="1"/>
    <w:qFormat/>
    <w:uiPriority w:val="0"/>
    <w:pPr>
      <w:spacing w:line="560" w:lineRule="exact"/>
      <w:ind w:firstLine="640" w:firstLineChars="200"/>
    </w:pPr>
    <w:rPr>
      <w:rFonts w:ascii="宋体" w:hAnsi="Courier New" w:eastAsia="仿宋_GB2312"/>
      <w:sz w:val="32"/>
    </w:rPr>
  </w:style>
  <w:style w:type="paragraph" w:styleId="8">
    <w:name w:val="Balloon Text"/>
    <w:basedOn w:val="1"/>
    <w:link w:val="2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Body Text 2"/>
    <w:basedOn w:val="1"/>
    <w:qFormat/>
    <w:uiPriority w:val="0"/>
    <w:pPr>
      <w:framePr w:wrap="around" w:vAnchor="margin" w:hAnchor="text" w:y="1"/>
      <w:spacing w:line="360" w:lineRule="auto"/>
      <w:ind w:firstLine="200"/>
    </w:pPr>
    <w:rPr>
      <w:rFonts w:eastAsia="Calibri" w:cs="Calibri"/>
      <w:color w:val="000000"/>
      <w:sz w:val="32"/>
      <w:szCs w:val="32"/>
    </w:rPr>
  </w:style>
  <w:style w:type="paragraph" w:styleId="12">
    <w:name w:val="Body Text First Indent"/>
    <w:basedOn w:val="4"/>
    <w:qFormat/>
    <w:uiPriority w:val="0"/>
    <w:pPr>
      <w:spacing w:beforeAutospacing="1" w:after="100" w:afterAutospacing="1"/>
      <w:ind w:left="1548" w:firstLine="420" w:firstLineChars="100"/>
    </w:pPr>
    <w:rPr>
      <w:kern w:val="0"/>
      <w:sz w:val="20"/>
      <w:szCs w:val="20"/>
    </w:rPr>
  </w:style>
  <w:style w:type="paragraph" w:styleId="13">
    <w:name w:val="Body Text First Indent 2"/>
    <w:basedOn w:val="1"/>
    <w:next w:val="1"/>
    <w:qFormat/>
    <w:uiPriority w:val="0"/>
    <w:pPr>
      <w:spacing w:line="360" w:lineRule="auto"/>
      <w:ind w:firstLine="420" w:firstLineChars="200"/>
    </w:pPr>
    <w:rPr>
      <w:rFonts w:ascii="仿宋_GB2312"/>
      <w:szCs w:val="32"/>
    </w:rPr>
  </w:style>
  <w:style w:type="character" w:styleId="16">
    <w:name w:val="Emphasis"/>
    <w:basedOn w:val="15"/>
    <w:qFormat/>
    <w:uiPriority w:val="0"/>
    <w:rPr>
      <w:i/>
    </w:rPr>
  </w:style>
  <w:style w:type="character" w:styleId="17">
    <w:name w:val="annotation reference"/>
    <w:basedOn w:val="15"/>
    <w:qFormat/>
    <w:uiPriority w:val="0"/>
    <w:rPr>
      <w:sz w:val="21"/>
      <w:szCs w:val="21"/>
    </w:rPr>
  </w:style>
  <w:style w:type="paragraph" w:customStyle="1" w:styleId="18">
    <w:name w:val="正文文本 21"/>
    <w:basedOn w:val="1"/>
    <w:qFormat/>
    <w:uiPriority w:val="0"/>
    <w:pPr>
      <w:spacing w:after="120" w:line="480" w:lineRule="auto"/>
    </w:pPr>
  </w:style>
  <w:style w:type="paragraph" w:customStyle="1" w:styleId="19">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20">
    <w:name w:val="修订2"/>
    <w:unhideWhenUsed/>
    <w:qFormat/>
    <w:uiPriority w:val="99"/>
    <w:rPr>
      <w:rFonts w:ascii="Times New Roman" w:hAnsi="Times New Roman" w:eastAsia="宋体" w:cs="Times New Roman"/>
      <w:kern w:val="2"/>
      <w:sz w:val="21"/>
      <w:szCs w:val="24"/>
      <w:lang w:val="en-US" w:eastAsia="zh-CN" w:bidi="ar-SA"/>
    </w:rPr>
  </w:style>
  <w:style w:type="character" w:customStyle="1" w:styleId="21">
    <w:name w:val="批注框文本 Char"/>
    <w:basedOn w:val="15"/>
    <w:link w:val="8"/>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17573</Words>
  <Characters>17983</Characters>
  <Lines>125</Lines>
  <Paragraphs>35</Paragraphs>
  <TotalTime>9</TotalTime>
  <ScaleCrop>false</ScaleCrop>
  <LinksUpToDate>false</LinksUpToDate>
  <CharactersWithSpaces>18013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2026-02-28T16:00:00Z</dcterms:created>
  <dc:creator>薛睿</dc:creator>
  <cp:lastModifiedBy>user</cp:lastModifiedBy>
  <cp:lastPrinted>2026-03-02T22:48:00Z</cp:lastPrinted>
  <dcterms:modified xsi:type="dcterms:W3CDTF">2026-03-17T09:31:08Z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B91D7341004441C8B17CD6D65D352941</vt:lpwstr>
  </property>
  <property fmtid="{D5CDD505-2E9C-101B-9397-08002B2CF9AE}" pid="4" name="KSOTemplateDocerSaveRecord">
    <vt:lpwstr>eyJoZGlkIjoiMzliN2ZhNDliZDQxOTg1MTViZWFlOTJjMGNjMDc3NmIiLCJ1c2VySWQiOiIxMDczODQ1MjU3In0=</vt:lpwstr>
  </property>
</Properties>
</file>