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AAEDB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420"/>
        <w:jc w:val="center"/>
        <w:textAlignment w:val="baseline"/>
        <w:rPr>
          <w:rFonts w:hint="default" w:ascii="Calibri" w:hAnsi="Calibri" w:cs="Calibri"/>
          <w:b w:val="0"/>
          <w:i w:val="0"/>
          <w:caps w:val="0"/>
          <w:color w:val="505050"/>
          <w:spacing w:val="0"/>
          <w:sz w:val="21"/>
          <w:szCs w:val="21"/>
          <w:u w:val="none"/>
        </w:rPr>
      </w:pPr>
      <w:bookmarkStart w:id="0" w:name="OLE_LINK2"/>
      <w:r>
        <w:rPr>
          <w:rFonts w:ascii="方正小标宋简体" w:hAnsi="方正小标宋简体" w:eastAsia="方正小标宋简体" w:cs="方正小标宋简体"/>
          <w:b w:val="0"/>
          <w:i w:val="0"/>
          <w:caps w:val="0"/>
          <w:color w:val="505050"/>
          <w:spacing w:val="0"/>
          <w:sz w:val="44"/>
          <w:szCs w:val="44"/>
          <w:u w:val="none"/>
          <w:shd w:val="clear" w:fill="FFFFFF"/>
          <w:vertAlign w:val="baseline"/>
        </w:rPr>
        <w:t>通州区北苑街道办事处执法年报</w:t>
      </w:r>
    </w:p>
    <w:p w14:paraId="6E8533E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420"/>
        <w:jc w:val="both"/>
        <w:textAlignment w:val="baseline"/>
        <w:rPr>
          <w:rFonts w:hint="default" w:ascii="Calibri" w:hAnsi="Calibri" w:cs="Calibri"/>
          <w:b w:val="0"/>
          <w:i w:val="0"/>
          <w:caps w:val="0"/>
          <w:color w:val="505050"/>
          <w:spacing w:val="0"/>
          <w:sz w:val="21"/>
          <w:szCs w:val="21"/>
          <w:u w:val="none"/>
        </w:rPr>
      </w:pPr>
      <w:r>
        <w:rPr>
          <w:rFonts w:ascii="仿宋_GB2312" w:hAnsi="仿宋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（一）行政执法机关的执法主体名称</w:t>
      </w:r>
      <w:r>
        <w:rPr>
          <w:rFonts w:hint="eastAsia" w:ascii="仿宋_GB2312" w:hAnsi="仿宋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eastAsia="zh-CN"/>
        </w:rPr>
        <w:t>和</w:t>
      </w:r>
      <w:bookmarkStart w:id="1" w:name="OLE_LINK3"/>
      <w:r>
        <w:rPr>
          <w:rFonts w:hint="eastAsia" w:ascii="仿宋_GB2312" w:hAnsi="仿宋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eastAsia="zh-CN"/>
        </w:rPr>
        <w:t>数量</w:t>
      </w:r>
      <w:bookmarkEnd w:id="1"/>
      <w:r>
        <w:rPr>
          <w:rFonts w:hint="eastAsia" w:ascii="仿宋_GB2312" w:hAnsi="仿宋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eastAsia="zh-CN"/>
        </w:rPr>
        <w:t>情况</w:t>
      </w:r>
    </w:p>
    <w:p w14:paraId="21097F5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jc w:val="both"/>
        <w:textAlignment w:val="baseline"/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</w:pP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eastAsia="zh-CN"/>
        </w:rPr>
        <w:t>执法主体名称：</w:t>
      </w: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北京市通州区北苑街道办事处</w:t>
      </w: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eastAsia="zh-CN"/>
        </w:rPr>
        <w:t>；</w:t>
      </w:r>
    </w:p>
    <w:p w14:paraId="4B93485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jc w:val="both"/>
        <w:textAlignment w:val="baseline"/>
        <w:rPr>
          <w:rFonts w:hint="default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</w:pP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eastAsia="zh-CN"/>
        </w:rPr>
        <w:t>数量：</w:t>
      </w: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1个。</w:t>
      </w:r>
    </w:p>
    <w:p w14:paraId="0CDBB50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420"/>
        <w:jc w:val="both"/>
        <w:textAlignment w:val="baseline"/>
        <w:rPr>
          <w:rFonts w:hint="default" w:ascii="Calibri" w:hAnsi="Calibri" w:cs="Calibri"/>
          <w:b w:val="0"/>
          <w:i w:val="0"/>
          <w:caps w:val="0"/>
          <w:color w:val="505050"/>
          <w:spacing w:val="0"/>
          <w:sz w:val="21"/>
          <w:szCs w:val="21"/>
          <w:u w:val="none"/>
        </w:rPr>
      </w:pPr>
      <w:r>
        <w:rPr>
          <w:rFonts w:hint="eastAsia" w:ascii="仿宋_GB2312" w:hAnsi="仿宋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（二）各执法主体的执法岗位设置及执法人员在岗情况</w:t>
      </w:r>
    </w:p>
    <w:p w14:paraId="42A770B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jc w:val="both"/>
        <w:textAlignment w:val="baseline"/>
        <w:rPr>
          <w:rFonts w:hint="default" w:ascii="Calibri" w:hAnsi="Calibri" w:cs="Calibri"/>
          <w:b w:val="0"/>
          <w:i w:val="0"/>
          <w:caps w:val="0"/>
          <w:color w:val="505050"/>
          <w:spacing w:val="0"/>
          <w:sz w:val="21"/>
          <w:szCs w:val="21"/>
          <w:highlight w:val="none"/>
          <w:u w:val="none"/>
        </w:rPr>
      </w:pP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北苑街道办事处共设置了两个执法岗，分别为：</w:t>
      </w: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highlight w:val="none"/>
          <w:u w:val="none"/>
          <w:shd w:val="clear" w:fill="FFFFFF"/>
          <w:vertAlign w:val="baseline"/>
        </w:rPr>
        <w:t>综合执法审查决定岗核定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highlight w:val="none"/>
          <w:u w:val="none"/>
          <w:shd w:val="clear" w:fill="FFFFFF"/>
          <w:vertAlign w:val="baseline"/>
        </w:rPr>
        <w:t>1</w:t>
      </w: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highlight w:val="none"/>
          <w:u w:val="none"/>
          <w:shd w:val="clear" w:fill="FFFFFF"/>
          <w:vertAlign w:val="baseline"/>
        </w:rPr>
        <w:t>人，综合执法业务承办岗核定岗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highlight w:val="none"/>
          <w:u w:val="none"/>
          <w:shd w:val="clear" w:fill="FFFFFF"/>
          <w:vertAlign w:val="baseline"/>
          <w:lang w:val="en-US" w:eastAsia="zh-CN"/>
        </w:rPr>
        <w:t>19</w:t>
      </w: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highlight w:val="none"/>
          <w:u w:val="none"/>
          <w:shd w:val="clear" w:fill="FFFFFF"/>
          <w:vertAlign w:val="baseline"/>
        </w:rPr>
        <w:t>人。</w:t>
      </w:r>
    </w:p>
    <w:p w14:paraId="7279420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420"/>
        <w:jc w:val="both"/>
        <w:textAlignment w:val="baseline"/>
        <w:rPr>
          <w:rFonts w:hint="default" w:ascii="Calibri" w:hAnsi="Calibri" w:cs="Calibri"/>
          <w:b w:val="0"/>
          <w:i w:val="0"/>
          <w:caps w:val="0"/>
          <w:color w:val="505050"/>
          <w:spacing w:val="0"/>
          <w:sz w:val="21"/>
          <w:szCs w:val="21"/>
          <w:u w:val="none"/>
        </w:rPr>
      </w:pPr>
      <w:r>
        <w:rPr>
          <w:rFonts w:hint="eastAsia" w:ascii="仿宋_GB2312" w:hAnsi="仿宋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（三）执法力量投入情况</w:t>
      </w:r>
    </w:p>
    <w:p w14:paraId="3FCCF973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right="0" w:rightChars="0"/>
        <w:jc w:val="both"/>
        <w:textAlignment w:val="baseline"/>
        <w:outlineLvl w:val="9"/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highlight w:val="none"/>
          <w:u w:val="none"/>
          <w:shd w:val="clear" w:fill="FFFFFF"/>
          <w:vertAlign w:val="baseline"/>
        </w:rPr>
      </w:pP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 xml:space="preserve">    </w:t>
      </w: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高度重视行政执法工作，按照“双</w:t>
      </w: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highlight w:val="none"/>
          <w:u w:val="none"/>
          <w:shd w:val="clear" w:fill="FFFFFF"/>
          <w:vertAlign w:val="baseline"/>
        </w:rPr>
        <w:t>随机一公开”的要求行使检查职权，将重点检查与全面检查相结合。本年度共投入执法人员</w:t>
      </w: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highlight w:val="none"/>
          <w:u w:val="none"/>
          <w:shd w:val="clear" w:fill="FFFFFF"/>
          <w:vertAlign w:val="baseline"/>
          <w:lang w:val="en-US" w:eastAsia="zh-CN"/>
        </w:rPr>
        <w:t>19</w:t>
      </w: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highlight w:val="none"/>
          <w:u w:val="none"/>
          <w:shd w:val="clear" w:fill="FFFFFF"/>
          <w:vertAlign w:val="baseline"/>
        </w:rPr>
        <w:t>人，全部参与行政执法检查。</w:t>
      </w:r>
    </w:p>
    <w:p w14:paraId="1F45DA2E"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atLeast"/>
        <w:ind w:right="0" w:rightChars="0"/>
        <w:jc w:val="both"/>
        <w:textAlignment w:val="baseline"/>
        <w:outlineLvl w:val="9"/>
        <w:rPr>
          <w:rFonts w:hint="eastAsia" w:ascii="仿宋_GB2312" w:hAnsi="仿宋" w:eastAsia="仿宋_GB2312" w:cs="仿宋_GB2312"/>
          <w:b/>
          <w:i w:val="0"/>
          <w:caps w:val="0"/>
          <w:color w:val="505050"/>
          <w:spacing w:val="0"/>
          <w:kern w:val="0"/>
          <w:sz w:val="32"/>
          <w:szCs w:val="32"/>
          <w:u w:val="none"/>
          <w:shd w:val="clear" w:fill="FFFFFF"/>
          <w:vertAlign w:val="baseline"/>
          <w:lang w:val="en-US" w:eastAsia="zh-CN" w:bidi="ar"/>
        </w:rPr>
      </w:pP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 xml:space="preserve">    </w:t>
      </w:r>
      <w:r>
        <w:rPr>
          <w:rFonts w:hint="eastAsia" w:ascii="仿宋_GB2312" w:hAnsi="仿宋" w:eastAsia="仿宋_GB2312" w:cs="仿宋_GB2312"/>
          <w:b/>
          <w:i w:val="0"/>
          <w:caps w:val="0"/>
          <w:color w:val="505050"/>
          <w:spacing w:val="0"/>
          <w:kern w:val="0"/>
          <w:sz w:val="32"/>
          <w:szCs w:val="32"/>
          <w:u w:val="none"/>
          <w:shd w:val="clear" w:fill="FFFFFF"/>
          <w:vertAlign w:val="baseline"/>
          <w:lang w:val="en-US" w:eastAsia="zh-CN" w:bidi="ar"/>
        </w:rPr>
        <w:t>（四）政务服务事项的办理情况</w:t>
      </w:r>
    </w:p>
    <w:p w14:paraId="0280E87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jc w:val="both"/>
        <w:textAlignment w:val="baseline"/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</w:pP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无。</w:t>
      </w:r>
    </w:p>
    <w:p w14:paraId="4C3C316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420"/>
        <w:jc w:val="both"/>
        <w:textAlignment w:val="baseline"/>
        <w:rPr>
          <w:rFonts w:hint="default" w:ascii="Calibri" w:hAnsi="Calibri" w:cs="Calibri"/>
          <w:b w:val="0"/>
          <w:i w:val="0"/>
          <w:caps w:val="0"/>
          <w:color w:val="505050"/>
          <w:spacing w:val="0"/>
          <w:sz w:val="21"/>
          <w:szCs w:val="21"/>
          <w:u w:val="none"/>
        </w:rPr>
      </w:pPr>
      <w:r>
        <w:rPr>
          <w:rFonts w:hint="eastAsia" w:ascii="仿宋_GB2312" w:hAnsi="仿宋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（</w:t>
      </w:r>
      <w:r>
        <w:rPr>
          <w:rFonts w:hint="eastAsia" w:ascii="仿宋_GB2312" w:hAnsi="仿宋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eastAsia="zh-CN"/>
        </w:rPr>
        <w:t>五</w:t>
      </w:r>
      <w:r>
        <w:rPr>
          <w:rFonts w:hint="eastAsia" w:ascii="仿宋_GB2312" w:hAnsi="仿宋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）执法检查计划执行情况</w:t>
      </w:r>
    </w:p>
    <w:p w14:paraId="61CA6228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highlight w:val="none"/>
          <w:u w:val="none"/>
          <w:shd w:val="clear" w:fill="FFFFFF"/>
          <w:vertAlign w:val="baseline"/>
          <w:lang w:val="en-US" w:eastAsia="zh-CN"/>
        </w:rPr>
      </w:pP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按照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eastAsia="zh-CN"/>
        </w:rPr>
        <w:t>2025</w:t>
      </w: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年度行政执法工作计划，坚持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“全面履职能、主动有作为，反复抓落实、实现高标准”的工作思路，结合不同的季节特点</w:t>
      </w: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及辖区重点任务，制定相关工作方案，依据市区局的相关工作安排，积极展开执法检查行动，依法依规实施处罚，圆满完成了年度执法工作。</w:t>
      </w: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根据2025年度行政执法检查计划开展执法检查，2025年共开展执法检查</w:t>
      </w:r>
      <w:r>
        <w:rPr>
          <w:rFonts w:hint="default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highlight w:val="none"/>
          <w:u w:val="none"/>
          <w:shd w:val="clear" w:fill="FFFFFF"/>
          <w:vertAlign w:val="baseline"/>
          <w:lang w:val="en-US" w:eastAsia="zh-CN"/>
        </w:rPr>
        <w:t>1540</w:t>
      </w: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highlight w:val="none"/>
          <w:u w:val="none"/>
          <w:shd w:val="clear" w:fill="FFFFFF"/>
          <w:vertAlign w:val="baseline"/>
          <w:lang w:val="en-US" w:eastAsia="zh-CN"/>
        </w:rPr>
        <w:t>次，其中现场检查</w:t>
      </w:r>
      <w:r>
        <w:rPr>
          <w:rFonts w:hint="default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highlight w:val="none"/>
          <w:u w:val="none"/>
          <w:shd w:val="clear" w:fill="FFFFFF"/>
          <w:vertAlign w:val="baseline"/>
          <w:lang w:val="en-US" w:eastAsia="zh-CN"/>
        </w:rPr>
        <w:t>443</w:t>
      </w: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highlight w:val="none"/>
          <w:u w:val="none"/>
          <w:shd w:val="clear" w:fill="FFFFFF"/>
          <w:vertAlign w:val="baseline"/>
          <w:lang w:val="en-US" w:eastAsia="zh-CN"/>
        </w:rPr>
        <w:t>次，非现场检查</w:t>
      </w:r>
      <w:bookmarkStart w:id="2" w:name="_GoBack"/>
      <w:bookmarkEnd w:id="2"/>
      <w:r>
        <w:rPr>
          <w:rFonts w:hint="default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highlight w:val="none"/>
          <w:u w:val="none"/>
          <w:shd w:val="clear" w:fill="FFFFFF"/>
          <w:vertAlign w:val="baseline"/>
          <w:lang w:val="en-US" w:eastAsia="zh-CN"/>
        </w:rPr>
        <w:t>1097</w:t>
      </w: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highlight w:val="none"/>
          <w:u w:val="none"/>
          <w:shd w:val="clear" w:fill="FFFFFF"/>
          <w:vertAlign w:val="baseline"/>
          <w:lang w:val="en-US" w:eastAsia="zh-CN"/>
        </w:rPr>
        <w:t>次，对同</w:t>
      </w: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>一企业实施入企检查年度频次上限为6次/年。</w:t>
      </w:r>
    </w:p>
    <w:p w14:paraId="4AC6AD43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420"/>
        <w:jc w:val="both"/>
        <w:textAlignment w:val="baseline"/>
        <w:rPr>
          <w:rFonts w:hint="default" w:ascii="Calibri" w:hAnsi="Calibri" w:cs="Calibri"/>
          <w:b w:val="0"/>
          <w:i w:val="0"/>
          <w:caps w:val="0"/>
          <w:color w:val="505050"/>
          <w:spacing w:val="0"/>
          <w:sz w:val="21"/>
          <w:szCs w:val="21"/>
          <w:u w:val="none"/>
        </w:rPr>
      </w:pPr>
      <w:r>
        <w:rPr>
          <w:rFonts w:hint="eastAsia" w:ascii="仿宋_GB2312" w:hAnsi="仿宋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（</w:t>
      </w:r>
      <w:r>
        <w:rPr>
          <w:rFonts w:hint="eastAsia" w:ascii="仿宋_GB2312" w:hAnsi="仿宋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eastAsia="zh-CN"/>
        </w:rPr>
        <w:t>六</w:t>
      </w:r>
      <w:r>
        <w:rPr>
          <w:rFonts w:hint="eastAsia" w:ascii="仿宋_GB2312" w:hAnsi="仿宋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）部门联合执法检查情况</w:t>
      </w:r>
    </w:p>
    <w:p w14:paraId="20E0A04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right="0"/>
        <w:jc w:val="both"/>
        <w:textAlignment w:val="baseline"/>
        <w:rPr>
          <w:rFonts w:hint="default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highlight w:val="green"/>
          <w:u w:val="none"/>
          <w:shd w:val="clear" w:fill="FFFFFF"/>
          <w:vertAlign w:val="baseline"/>
          <w:lang w:val="en-US" w:eastAsia="zh-CN"/>
        </w:rPr>
      </w:pP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val="en-US" w:eastAsia="zh-CN"/>
        </w:rPr>
        <w:t xml:space="preserve"> </w:t>
      </w: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highlight w:val="none"/>
          <w:u w:val="none"/>
          <w:shd w:val="clear" w:fill="FFFFFF"/>
          <w:vertAlign w:val="baseline"/>
          <w:lang w:val="en-US" w:eastAsia="zh-CN"/>
        </w:rPr>
        <w:t xml:space="preserve">   2025年开展</w:t>
      </w:r>
      <w:r>
        <w:rPr>
          <w:rFonts w:hint="eastAsia" w:ascii="仿宋_GB2312" w:hAnsi="宋体" w:eastAsia="仿宋_GB2312" w:cs="仿宋_GB2312"/>
          <w:b w:val="0"/>
          <w:i w:val="0"/>
          <w:caps w:val="0"/>
          <w:color w:val="404040"/>
          <w:spacing w:val="0"/>
          <w:sz w:val="32"/>
          <w:szCs w:val="32"/>
          <w:highlight w:val="none"/>
          <w:shd w:val="clear" w:fill="FFFFFF"/>
        </w:rPr>
        <w:t>部门联合执法检查</w:t>
      </w:r>
      <w:r>
        <w:rPr>
          <w:rFonts w:hint="eastAsia" w:ascii="仿宋_GB2312" w:hAnsi="宋体" w:eastAsia="仿宋_GB2312" w:cs="仿宋_GB2312"/>
          <w:b w:val="0"/>
          <w:i w:val="0"/>
          <w:caps w:val="0"/>
          <w:color w:val="404040"/>
          <w:spacing w:val="0"/>
          <w:sz w:val="32"/>
          <w:szCs w:val="32"/>
          <w:highlight w:val="none"/>
          <w:shd w:val="clear" w:fill="FFFFFF"/>
          <w:lang w:val="en-US" w:eastAsia="zh-CN"/>
        </w:rPr>
        <w:t>306</w:t>
      </w:r>
      <w:r>
        <w:rPr>
          <w:rFonts w:hint="eastAsia" w:ascii="仿宋_GB2312" w:hAnsi="宋体" w:eastAsia="仿宋_GB2312" w:cs="仿宋_GB2312"/>
          <w:b w:val="0"/>
          <w:i w:val="0"/>
          <w:caps w:val="0"/>
          <w:color w:val="404040"/>
          <w:spacing w:val="0"/>
          <w:sz w:val="32"/>
          <w:szCs w:val="32"/>
          <w:highlight w:val="none"/>
          <w:shd w:val="clear" w:fill="FFFFFF"/>
        </w:rPr>
        <w:t>次。</w:t>
      </w:r>
    </w:p>
    <w:p w14:paraId="0B2783CA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420"/>
        <w:jc w:val="both"/>
        <w:textAlignment w:val="baseline"/>
        <w:rPr>
          <w:rFonts w:hint="default" w:ascii="Calibri" w:hAnsi="Calibri" w:cs="Calibri"/>
          <w:b w:val="0"/>
          <w:i w:val="0"/>
          <w:caps w:val="0"/>
          <w:color w:val="505050"/>
          <w:spacing w:val="0"/>
          <w:sz w:val="21"/>
          <w:szCs w:val="21"/>
          <w:u w:val="none"/>
        </w:rPr>
      </w:pPr>
      <w:r>
        <w:rPr>
          <w:rFonts w:hint="eastAsia" w:ascii="仿宋_GB2312" w:hAnsi="仿宋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（</w:t>
      </w:r>
      <w:r>
        <w:rPr>
          <w:rFonts w:hint="eastAsia" w:ascii="仿宋_GB2312" w:hAnsi="仿宋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eastAsia="zh-CN"/>
        </w:rPr>
        <w:t>七</w:t>
      </w:r>
      <w:r>
        <w:rPr>
          <w:rFonts w:hint="eastAsia" w:ascii="仿宋_GB2312" w:hAnsi="仿宋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）行政处罚、行政强制等案件的办理情况</w:t>
      </w:r>
    </w:p>
    <w:p w14:paraId="6A3045FC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jc w:val="both"/>
        <w:textAlignment w:val="baseline"/>
        <w:rPr>
          <w:rFonts w:hint="default" w:ascii="Calibri" w:hAnsi="Calibri" w:cs="Calibri"/>
          <w:b w:val="0"/>
          <w:i w:val="0"/>
          <w:caps w:val="0"/>
          <w:color w:val="505050"/>
          <w:spacing w:val="0"/>
          <w:sz w:val="21"/>
          <w:szCs w:val="21"/>
          <w:highlight w:val="none"/>
          <w:u w:val="none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highlight w:val="none"/>
          <w:u w:val="none"/>
          <w:shd w:val="clear" w:fill="FFFFFF"/>
          <w:vertAlign w:val="baseline"/>
          <w:lang w:eastAsia="zh-CN"/>
        </w:rPr>
        <w:t>2025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highlight w:val="none"/>
          <w:u w:val="none"/>
          <w:shd w:val="clear" w:fill="FFFFFF"/>
          <w:vertAlign w:val="baseline"/>
        </w:rPr>
        <w:t>年共实施行政处罚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highlight w:val="none"/>
          <w:u w:val="none"/>
          <w:shd w:val="clear" w:fill="FFFFFF"/>
          <w:vertAlign w:val="baseline"/>
          <w:lang w:val="en-US" w:eastAsia="zh-CN"/>
        </w:rPr>
        <w:t>处罚103起，罚款366446.05元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highlight w:val="none"/>
          <w:u w:val="none"/>
          <w:shd w:val="clear" w:fill="FFFFFF"/>
          <w:vertAlign w:val="baseline"/>
          <w:lang w:eastAsia="zh-CN"/>
        </w:rPr>
        <w:t>；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highlight w:val="none"/>
          <w:u w:val="none"/>
          <w:shd w:val="clear" w:fill="FFFFFF"/>
          <w:vertAlign w:val="baseline"/>
        </w:rPr>
        <w:t>简易程序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267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highlight w:val="none"/>
          <w:u w:val="none"/>
          <w:shd w:val="clear" w:fill="FFFFFF"/>
          <w:vertAlign w:val="baseline"/>
        </w:rPr>
        <w:t>件，罚款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highlight w:val="none"/>
          <w:u w:val="none"/>
          <w:shd w:val="clear" w:fill="FFFFFF"/>
          <w:vertAlign w:val="baseline"/>
          <w:lang w:val="en-US" w:eastAsia="zh-CN"/>
        </w:rPr>
        <w:t>13700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highlight w:val="none"/>
          <w:u w:val="none"/>
          <w:shd w:val="clear" w:fill="FFFFFF"/>
          <w:vertAlign w:val="baseline"/>
        </w:rPr>
        <w:t>元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highlight w:val="none"/>
          <w:u w:val="none"/>
          <w:shd w:val="clear" w:fill="FFFFFF"/>
          <w:vertAlign w:val="baseline"/>
          <w:lang w:eastAsia="zh-CN"/>
        </w:rPr>
        <w:t>；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highlight w:val="none"/>
          <w:u w:val="none"/>
          <w:shd w:val="clear" w:fill="FFFFFF"/>
          <w:vertAlign w:val="baseline"/>
          <w:lang w:val="en-US" w:eastAsia="zh-CN"/>
        </w:rPr>
        <w:t>行政强制案件0起。</w:t>
      </w:r>
    </w:p>
    <w:p w14:paraId="3F34E886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420"/>
        <w:jc w:val="both"/>
        <w:textAlignment w:val="baseline"/>
        <w:rPr>
          <w:rFonts w:hint="default" w:ascii="Calibri" w:hAnsi="Calibri" w:cs="Calibri"/>
          <w:b w:val="0"/>
          <w:i w:val="0"/>
          <w:caps w:val="0"/>
          <w:color w:val="505050"/>
          <w:spacing w:val="0"/>
          <w:sz w:val="21"/>
          <w:szCs w:val="21"/>
          <w:u w:val="none"/>
        </w:rPr>
      </w:pPr>
      <w:r>
        <w:rPr>
          <w:rFonts w:hint="eastAsia" w:ascii="仿宋_GB2312" w:hAnsi="仿宋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（</w:t>
      </w:r>
      <w:r>
        <w:rPr>
          <w:rFonts w:hint="eastAsia" w:ascii="仿宋_GB2312" w:hAnsi="仿宋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eastAsia="zh-CN"/>
        </w:rPr>
        <w:t>八</w:t>
      </w:r>
      <w:r>
        <w:rPr>
          <w:rFonts w:hint="eastAsia" w:ascii="仿宋_GB2312" w:hAnsi="仿宋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）投诉、举报案件的受理和分类办理情况</w:t>
      </w:r>
    </w:p>
    <w:p w14:paraId="3EB099B7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jc w:val="both"/>
        <w:textAlignment w:val="baseline"/>
        <w:rPr>
          <w:rFonts w:hint="default" w:ascii="Calibri" w:hAnsi="Calibri" w:cs="Calibri"/>
          <w:b w:val="0"/>
          <w:i w:val="0"/>
          <w:caps w:val="0"/>
          <w:color w:val="505050"/>
          <w:spacing w:val="0"/>
          <w:sz w:val="21"/>
          <w:szCs w:val="21"/>
          <w:highlight w:val="none"/>
          <w:u w:val="none"/>
        </w:rPr>
      </w:pP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紧紧围绕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“七有”要求“五性”需求，坚持“接诉即办”与“未诉先办”两手抓，治标与治本相结合，认真办理12345等各类渠道群众反映问题，切实将响应、办理、回复、回访等工作做实做细；继续做好折子工程、重要民生实事、人大代表建议、政协委员提案的办理工作，为副中心城市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highlight w:val="none"/>
          <w:u w:val="none"/>
          <w:shd w:val="clear" w:fill="FFFFFF"/>
          <w:vertAlign w:val="baseline"/>
        </w:rPr>
        <w:t>管理工作贡献力量。全年，受理“12345接诉即办”举报问题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highlight w:val="none"/>
          <w:u w:val="none"/>
          <w:shd w:val="clear" w:fill="FFFFFF"/>
          <w:vertAlign w:val="baseline"/>
          <w:lang w:val="en-US" w:eastAsia="zh-CN"/>
        </w:rPr>
        <w:t>1514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sz w:val="32"/>
          <w:szCs w:val="32"/>
          <w:highlight w:val="none"/>
          <w:u w:val="none"/>
          <w:shd w:val="clear" w:fill="FFFFFF"/>
          <w:vertAlign w:val="baseline"/>
        </w:rPr>
        <w:t>件，均在规定期限内完成办结。</w:t>
      </w:r>
    </w:p>
    <w:p w14:paraId="69A31251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420"/>
        <w:jc w:val="both"/>
        <w:textAlignment w:val="baseline"/>
        <w:rPr>
          <w:rFonts w:hint="default" w:ascii="Calibri" w:hAnsi="Calibri" w:cs="Calibri"/>
          <w:b w:val="0"/>
          <w:i w:val="0"/>
          <w:caps w:val="0"/>
          <w:color w:val="505050"/>
          <w:spacing w:val="0"/>
          <w:sz w:val="21"/>
          <w:szCs w:val="21"/>
          <w:u w:val="none"/>
        </w:rPr>
      </w:pPr>
      <w:r>
        <w:rPr>
          <w:rFonts w:hint="eastAsia" w:ascii="仿宋_GB2312" w:hAnsi="仿宋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（</w:t>
      </w:r>
      <w:r>
        <w:rPr>
          <w:rFonts w:hint="eastAsia" w:ascii="仿宋_GB2312" w:hAnsi="仿宋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  <w:lang w:eastAsia="zh-CN"/>
        </w:rPr>
        <w:t>九</w:t>
      </w:r>
      <w:r>
        <w:rPr>
          <w:rFonts w:hint="eastAsia" w:ascii="仿宋_GB2312" w:hAnsi="仿宋" w:eastAsia="仿宋_GB2312" w:cs="仿宋_GB2312"/>
          <w:b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）行政执法机关认为需要公示的其他情况</w:t>
      </w:r>
    </w:p>
    <w:p w14:paraId="229B5D5B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60" w:lineRule="atLeast"/>
        <w:ind w:left="0" w:right="0" w:firstLine="640"/>
        <w:jc w:val="both"/>
        <w:textAlignment w:val="baseline"/>
        <w:rPr>
          <w:rFonts w:hint="default" w:ascii="Calibri" w:hAnsi="Calibri" w:cs="Calibri"/>
          <w:b w:val="0"/>
          <w:i w:val="0"/>
          <w:caps w:val="0"/>
          <w:color w:val="505050"/>
          <w:spacing w:val="0"/>
          <w:sz w:val="21"/>
          <w:szCs w:val="21"/>
          <w:u w:val="none"/>
        </w:rPr>
      </w:pPr>
      <w:r>
        <w:rPr>
          <w:rFonts w:hint="eastAsia" w:ascii="仿宋_GB2312" w:hAnsi="仿宋" w:eastAsia="仿宋_GB2312" w:cs="仿宋_GB2312"/>
          <w:b w:val="0"/>
          <w:i w:val="0"/>
          <w:caps w:val="0"/>
          <w:color w:val="505050"/>
          <w:spacing w:val="0"/>
          <w:sz w:val="32"/>
          <w:szCs w:val="32"/>
          <w:u w:val="none"/>
          <w:shd w:val="clear" w:fill="FFFFFF"/>
          <w:vertAlign w:val="baseline"/>
        </w:rPr>
        <w:t>无。</w:t>
      </w:r>
    </w:p>
    <w:bookmarkEnd w:id="0"/>
    <w:p w14:paraId="2A514E66"/>
    <w:p w14:paraId="3AA1A0A1">
      <w:pPr>
        <w:pStyle w:val="2"/>
      </w:pPr>
    </w:p>
    <w:p w14:paraId="6854322A">
      <w:pPr>
        <w:pStyle w:val="2"/>
      </w:pPr>
    </w:p>
    <w:p w14:paraId="6B411CA7">
      <w:pPr>
        <w:pStyle w:val="2"/>
      </w:pPr>
    </w:p>
    <w:p w14:paraId="1666AF3D">
      <w:pPr>
        <w:pStyle w:val="2"/>
      </w:pPr>
    </w:p>
    <w:p w14:paraId="5051C1F4">
      <w:pPr>
        <w:pStyle w:val="2"/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kern w:val="0"/>
          <w:sz w:val="32"/>
          <w:szCs w:val="32"/>
          <w:u w:val="none"/>
          <w:shd w:val="clear" w:fill="FFFFFF"/>
          <w:vertAlign w:val="baseline"/>
          <w:lang w:val="en-US" w:eastAsia="zh-CN" w:bidi="ar"/>
        </w:rPr>
      </w:pPr>
    </w:p>
    <w:p w14:paraId="70ECEE57">
      <w:pPr>
        <w:pStyle w:val="2"/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kern w:val="0"/>
          <w:sz w:val="32"/>
          <w:szCs w:val="32"/>
          <w:u w:val="none"/>
          <w:shd w:val="clear" w:fill="FFFFFF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kern w:val="0"/>
          <w:sz w:val="32"/>
          <w:szCs w:val="32"/>
          <w:u w:val="none"/>
          <w:shd w:val="clear" w:fill="FFFFFF"/>
          <w:vertAlign w:val="baseline"/>
          <w:lang w:val="en-US" w:eastAsia="zh-CN" w:bidi="ar"/>
        </w:rPr>
        <w:t xml:space="preserve">                        北京市通州区北苑街道办事处</w:t>
      </w:r>
    </w:p>
    <w:p w14:paraId="6CA96B7C">
      <w:pPr>
        <w:pStyle w:val="2"/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kern w:val="0"/>
          <w:sz w:val="32"/>
          <w:szCs w:val="32"/>
          <w:u w:val="none"/>
          <w:shd w:val="clear" w:fill="FFFFFF"/>
          <w:vertAlign w:val="baseline"/>
          <w:lang w:val="en-US" w:eastAsia="zh-CN" w:bidi="ar"/>
        </w:rPr>
      </w:pP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kern w:val="0"/>
          <w:sz w:val="32"/>
          <w:szCs w:val="32"/>
          <w:u w:val="none"/>
          <w:shd w:val="clear" w:fill="FFFFFF"/>
          <w:vertAlign w:val="baseline"/>
          <w:lang w:val="en-US" w:eastAsia="zh-CN" w:bidi="ar"/>
        </w:rPr>
        <w:t xml:space="preserve">                              2026年1月</w:t>
      </w:r>
      <w:r>
        <w:rPr>
          <w:rFonts w:hint="default" w:ascii="仿宋" w:hAnsi="仿宋" w:eastAsia="仿宋" w:cs="仿宋"/>
          <w:b w:val="0"/>
          <w:i w:val="0"/>
          <w:caps w:val="0"/>
          <w:color w:val="505050"/>
          <w:spacing w:val="0"/>
          <w:kern w:val="0"/>
          <w:sz w:val="32"/>
          <w:szCs w:val="32"/>
          <w:u w:val="none"/>
          <w:shd w:val="clear" w:fill="FFFFFF"/>
          <w:vertAlign w:val="baseline"/>
          <w:lang w:val="en-US" w:eastAsia="zh-CN" w:bidi="ar"/>
        </w:rPr>
        <w:t>8</w:t>
      </w:r>
      <w:r>
        <w:rPr>
          <w:rFonts w:hint="eastAsia" w:ascii="仿宋" w:hAnsi="仿宋" w:eastAsia="仿宋" w:cs="仿宋"/>
          <w:b w:val="0"/>
          <w:i w:val="0"/>
          <w:caps w:val="0"/>
          <w:color w:val="505050"/>
          <w:spacing w:val="0"/>
          <w:kern w:val="0"/>
          <w:sz w:val="32"/>
          <w:szCs w:val="32"/>
          <w:u w:val="none"/>
          <w:shd w:val="clear" w:fill="FFFFFF"/>
          <w:vertAlign w:val="baseline"/>
          <w:lang w:val="en-US" w:eastAsia="zh-CN" w:bidi="ar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E1642F"/>
    <w:rsid w:val="03A321E3"/>
    <w:rsid w:val="047F5E2C"/>
    <w:rsid w:val="076B2EEF"/>
    <w:rsid w:val="07AE0553"/>
    <w:rsid w:val="09330131"/>
    <w:rsid w:val="0A040195"/>
    <w:rsid w:val="0B5B6598"/>
    <w:rsid w:val="0D00770F"/>
    <w:rsid w:val="0FFE101B"/>
    <w:rsid w:val="12B15D77"/>
    <w:rsid w:val="132E42C1"/>
    <w:rsid w:val="137F4369"/>
    <w:rsid w:val="158209EF"/>
    <w:rsid w:val="16C65AE0"/>
    <w:rsid w:val="17FE0EAB"/>
    <w:rsid w:val="1AD744E8"/>
    <w:rsid w:val="1D665CEA"/>
    <w:rsid w:val="1E5B4AEE"/>
    <w:rsid w:val="1F423704"/>
    <w:rsid w:val="20161443"/>
    <w:rsid w:val="21D55A91"/>
    <w:rsid w:val="2308046F"/>
    <w:rsid w:val="23C50613"/>
    <w:rsid w:val="24482686"/>
    <w:rsid w:val="25E75AED"/>
    <w:rsid w:val="274D1F5F"/>
    <w:rsid w:val="29CF7589"/>
    <w:rsid w:val="2B590247"/>
    <w:rsid w:val="2B59411C"/>
    <w:rsid w:val="2B7F3007"/>
    <w:rsid w:val="2C550287"/>
    <w:rsid w:val="2CC41762"/>
    <w:rsid w:val="2F042AE6"/>
    <w:rsid w:val="32835AB4"/>
    <w:rsid w:val="32E61CE6"/>
    <w:rsid w:val="34441CF0"/>
    <w:rsid w:val="35C7722F"/>
    <w:rsid w:val="370A15DC"/>
    <w:rsid w:val="3B2D4385"/>
    <w:rsid w:val="3D176E8E"/>
    <w:rsid w:val="3DB674C6"/>
    <w:rsid w:val="3DFB22AE"/>
    <w:rsid w:val="3EA20BAE"/>
    <w:rsid w:val="3F731607"/>
    <w:rsid w:val="3FF30F19"/>
    <w:rsid w:val="3FFEFA5C"/>
    <w:rsid w:val="41C144CD"/>
    <w:rsid w:val="433E291F"/>
    <w:rsid w:val="43EC20E6"/>
    <w:rsid w:val="44BC1CF9"/>
    <w:rsid w:val="46D01867"/>
    <w:rsid w:val="488C7CF7"/>
    <w:rsid w:val="48EE5208"/>
    <w:rsid w:val="49326002"/>
    <w:rsid w:val="49393EEF"/>
    <w:rsid w:val="4A635EB5"/>
    <w:rsid w:val="4AC269C3"/>
    <w:rsid w:val="4B27391D"/>
    <w:rsid w:val="4EBB24FA"/>
    <w:rsid w:val="51E07EDB"/>
    <w:rsid w:val="52A705E1"/>
    <w:rsid w:val="52D80036"/>
    <w:rsid w:val="548D3325"/>
    <w:rsid w:val="55C72390"/>
    <w:rsid w:val="575EF0B9"/>
    <w:rsid w:val="58342670"/>
    <w:rsid w:val="5A771833"/>
    <w:rsid w:val="5AE843DC"/>
    <w:rsid w:val="5CCF43FD"/>
    <w:rsid w:val="5CF7C3F6"/>
    <w:rsid w:val="5F59117C"/>
    <w:rsid w:val="619F0F76"/>
    <w:rsid w:val="635F6F63"/>
    <w:rsid w:val="64D71995"/>
    <w:rsid w:val="66E500A6"/>
    <w:rsid w:val="6D6223A6"/>
    <w:rsid w:val="6FAE474B"/>
    <w:rsid w:val="70350F13"/>
    <w:rsid w:val="70DE3056"/>
    <w:rsid w:val="73232EE3"/>
    <w:rsid w:val="780C60D1"/>
    <w:rsid w:val="78E54134"/>
    <w:rsid w:val="7AE32E8B"/>
    <w:rsid w:val="7B5DAF25"/>
    <w:rsid w:val="7C0A3860"/>
    <w:rsid w:val="7FFF6648"/>
    <w:rsid w:val="A6BFC44D"/>
    <w:rsid w:val="A6F399AA"/>
    <w:rsid w:val="B8F6C775"/>
    <w:rsid w:val="D6AE6A3A"/>
    <w:rsid w:val="EA3793EE"/>
    <w:rsid w:val="ECFEF1ED"/>
    <w:rsid w:val="F7ECDBBB"/>
    <w:rsid w:val="F7FDF7A2"/>
    <w:rsid w:val="FAF3E9D1"/>
    <w:rsid w:val="FD03F71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sz w:val="24"/>
      <w:szCs w:val="24"/>
      <w:lang w:val="en-US" w:eastAsia="zh-CN" w:bidi="ar-SA"/>
    </w:rPr>
  </w:style>
  <w:style w:type="paragraph" w:styleId="3">
    <w:name w:val="index 9"/>
    <w:basedOn w:val="1"/>
    <w:next w:val="1"/>
    <w:qFormat/>
    <w:uiPriority w:val="0"/>
    <w:pPr>
      <w:ind w:left="1600" w:leftChars="1600"/>
    </w:p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34</TotalTime>
  <ScaleCrop>false</ScaleCrop>
  <LinksUpToDate>false</LinksUpToDate>
  <CharactersWithSpaces>0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2014-10-30T20:08:00Z</dcterms:created>
  <dc:creator>Administrator</dc:creator>
  <cp:lastModifiedBy>user</cp:lastModifiedBy>
  <cp:lastPrinted>2022-03-24T10:03:00Z</cp:lastPrinted>
  <dcterms:modified xsi:type="dcterms:W3CDTF">2026-02-03T15:41:51Z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BC29D5277690ABEE99735F697B97120F_43</vt:lpwstr>
  </property>
</Properties>
</file>