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2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0"/>
        <w:rPr>
          <w:rFonts w:hint="eastAsia" w:ascii="方正小标宋简体" w:eastAsia="方正小标宋简体"/>
          <w:color w:val="FF0000"/>
          <w:spacing w:val="-2"/>
          <w:w w:val="75"/>
          <w:kern w:val="44"/>
          <w:sz w:val="100"/>
          <w:szCs w:val="100"/>
          <w:lang w:val="en-US" w:eastAsia="zh-CN"/>
        </w:rPr>
      </w:pPr>
      <w:bookmarkStart w:id="0" w:name="_Toc19053"/>
      <w:r>
        <w:rPr>
          <w:rFonts w:hint="eastAsia" w:ascii="方正小标宋简体" w:eastAsia="方正小标宋简体"/>
          <w:color w:val="FF0000"/>
          <w:spacing w:val="-2"/>
          <w:w w:val="75"/>
          <w:kern w:val="44"/>
          <w:sz w:val="100"/>
          <w:szCs w:val="100"/>
        </w:rPr>
        <w:t>北京市通州区商务局</w:t>
      </w:r>
    </w:p>
    <w:p w14:paraId="70740980">
      <w:pPr>
        <w:bidi w:val="0"/>
        <w:ind w:left="0" w:leftChars="0" w:firstLine="0" w:firstLineChars="0"/>
        <w:jc w:val="center"/>
        <w:rPr>
          <w:rFonts w:hint="eastAsia"/>
          <w:lang w:eastAsia="zh-CN"/>
        </w:rPr>
      </w:pPr>
    </w:p>
    <w:p w14:paraId="4EE031E8">
      <w:pPr>
        <w:bidi w:val="0"/>
        <w:ind w:left="0" w:leftChars="0" w:firstLine="0" w:firstLineChars="0"/>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336550</wp:posOffset>
                </wp:positionV>
                <wp:extent cx="5314950" cy="15875"/>
                <wp:effectExtent l="0" t="0" r="0" b="0"/>
                <wp:wrapNone/>
                <wp:docPr id="2" name="直线 2"/>
                <wp:cNvGraphicFramePr/>
                <a:graphic xmlns:a="http://schemas.openxmlformats.org/drawingml/2006/main">
                  <a:graphicData uri="http://schemas.microsoft.com/office/word/2010/wordprocessingShape">
                    <wps:wsp>
                      <wps:cNvCnPr/>
                      <wps:spPr>
                        <a:xfrm flipV="1">
                          <a:off x="0" y="0"/>
                          <a:ext cx="5314950" cy="15876"/>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2.4pt;margin-top:26.5pt;height:1.25pt;width:418.5pt;z-index:251660288;mso-width-relative:page;mso-height-relative:page;" filled="f" stroked="t" coordsize="21600,21600" o:gfxdata="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0h19rWAAAABwEAAA8AAAAAAAAAAQAgAAAAIgAAAGRycy9kb3ducmV2LnhtbFBLAQIUABQAAAAI&#10;AIdO4kDKuCMz7wEAAOwDAAAOAAAAAAAAAAEAIAAAACUBAABkcnMvZTJvRG9jLnhtbFBLBQYAAAAA&#10;BgAGAFkBAACGBQAAAAA=&#10;">
                <v:fill on="f" focussize="0,0"/>
                <v:stroke weight="1.75pt" color="#FF0000" joinstyle="round"/>
                <v:imagedata o:title=""/>
                <o:lock v:ext="edit" aspectratio="f"/>
              </v:line>
            </w:pict>
          </mc:Fallback>
        </mc:AlternateContent>
      </w:r>
      <w:r>
        <w:rPr>
          <w:rFonts w:hint="eastAsia"/>
          <w:lang w:eastAsia="zh-CN"/>
        </w:rPr>
        <w:t>通商发</w:t>
      </w:r>
      <w:r>
        <w:rPr>
          <w:rFonts w:hint="eastAsia" w:ascii="仿宋_GB2312" w:hAnsi="仿宋_GB2312" w:eastAsia="仿宋_GB2312" w:cs="仿宋_GB2312"/>
          <w:i w:val="0"/>
          <w:caps w:val="0"/>
          <w:color w:val="auto"/>
          <w:spacing w:val="0"/>
          <w:sz w:val="32"/>
          <w:szCs w:val="32"/>
          <w:shd w:val="clear" w:color="auto" w:fill="FFFFFF"/>
        </w:rPr>
        <w:t>〔202</w:t>
      </w:r>
      <w:r>
        <w:rPr>
          <w:rFonts w:hint="eastAsia" w:ascii="仿宋_GB2312" w:hAnsi="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号</w:t>
      </w:r>
    </w:p>
    <w:p w14:paraId="65775898">
      <w:pPr>
        <w:bidi w:val="0"/>
        <w:ind w:left="0" w:leftChars="0" w:firstLine="0" w:firstLineChars="0"/>
        <w:rPr>
          <w:rFonts w:hint="eastAsia"/>
          <w:lang w:eastAsia="zh-CN"/>
        </w:rPr>
      </w:pPr>
    </w:p>
    <w:p w14:paraId="511C76A1">
      <w:pPr>
        <w:bidi w:val="0"/>
        <w:ind w:left="0" w:leftChars="0" w:firstLine="0" w:firstLineChars="0"/>
        <w:rPr>
          <w:rFonts w:hint="eastAsia"/>
          <w:lang w:eastAsia="zh-CN"/>
        </w:rPr>
      </w:pPr>
    </w:p>
    <w:p w14:paraId="38F18784">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北京市通州区商务局</w:t>
      </w:r>
    </w:p>
    <w:p w14:paraId="0615EB41">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关于印发《北京城市副中心促进商务经济高质量发展的实施细则》的通知</w:t>
      </w:r>
    </w:p>
    <w:p w14:paraId="6663EF4E">
      <w:pPr>
        <w:bidi w:val="0"/>
        <w:ind w:left="0" w:leftChars="0" w:firstLine="0" w:firstLineChars="0"/>
        <w:rPr>
          <w:rFonts w:hint="eastAsia"/>
          <w:lang w:eastAsia="zh-CN"/>
        </w:rPr>
      </w:pPr>
    </w:p>
    <w:p w14:paraId="68B28DA0">
      <w:pPr>
        <w:bidi w:val="0"/>
        <w:ind w:left="0" w:leftChars="0" w:firstLine="0" w:firstLineChars="0"/>
        <w:rPr>
          <w:rFonts w:hint="eastAsia" w:ascii="楷体_GB2312" w:hAnsi="楷体_GB2312" w:eastAsia="楷体_GB2312" w:cs="楷体_GB2312"/>
          <w:lang w:eastAsia="zh-CN"/>
        </w:rPr>
      </w:pPr>
      <w:r>
        <w:rPr>
          <w:rFonts w:hint="eastAsia" w:ascii="楷体_GB2312" w:hAnsi="楷体_GB2312" w:eastAsia="楷体_GB2312" w:cs="楷体_GB2312"/>
          <w:lang w:eastAsia="zh-CN"/>
        </w:rPr>
        <w:t>各相关单位：</w:t>
      </w:r>
    </w:p>
    <w:p w14:paraId="69A70EAA">
      <w:pPr>
        <w:keepNext w:val="0"/>
        <w:keepLines w:val="0"/>
        <w:widowControl/>
        <w:suppressLineNumbers w:val="0"/>
        <w:jc w:val="left"/>
        <w:rPr>
          <w:rFonts w:hint="eastAsia" w:ascii="楷体_GB2312" w:hAnsi="楷体_GB2312" w:eastAsia="楷体_GB2312" w:cs="楷体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eastAsia="zh-CN"/>
        </w:rPr>
        <w:t>经区政府同意，现</w:t>
      </w:r>
      <w:r>
        <w:rPr>
          <w:rFonts w:hint="eastAsia" w:ascii="楷体_GB2312" w:hAnsi="楷体_GB2312" w:eastAsia="楷体_GB2312" w:cs="楷体_GB2312"/>
          <w:kern w:val="2"/>
          <w:sz w:val="32"/>
          <w:szCs w:val="24"/>
          <w:lang w:val="en-US" w:eastAsia="zh-CN" w:bidi="ar-SA"/>
        </w:rPr>
        <w:t>将《北京城市副中心促进商务经济高质量发展的实施细则》印发给你们，请</w:t>
      </w:r>
      <w:r>
        <w:rPr>
          <w:rFonts w:hint="eastAsia" w:ascii="楷体_GB2312" w:hAnsi="楷体_GB2312" w:eastAsia="楷体_GB2312" w:cs="楷体_GB2312"/>
          <w:i w:val="0"/>
          <w:caps w:val="0"/>
          <w:color w:val="auto"/>
          <w:spacing w:val="0"/>
          <w:sz w:val="32"/>
          <w:szCs w:val="32"/>
          <w:shd w:val="clear" w:color="auto" w:fill="FFFFFF"/>
          <w:lang w:val="en-US" w:eastAsia="zh-CN"/>
        </w:rPr>
        <w:t>遵照执行。</w:t>
      </w:r>
    </w:p>
    <w:p w14:paraId="0017FD35">
      <w:pPr>
        <w:keepNext w:val="0"/>
        <w:keepLines w:val="0"/>
        <w:widowControl/>
        <w:suppressLineNumbers w:val="0"/>
        <w:jc w:val="left"/>
        <w:rPr>
          <w:rFonts w:hint="eastAsia" w:ascii="楷体_GB2312" w:hAnsi="楷体_GB2312" w:eastAsia="楷体_GB2312" w:cs="楷体_GB2312"/>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2022年12月21日北京市通州区人民政府办公室关于印发《北京城市副中心（通州区）促进商务经济高质量发展若干措施的通知》（</w:t>
      </w:r>
      <w:r>
        <w:rPr>
          <w:rFonts w:hint="eastAsia" w:ascii="楷体_GB2312" w:hAnsi="楷体_GB2312" w:eastAsia="楷体_GB2312" w:cs="楷体_GB2312"/>
          <w:lang w:val="en-US" w:eastAsia="zh-CN"/>
        </w:rPr>
        <w:t>通政办发〔2022〕27号）</w:t>
      </w:r>
      <w:r>
        <w:rPr>
          <w:rFonts w:hint="eastAsia" w:ascii="楷体_GB2312" w:hAnsi="楷体_GB2312" w:eastAsia="楷体_GB2312" w:cs="楷体_GB2312"/>
          <w:i w:val="0"/>
          <w:caps w:val="0"/>
          <w:color w:val="auto"/>
          <w:spacing w:val="0"/>
          <w:sz w:val="32"/>
          <w:szCs w:val="32"/>
          <w:shd w:val="clear" w:color="auto" w:fill="FFFFFF"/>
          <w:lang w:val="en-US" w:eastAsia="zh-CN"/>
        </w:rPr>
        <w:t>同日废止。</w:t>
      </w:r>
    </w:p>
    <w:p w14:paraId="22B3E9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楷体_GB2312" w:hAnsi="楷体_GB2312" w:eastAsia="楷体_GB2312" w:cs="楷体_GB2312"/>
          <w:kern w:val="2"/>
          <w:sz w:val="32"/>
          <w:szCs w:val="24"/>
          <w:lang w:val="en-US" w:eastAsia="zh-CN" w:bidi="ar-SA"/>
        </w:rPr>
      </w:pPr>
    </w:p>
    <w:p w14:paraId="3F3EE9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p>
    <w:p w14:paraId="49751088">
      <w:pPr>
        <w:jc w:val="right"/>
        <w:rPr>
          <w:rFonts w:hint="eastAsia"/>
          <w:lang w:val="en-US" w:eastAsia="zh-CN"/>
        </w:rPr>
      </w:pPr>
    </w:p>
    <w:p w14:paraId="61C009A7">
      <w:pPr>
        <w:ind w:left="0" w:leftChars="0" w:firstLine="0" w:firstLineChars="0"/>
        <w:jc w:val="both"/>
        <w:rPr>
          <w:rFonts w:hint="eastAsia" w:ascii="楷体_GB2312" w:hAnsi="楷体_GB2312" w:eastAsia="楷体_GB2312" w:cs="楷体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lang w:val="en-US" w:eastAsia="zh-CN"/>
        </w:rPr>
        <w:t xml:space="preserve">北京市通州区人民政府办公室       </w:t>
      </w:r>
      <w:r>
        <w:rPr>
          <w:rFonts w:hint="eastAsia" w:ascii="楷体_GB2312" w:hAnsi="楷体_GB2312" w:eastAsia="楷体_GB2312" w:cs="楷体_GB2312"/>
          <w:i w:val="0"/>
          <w:caps w:val="0"/>
          <w:color w:val="auto"/>
          <w:spacing w:val="0"/>
          <w:kern w:val="0"/>
          <w:sz w:val="32"/>
          <w:szCs w:val="32"/>
          <w:shd w:val="clear" w:color="auto" w:fill="FFFFFF"/>
          <w:lang w:val="en-US" w:eastAsia="zh-CN" w:bidi="ar"/>
        </w:rPr>
        <w:t>北京市通州区商务局</w:t>
      </w:r>
    </w:p>
    <w:p w14:paraId="355A5F44">
      <w:pPr>
        <w:jc w:val="center"/>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i w:val="0"/>
          <w:caps w:val="0"/>
          <w:color w:val="auto"/>
          <w:spacing w:val="0"/>
          <w:kern w:val="0"/>
          <w:sz w:val="32"/>
          <w:szCs w:val="32"/>
          <w:shd w:val="clear" w:color="auto" w:fill="FFFFFF"/>
          <w:lang w:val="en-US" w:eastAsia="zh-CN" w:bidi="ar"/>
        </w:rPr>
        <w:t xml:space="preserve">                             2025年4月17日</w:t>
      </w:r>
    </w:p>
    <w:p w14:paraId="40DCDC05">
      <w:pPr>
        <w:keepNext w:val="0"/>
        <w:keepLines w:val="0"/>
        <w:pageBreakBefore w:val="0"/>
        <w:widowControl/>
        <w:tabs>
          <w:tab w:val="left" w:pos="3654"/>
        </w:tabs>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lang w:eastAsia="zh-CN"/>
        </w:rPr>
      </w:pPr>
      <w:r>
        <w:rPr>
          <w:rFonts w:hint="eastAsia" w:ascii="仿宋_GB2312" w:hAnsi="仿宋_GB2312" w:eastAsia="仿宋_GB2312" w:cs="仿宋_GB2312"/>
          <w:kern w:val="0"/>
          <w:sz w:val="32"/>
          <w:szCs w:val="32"/>
          <w:lang w:val="en-US" w:eastAsia="zh-CN" w:bidi="ar-SA"/>
        </w:rPr>
        <w:t>（此件公开发布）</w:t>
      </w:r>
    </w:p>
    <w:p w14:paraId="6380BC86">
      <w:pPr>
        <w:rPr>
          <w:rFonts w:hint="eastAsia"/>
          <w:lang w:eastAsia="zh-CN"/>
        </w:rPr>
      </w:pPr>
      <w:r>
        <w:rPr>
          <w:rFonts w:hint="eastAsia"/>
          <w:lang w:eastAsia="zh-CN"/>
        </w:rPr>
        <w:br w:type="page"/>
      </w:r>
    </w:p>
    <w:p w14:paraId="1D3CA612">
      <w:pPr>
        <w:pStyle w:val="5"/>
        <w:pageBreakBefore w:val="0"/>
        <w:widowControl w:val="0"/>
        <w:kinsoku/>
        <w:wordWrap/>
        <w:overflowPunct/>
        <w:topLinePunct w:val="0"/>
        <w:autoSpaceDE/>
        <w:autoSpaceDN/>
        <w:bidi w:val="0"/>
        <w:adjustRightInd/>
        <w:spacing w:line="600" w:lineRule="exact"/>
        <w:jc w:val="center"/>
        <w:textAlignment w:val="auto"/>
        <w:rPr>
          <w:rFonts w:hint="eastAsia" w:eastAsia="方正小标宋简体"/>
          <w:highlight w:val="none"/>
          <w:lang w:val="en-US" w:eastAsia="zh-CN"/>
        </w:rPr>
      </w:pPr>
      <w:r>
        <w:rPr>
          <w:highlight w:val="none"/>
        </w:rPr>
        <w:t>北京城市副中心促进商务经济高质量发展的实施细则</w:t>
      </w:r>
      <w:bookmarkEnd w:id="0"/>
    </w:p>
    <w:p w14:paraId="6367A995">
      <w:pPr>
        <w:pageBreakBefore w:val="0"/>
        <w:widowControl w:val="0"/>
        <w:kinsoku/>
        <w:wordWrap/>
        <w:overflowPunct/>
        <w:topLinePunct w:val="0"/>
        <w:autoSpaceDE/>
        <w:autoSpaceDN/>
        <w:bidi w:val="0"/>
        <w:adjustRightInd/>
        <w:spacing w:line="600" w:lineRule="exact"/>
        <w:ind w:firstLine="760" w:firstLineChars="200"/>
        <w:jc w:val="center"/>
        <w:textAlignment w:val="auto"/>
        <w:rPr>
          <w:rFonts w:eastAsia="仿宋_GB2312"/>
          <w:color w:val="000000"/>
          <w:kern w:val="32"/>
          <w:sz w:val="38"/>
          <w:szCs w:val="38"/>
          <w:highlight w:val="none"/>
        </w:rPr>
      </w:pPr>
    </w:p>
    <w:p w14:paraId="1E92190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eastAsia="黑体"/>
          <w:sz w:val="32"/>
          <w:szCs w:val="32"/>
          <w:highlight w:val="none"/>
        </w:rPr>
      </w:pPr>
      <w:bookmarkStart w:id="1" w:name="_Toc28870_WPSOffice_Level1"/>
      <w:bookmarkStart w:id="2" w:name="_Toc75364082"/>
      <w:r>
        <w:rPr>
          <w:rFonts w:eastAsia="黑体"/>
          <w:sz w:val="32"/>
          <w:szCs w:val="32"/>
          <w:highlight w:val="none"/>
        </w:rPr>
        <w:t>第一章 总则</w:t>
      </w:r>
      <w:bookmarkEnd w:id="1"/>
    </w:p>
    <w:p w14:paraId="2224BD17">
      <w:pPr>
        <w:pageBreakBefore w:val="0"/>
        <w:widowControl w:val="0"/>
        <w:kinsoku/>
        <w:wordWrap/>
        <w:overflowPunct/>
        <w:topLinePunct w:val="0"/>
        <w:autoSpaceDE/>
        <w:autoSpaceDN/>
        <w:bidi w:val="0"/>
        <w:adjustRightInd/>
        <w:spacing w:line="600" w:lineRule="exact"/>
        <w:ind w:firstLine="643" w:firstLineChars="200"/>
        <w:textAlignment w:val="auto"/>
        <w:rPr>
          <w:rFonts w:eastAsia="仿宋_GB2312"/>
          <w:color w:val="000000"/>
          <w:kern w:val="32"/>
          <w:sz w:val="32"/>
          <w:szCs w:val="32"/>
          <w:highlight w:val="none"/>
        </w:rPr>
      </w:pPr>
      <w:r>
        <w:rPr>
          <w:rFonts w:eastAsia="仿宋_GB2312"/>
          <w:b/>
          <w:bCs/>
          <w:color w:val="000000"/>
          <w:kern w:val="32"/>
          <w:sz w:val="32"/>
          <w:szCs w:val="32"/>
          <w:highlight w:val="none"/>
        </w:rPr>
        <w:t>第一条 背景依据。</w:t>
      </w:r>
      <w:r>
        <w:rPr>
          <w:rFonts w:eastAsia="仿宋_GB2312"/>
          <w:color w:val="000000"/>
          <w:kern w:val="32"/>
          <w:sz w:val="32"/>
          <w:szCs w:val="32"/>
          <w:highlight w:val="none"/>
        </w:rPr>
        <w:t>为深入贯彻落实《国务院关于支持北京城市副中心高质量发展的意见》</w:t>
      </w:r>
      <w:r>
        <w:rPr>
          <w:rFonts w:hint="eastAsia"/>
          <w:color w:val="000000"/>
          <w:kern w:val="32"/>
          <w:sz w:val="32"/>
          <w:szCs w:val="32"/>
          <w:highlight w:val="none"/>
          <w:lang w:eastAsia="zh-CN"/>
        </w:rPr>
        <w:t>《零售业创新提升工程实施方案》</w:t>
      </w:r>
      <w:r>
        <w:rPr>
          <w:rFonts w:eastAsia="仿宋_GB2312"/>
          <w:color w:val="000000"/>
          <w:kern w:val="32"/>
          <w:sz w:val="32"/>
          <w:szCs w:val="32"/>
          <w:highlight w:val="none"/>
        </w:rPr>
        <w:t>《关于推进北京城市副中心高质量发展的实施方案》等文件精神，推进北京城市副中心商务经济高质量发展，特制定</w:t>
      </w:r>
      <w:r>
        <w:rPr>
          <w:rFonts w:hint="eastAsia" w:eastAsia="仿宋_GB2312"/>
          <w:color w:val="000000"/>
          <w:kern w:val="32"/>
          <w:sz w:val="32"/>
          <w:szCs w:val="32"/>
          <w:highlight w:val="none"/>
        </w:rPr>
        <w:t>本细则</w:t>
      </w:r>
      <w:r>
        <w:rPr>
          <w:rFonts w:eastAsia="仿宋_GB2312"/>
          <w:color w:val="000000"/>
          <w:kern w:val="32"/>
          <w:sz w:val="32"/>
          <w:szCs w:val="32"/>
          <w:highlight w:val="none"/>
        </w:rPr>
        <w:t>。</w:t>
      </w:r>
    </w:p>
    <w:p w14:paraId="3E9DCF29">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color w:val="000000"/>
          <w:kern w:val="32"/>
          <w:sz w:val="32"/>
          <w:szCs w:val="32"/>
          <w:highlight w:val="none"/>
          <w:lang w:val="en-US" w:eastAsia="zh-CN"/>
        </w:rPr>
      </w:pPr>
      <w:r>
        <w:rPr>
          <w:rFonts w:eastAsia="仿宋_GB2312"/>
          <w:b/>
          <w:bCs/>
          <w:color w:val="000000"/>
          <w:kern w:val="32"/>
          <w:sz w:val="32"/>
          <w:szCs w:val="32"/>
          <w:highlight w:val="none"/>
        </w:rPr>
        <w:t xml:space="preserve">第二条 </w:t>
      </w:r>
      <w:r>
        <w:rPr>
          <w:rFonts w:hint="eastAsia" w:eastAsia="仿宋_GB2312"/>
          <w:b/>
          <w:bCs/>
          <w:color w:val="000000"/>
          <w:kern w:val="32"/>
          <w:sz w:val="32"/>
          <w:szCs w:val="32"/>
          <w:highlight w:val="none"/>
        </w:rPr>
        <w:t>支持</w:t>
      </w:r>
      <w:r>
        <w:rPr>
          <w:rFonts w:eastAsia="仿宋_GB2312"/>
          <w:b/>
          <w:bCs/>
          <w:color w:val="000000"/>
          <w:kern w:val="32"/>
          <w:sz w:val="32"/>
          <w:szCs w:val="32"/>
          <w:highlight w:val="none"/>
        </w:rPr>
        <w:t>原则。</w:t>
      </w:r>
      <w:r>
        <w:rPr>
          <w:rFonts w:hint="default" w:ascii="Times New Roman" w:hAnsi="Times New Roman" w:eastAsia="仿宋_GB2312" w:cs="Times New Roman"/>
          <w:color w:val="000000"/>
          <w:kern w:val="32"/>
          <w:sz w:val="32"/>
          <w:szCs w:val="32"/>
          <w:highlight w:val="none"/>
          <w:lang w:val="en-US" w:eastAsia="zh-CN"/>
        </w:rPr>
        <w:t>遵循</w:t>
      </w:r>
      <w:r>
        <w:rPr>
          <w:rFonts w:hint="eastAsia" w:ascii="Times New Roman" w:hAnsi="Times New Roman" w:eastAsia="仿宋_GB2312" w:cs="Times New Roman"/>
          <w:color w:val="000000"/>
          <w:kern w:val="32"/>
          <w:sz w:val="32"/>
          <w:szCs w:val="32"/>
          <w:highlight w:val="none"/>
          <w:lang w:val="en-US" w:eastAsia="zh-CN"/>
        </w:rPr>
        <w:t>依法合规、</w:t>
      </w:r>
      <w:r>
        <w:rPr>
          <w:rFonts w:hint="default" w:ascii="Times New Roman" w:hAnsi="Times New Roman" w:eastAsia="仿宋_GB2312" w:cs="Times New Roman"/>
          <w:color w:val="000000"/>
          <w:kern w:val="32"/>
          <w:sz w:val="32"/>
          <w:szCs w:val="32"/>
          <w:highlight w:val="none"/>
          <w:lang w:val="en-US" w:eastAsia="zh-CN"/>
        </w:rPr>
        <w:t>公开透明、突出重点、注重实效的原则。符合条件的</w:t>
      </w:r>
      <w:r>
        <w:rPr>
          <w:rFonts w:hint="eastAsia" w:ascii="Times New Roman" w:hAnsi="Times New Roman" w:eastAsia="仿宋_GB2312" w:cs="Times New Roman"/>
          <w:color w:val="000000"/>
          <w:kern w:val="32"/>
          <w:sz w:val="32"/>
          <w:szCs w:val="32"/>
          <w:highlight w:val="none"/>
          <w:lang w:val="en-US" w:eastAsia="zh-CN"/>
        </w:rPr>
        <w:t>企业</w:t>
      </w:r>
      <w:r>
        <w:rPr>
          <w:rFonts w:hint="eastAsia" w:cs="Times New Roman"/>
          <w:color w:val="000000"/>
          <w:kern w:val="32"/>
          <w:sz w:val="32"/>
          <w:szCs w:val="32"/>
          <w:highlight w:val="none"/>
          <w:lang w:val="en-US" w:eastAsia="zh-CN"/>
        </w:rPr>
        <w:t>自主申报，</w:t>
      </w:r>
      <w:r>
        <w:rPr>
          <w:rFonts w:hint="default" w:ascii="Times New Roman" w:hAnsi="Times New Roman" w:eastAsia="仿宋_GB2312" w:cs="Times New Roman"/>
          <w:color w:val="000000"/>
          <w:kern w:val="32"/>
          <w:sz w:val="32"/>
          <w:szCs w:val="32"/>
          <w:highlight w:val="none"/>
          <w:lang w:val="en-US" w:eastAsia="zh-CN"/>
        </w:rPr>
        <w:t>同一年度只能选择一</w:t>
      </w:r>
      <w:r>
        <w:rPr>
          <w:rFonts w:hint="eastAsia" w:eastAsia="仿宋_GB2312" w:cs="Times New Roman"/>
          <w:color w:val="000000"/>
          <w:kern w:val="32"/>
          <w:sz w:val="32"/>
          <w:szCs w:val="32"/>
          <w:highlight w:val="none"/>
          <w:lang w:val="en-US" w:eastAsia="zh-CN"/>
        </w:rPr>
        <w:t>个</w:t>
      </w:r>
      <w:r>
        <w:rPr>
          <w:rFonts w:hint="eastAsia" w:ascii="Times New Roman" w:hAnsi="Times New Roman" w:eastAsia="仿宋_GB2312" w:cs="Times New Roman"/>
          <w:color w:val="000000"/>
          <w:kern w:val="32"/>
          <w:sz w:val="32"/>
          <w:szCs w:val="32"/>
          <w:highlight w:val="none"/>
          <w:lang w:val="en-US" w:eastAsia="zh-CN"/>
        </w:rPr>
        <w:t>支持类别</w:t>
      </w:r>
      <w:r>
        <w:rPr>
          <w:rFonts w:hint="default" w:ascii="Times New Roman" w:hAnsi="Times New Roman" w:eastAsia="仿宋_GB2312" w:cs="Times New Roman"/>
          <w:color w:val="000000"/>
          <w:kern w:val="32"/>
          <w:sz w:val="32"/>
          <w:szCs w:val="32"/>
          <w:highlight w:val="none"/>
          <w:lang w:val="en-US" w:eastAsia="zh-CN"/>
        </w:rPr>
        <w:t>进行申报</w:t>
      </w:r>
      <w:r>
        <w:rPr>
          <w:rFonts w:hint="eastAsia" w:cs="Times New Roman"/>
          <w:color w:val="000000"/>
          <w:kern w:val="32"/>
          <w:sz w:val="32"/>
          <w:szCs w:val="32"/>
          <w:highlight w:val="none"/>
          <w:lang w:val="en-US" w:eastAsia="zh-CN"/>
        </w:rPr>
        <w:t>。</w:t>
      </w:r>
      <w:r>
        <w:rPr>
          <w:rFonts w:hint="eastAsia" w:ascii="Times New Roman" w:hAnsi="Times New Roman" w:eastAsia="仿宋_GB2312" w:cs="Times New Roman"/>
          <w:color w:val="000000"/>
          <w:kern w:val="32"/>
          <w:sz w:val="32"/>
          <w:szCs w:val="32"/>
          <w:highlight w:val="none"/>
          <w:lang w:val="en-US" w:eastAsia="zh-CN"/>
        </w:rPr>
        <w:t>本政策与区级其他</w:t>
      </w:r>
      <w:r>
        <w:rPr>
          <w:rFonts w:hint="eastAsia" w:cs="Times New Roman"/>
          <w:color w:val="000000"/>
          <w:kern w:val="32"/>
          <w:sz w:val="32"/>
          <w:szCs w:val="32"/>
          <w:highlight w:val="none"/>
          <w:lang w:val="en-US" w:eastAsia="zh-CN"/>
        </w:rPr>
        <w:t>产业</w:t>
      </w:r>
      <w:r>
        <w:rPr>
          <w:rFonts w:hint="eastAsia" w:ascii="Times New Roman" w:hAnsi="Times New Roman" w:eastAsia="仿宋_GB2312" w:cs="Times New Roman"/>
          <w:color w:val="000000"/>
          <w:kern w:val="32"/>
          <w:sz w:val="32"/>
          <w:szCs w:val="32"/>
          <w:highlight w:val="none"/>
          <w:lang w:val="en-US" w:eastAsia="zh-CN"/>
        </w:rPr>
        <w:t>政策</w:t>
      </w:r>
      <w:r>
        <w:rPr>
          <w:rFonts w:hint="eastAsia" w:cs="Times New Roman"/>
          <w:color w:val="000000"/>
          <w:kern w:val="32"/>
          <w:sz w:val="32"/>
          <w:szCs w:val="32"/>
          <w:highlight w:val="none"/>
          <w:lang w:val="en-US" w:eastAsia="zh-CN"/>
        </w:rPr>
        <w:t>执行</w:t>
      </w:r>
      <w:r>
        <w:rPr>
          <w:rFonts w:hint="eastAsia" w:ascii="Times New Roman" w:hAnsi="Times New Roman" w:eastAsia="仿宋_GB2312" w:cs="Times New Roman"/>
          <w:color w:val="000000"/>
          <w:kern w:val="32"/>
          <w:sz w:val="32"/>
          <w:szCs w:val="32"/>
          <w:highlight w:val="none"/>
          <w:lang w:val="en-US" w:eastAsia="zh-CN"/>
        </w:rPr>
        <w:t>“从优不重复”原则</w:t>
      </w:r>
      <w:r>
        <w:rPr>
          <w:rFonts w:hint="eastAsia" w:cs="Times New Roman"/>
          <w:color w:val="000000"/>
          <w:kern w:val="32"/>
          <w:sz w:val="32"/>
          <w:szCs w:val="32"/>
          <w:highlight w:val="none"/>
          <w:lang w:val="en-US" w:eastAsia="zh-CN"/>
        </w:rPr>
        <w:t>。</w:t>
      </w:r>
      <w:r>
        <w:rPr>
          <w:rFonts w:hint="default" w:ascii="Times New Roman" w:hAnsi="Times New Roman" w:eastAsia="仿宋_GB2312" w:cs="Times New Roman"/>
          <w:color w:val="000000"/>
          <w:kern w:val="32"/>
          <w:sz w:val="32"/>
          <w:szCs w:val="32"/>
          <w:highlight w:val="none"/>
          <w:lang w:val="en-US" w:eastAsia="zh-CN"/>
        </w:rPr>
        <w:t>申报</w:t>
      </w:r>
      <w:r>
        <w:rPr>
          <w:rFonts w:hint="eastAsia" w:cs="Times New Roman"/>
          <w:color w:val="000000"/>
          <w:kern w:val="32"/>
          <w:sz w:val="32"/>
          <w:szCs w:val="32"/>
          <w:highlight w:val="none"/>
          <w:lang w:val="en-US" w:eastAsia="zh-CN"/>
        </w:rPr>
        <w:t>企业</w:t>
      </w:r>
      <w:r>
        <w:rPr>
          <w:rFonts w:hint="default" w:ascii="Times New Roman" w:hAnsi="Times New Roman" w:eastAsia="仿宋_GB2312" w:cs="Times New Roman"/>
          <w:color w:val="000000"/>
          <w:kern w:val="32"/>
          <w:sz w:val="32"/>
          <w:szCs w:val="32"/>
          <w:highlight w:val="none"/>
          <w:lang w:val="en-US" w:eastAsia="zh-CN"/>
        </w:rPr>
        <w:t>不得存在严重失信</w:t>
      </w:r>
      <w:r>
        <w:rPr>
          <w:rFonts w:hint="eastAsia" w:ascii="Times New Roman" w:hAnsi="Times New Roman" w:eastAsia="仿宋_GB2312" w:cs="Times New Roman"/>
          <w:color w:val="000000"/>
          <w:kern w:val="32"/>
          <w:sz w:val="32"/>
          <w:szCs w:val="32"/>
          <w:highlight w:val="none"/>
          <w:lang w:val="en-US" w:eastAsia="zh-CN"/>
        </w:rPr>
        <w:t>或者严重</w:t>
      </w:r>
      <w:r>
        <w:rPr>
          <w:rFonts w:hint="default" w:ascii="Times New Roman" w:hAnsi="Times New Roman" w:eastAsia="仿宋_GB2312" w:cs="Times New Roman"/>
          <w:color w:val="000000"/>
          <w:kern w:val="32"/>
          <w:sz w:val="32"/>
          <w:szCs w:val="32"/>
          <w:highlight w:val="none"/>
          <w:lang w:val="en-US" w:eastAsia="zh-CN"/>
        </w:rPr>
        <w:t>违法违规行为。</w:t>
      </w:r>
    </w:p>
    <w:p w14:paraId="6C85D75A">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color w:val="000000"/>
          <w:kern w:val="32"/>
          <w:sz w:val="32"/>
          <w:szCs w:val="32"/>
          <w:highlight w:val="none"/>
        </w:rPr>
      </w:pPr>
      <w:r>
        <w:rPr>
          <w:rFonts w:eastAsia="仿宋_GB2312"/>
          <w:b/>
          <w:bCs/>
          <w:color w:val="000000"/>
          <w:kern w:val="32"/>
          <w:sz w:val="32"/>
          <w:szCs w:val="32"/>
          <w:highlight w:val="none"/>
        </w:rPr>
        <w:t>第三条 支持方向和重点。</w:t>
      </w:r>
      <w:r>
        <w:rPr>
          <w:rFonts w:eastAsia="仿宋_GB2312"/>
          <w:color w:val="000000"/>
          <w:kern w:val="0"/>
          <w:sz w:val="32"/>
          <w:szCs w:val="32"/>
          <w:highlight w:val="none"/>
        </w:rPr>
        <w:t>包括三大</w:t>
      </w:r>
      <w:r>
        <w:rPr>
          <w:rFonts w:hint="eastAsia" w:eastAsia="仿宋_GB2312"/>
          <w:color w:val="000000"/>
          <w:kern w:val="0"/>
          <w:sz w:val="32"/>
          <w:szCs w:val="32"/>
          <w:highlight w:val="none"/>
        </w:rPr>
        <w:t>领域</w:t>
      </w:r>
      <w:r>
        <w:rPr>
          <w:rFonts w:hint="eastAsia" w:ascii="仿宋_GB2312" w:hAnsi="仿宋_GB2312" w:eastAsia="仿宋_GB2312" w:cs="仿宋_GB2312"/>
          <w:color w:val="000000"/>
          <w:kern w:val="0"/>
          <w:sz w:val="32"/>
          <w:szCs w:val="32"/>
          <w:highlight w:val="none"/>
        </w:rPr>
        <w:t>，6个方向，</w:t>
      </w:r>
      <w:r>
        <w:rPr>
          <w:rFonts w:hint="eastAsia" w:ascii="仿宋_GB2312" w:hAnsi="仿宋_GB2312" w:eastAsia="仿宋_GB2312" w:cs="仿宋_GB2312"/>
          <w:color w:val="000000"/>
          <w:kern w:val="0"/>
          <w:sz w:val="32"/>
          <w:szCs w:val="32"/>
          <w:highlight w:val="none"/>
          <w:lang w:val="en-US" w:eastAsia="zh-CN"/>
        </w:rPr>
        <w:t>18</w:t>
      </w:r>
      <w:r>
        <w:rPr>
          <w:rFonts w:hint="eastAsia" w:ascii="仿宋_GB2312" w:hAnsi="仿宋_GB2312" w:eastAsia="仿宋_GB2312" w:cs="仿宋_GB2312"/>
          <w:color w:val="000000"/>
          <w:kern w:val="0"/>
          <w:sz w:val="32"/>
          <w:szCs w:val="32"/>
          <w:highlight w:val="none"/>
        </w:rPr>
        <w:t>个支持类别。</w:t>
      </w:r>
    </w:p>
    <w:p w14:paraId="22ECBDAA">
      <w:pPr>
        <w:pageBreakBefore w:val="0"/>
        <w:widowControl w:val="0"/>
        <w:kinsoku/>
        <w:wordWrap/>
        <w:overflowPunct/>
        <w:topLinePunct w:val="0"/>
        <w:autoSpaceDE/>
        <w:autoSpaceDN/>
        <w:bidi w:val="0"/>
        <w:adjustRightInd/>
        <w:spacing w:line="600" w:lineRule="exact"/>
        <w:textAlignment w:val="auto"/>
        <w:rPr>
          <w:b/>
          <w:bCs/>
        </w:rPr>
      </w:pPr>
      <w:r>
        <w:rPr>
          <w:rFonts w:hint="eastAsia"/>
          <w:b/>
          <w:bCs/>
        </w:rPr>
        <w:t>（</w:t>
      </w:r>
      <w:r>
        <w:rPr>
          <w:b/>
          <w:bCs/>
        </w:rPr>
        <w:t>一</w:t>
      </w:r>
      <w:r>
        <w:rPr>
          <w:rFonts w:hint="eastAsia"/>
          <w:b/>
          <w:bCs/>
        </w:rPr>
        <w:t>）</w:t>
      </w:r>
      <w:r>
        <w:rPr>
          <w:rFonts w:hint="eastAsia"/>
          <w:b/>
          <w:bCs/>
          <w:lang w:eastAsia="zh-CN"/>
        </w:rPr>
        <w:t>鼓励</w:t>
      </w:r>
      <w:r>
        <w:rPr>
          <w:b/>
          <w:bCs/>
        </w:rPr>
        <w:t>商务经济集群化发展</w:t>
      </w:r>
    </w:p>
    <w:p w14:paraId="721BDD28">
      <w:pPr>
        <w:pageBreakBefore w:val="0"/>
        <w:widowControl w:val="0"/>
        <w:kinsoku/>
        <w:wordWrap/>
        <w:overflowPunct/>
        <w:topLinePunct w:val="0"/>
        <w:autoSpaceDE/>
        <w:autoSpaceDN/>
        <w:bidi w:val="0"/>
        <w:adjustRightInd/>
        <w:spacing w:line="600" w:lineRule="exact"/>
        <w:textAlignment w:val="auto"/>
        <w:rPr>
          <w:b/>
          <w:bCs/>
        </w:rPr>
      </w:pPr>
      <w:r>
        <w:rPr>
          <w:rFonts w:hint="eastAsia"/>
          <w:b/>
          <w:bCs/>
        </w:rPr>
        <w:t>方向一：促进总部企业高质量发展</w:t>
      </w:r>
    </w:p>
    <w:p w14:paraId="31C89034">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支持总部企业高质量发展</w:t>
      </w:r>
    </w:p>
    <w:p w14:paraId="08C9651F">
      <w:pPr>
        <w:pageBreakBefore w:val="0"/>
        <w:widowControl w:val="0"/>
        <w:kinsoku/>
        <w:wordWrap/>
        <w:overflowPunct/>
        <w:topLinePunct w:val="0"/>
        <w:autoSpaceDE/>
        <w:autoSpaceDN/>
        <w:bidi w:val="0"/>
        <w:adjustRightInd/>
        <w:spacing w:line="600" w:lineRule="exact"/>
        <w:textAlignment w:val="auto"/>
        <w:rPr>
          <w:rFonts w:eastAsia="仿宋_GB2312"/>
          <w:b/>
          <w:bCs/>
          <w:color w:val="000000"/>
          <w:kern w:val="0"/>
          <w:sz w:val="32"/>
          <w:szCs w:val="32"/>
          <w:highlight w:val="none"/>
        </w:rPr>
      </w:pPr>
      <w:r>
        <w:rPr>
          <w:rFonts w:hint="eastAsia" w:eastAsia="仿宋_GB2312"/>
          <w:b/>
          <w:bCs/>
          <w:color w:val="000000"/>
          <w:kern w:val="0"/>
          <w:sz w:val="32"/>
          <w:szCs w:val="32"/>
          <w:highlight w:val="none"/>
        </w:rPr>
        <w:t>方向二：</w:t>
      </w:r>
      <w:r>
        <w:rPr>
          <w:rFonts w:hint="eastAsia" w:eastAsia="仿宋_GB2312"/>
          <w:b/>
          <w:bCs/>
          <w:kern w:val="0"/>
          <w:sz w:val="32"/>
          <w:szCs w:val="32"/>
          <w:highlight w:val="none"/>
        </w:rPr>
        <w:t>促进高水平对外开放和</w:t>
      </w:r>
      <w:r>
        <w:rPr>
          <w:rFonts w:eastAsia="仿宋_GB2312"/>
          <w:b/>
          <w:bCs/>
          <w:color w:val="000000"/>
          <w:kern w:val="0"/>
          <w:sz w:val="32"/>
          <w:szCs w:val="32"/>
          <w:highlight w:val="none"/>
        </w:rPr>
        <w:t>商务服务业高质量发展</w:t>
      </w:r>
    </w:p>
    <w:p w14:paraId="7971326D">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sz w:val="32"/>
          <w:szCs w:val="32"/>
          <w:highlight w:val="none"/>
        </w:rPr>
      </w:pPr>
      <w:r>
        <w:rPr>
          <w:rFonts w:hint="eastAsia" w:eastAsia="仿宋_GB2312"/>
          <w:color w:val="000000"/>
          <w:sz w:val="32"/>
          <w:szCs w:val="32"/>
          <w:highlight w:val="none"/>
        </w:rPr>
        <w:t>支持提升国际化水平，促进会展业高质量发展</w:t>
      </w:r>
    </w:p>
    <w:p w14:paraId="3ED581AB">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sz w:val="32"/>
          <w:szCs w:val="32"/>
          <w:highlight w:val="none"/>
        </w:rPr>
      </w:pPr>
      <w:r>
        <w:rPr>
          <w:rFonts w:eastAsia="仿宋_GB2312"/>
          <w:color w:val="000000"/>
          <w:sz w:val="32"/>
          <w:szCs w:val="32"/>
          <w:highlight w:val="none"/>
        </w:rPr>
        <w:t>支持商务服务业规模化发展</w:t>
      </w:r>
    </w:p>
    <w:p w14:paraId="2EA2B44A">
      <w:pPr>
        <w:pageBreakBefore w:val="0"/>
        <w:widowControl w:val="0"/>
        <w:numPr>
          <w:ilvl w:val="0"/>
          <w:numId w:val="2"/>
        </w:numPr>
        <w:kinsoku/>
        <w:wordWrap/>
        <w:overflowPunct/>
        <w:topLinePunct w:val="0"/>
        <w:autoSpaceDE/>
        <w:autoSpaceDN/>
        <w:bidi w:val="0"/>
        <w:adjustRightInd/>
        <w:spacing w:line="600" w:lineRule="exact"/>
        <w:textAlignment w:val="auto"/>
        <w:rPr>
          <w:b/>
          <w:bCs/>
        </w:rPr>
      </w:pPr>
      <w:r>
        <w:rPr>
          <w:rFonts w:hint="eastAsia"/>
          <w:b/>
          <w:bCs/>
          <w:lang w:eastAsia="zh-CN"/>
        </w:rPr>
        <w:t>鼓励</w:t>
      </w:r>
      <w:r>
        <w:rPr>
          <w:b/>
          <w:bCs/>
        </w:rPr>
        <w:t>新消费、新业态、新模式发展</w:t>
      </w:r>
    </w:p>
    <w:p w14:paraId="034D3D7B">
      <w:pPr>
        <w:pStyle w:val="12"/>
        <w:pageBreakBefore w:val="0"/>
        <w:widowControl w:val="0"/>
        <w:numPr>
          <w:ilvl w:val="255"/>
          <w:numId w:val="0"/>
        </w:numPr>
        <w:kinsoku/>
        <w:wordWrap/>
        <w:overflowPunct/>
        <w:topLinePunct w:val="0"/>
        <w:autoSpaceDE/>
        <w:autoSpaceDN/>
        <w:bidi w:val="0"/>
        <w:adjustRightInd/>
        <w:spacing w:line="600" w:lineRule="exact"/>
        <w:ind w:right="-210" w:firstLine="643" w:firstLineChars="200"/>
        <w:textAlignment w:val="auto"/>
        <w:rPr>
          <w:b/>
          <w:bCs/>
          <w:highlight w:val="none"/>
        </w:rPr>
      </w:pPr>
      <w:r>
        <w:rPr>
          <w:rFonts w:hint="eastAsia" w:eastAsia="仿宋_GB2312"/>
          <w:b/>
          <w:bCs/>
          <w:kern w:val="32"/>
          <w:sz w:val="32"/>
          <w:szCs w:val="32"/>
          <w:highlight w:val="none"/>
        </w:rPr>
        <w:t>方向三：</w:t>
      </w:r>
      <w:r>
        <w:rPr>
          <w:rFonts w:eastAsia="仿宋_GB2312"/>
          <w:b/>
          <w:bCs/>
          <w:color w:val="000000"/>
          <w:kern w:val="32"/>
          <w:sz w:val="32"/>
          <w:szCs w:val="32"/>
          <w:highlight w:val="none"/>
        </w:rPr>
        <w:t>促进消费</w:t>
      </w:r>
      <w:r>
        <w:rPr>
          <w:rFonts w:hint="eastAsia" w:eastAsia="仿宋_GB2312"/>
          <w:b/>
          <w:bCs/>
          <w:color w:val="000000"/>
          <w:kern w:val="32"/>
          <w:sz w:val="32"/>
          <w:szCs w:val="32"/>
          <w:highlight w:val="none"/>
        </w:rPr>
        <w:t>新概念、新场景</w:t>
      </w:r>
      <w:r>
        <w:rPr>
          <w:rFonts w:eastAsia="仿宋_GB2312"/>
          <w:b/>
          <w:bCs/>
          <w:color w:val="000000"/>
          <w:kern w:val="32"/>
          <w:sz w:val="32"/>
          <w:szCs w:val="32"/>
          <w:highlight w:val="none"/>
        </w:rPr>
        <w:t>发展</w:t>
      </w:r>
    </w:p>
    <w:p w14:paraId="057C903B">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eastAsia="zh-CN"/>
        </w:rPr>
        <w:t>支持</w:t>
      </w:r>
      <w:r>
        <w:rPr>
          <w:rFonts w:hint="eastAsia"/>
          <w:color w:val="000000"/>
          <w:sz w:val="32"/>
          <w:szCs w:val="32"/>
          <w:highlight w:val="none"/>
          <w:lang w:eastAsia="zh-CN"/>
        </w:rPr>
        <w:t>首店经济</w:t>
      </w:r>
      <w:r>
        <w:rPr>
          <w:rFonts w:hint="eastAsia" w:eastAsia="仿宋_GB2312"/>
          <w:color w:val="000000"/>
          <w:sz w:val="32"/>
          <w:szCs w:val="32"/>
          <w:highlight w:val="none"/>
        </w:rPr>
        <w:t>发展</w:t>
      </w:r>
    </w:p>
    <w:p w14:paraId="19E3E059">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支持商业企业</w:t>
      </w:r>
      <w:r>
        <w:rPr>
          <w:rFonts w:hint="eastAsia" w:eastAsia="仿宋_GB2312"/>
          <w:color w:val="000000"/>
          <w:sz w:val="32"/>
          <w:szCs w:val="32"/>
          <w:highlight w:val="none"/>
        </w:rPr>
        <w:t>规模化发展</w:t>
      </w:r>
    </w:p>
    <w:p w14:paraId="77DF1E0A">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w:t>
      </w:r>
      <w:r>
        <w:rPr>
          <w:rFonts w:hint="eastAsia" w:eastAsia="仿宋_GB2312"/>
          <w:sz w:val="32"/>
          <w:szCs w:val="32"/>
          <w:highlight w:val="none"/>
        </w:rPr>
        <w:t>新质生产力</w:t>
      </w:r>
      <w:r>
        <w:rPr>
          <w:rFonts w:hint="eastAsia" w:eastAsia="仿宋_GB2312"/>
          <w:color w:val="000000"/>
          <w:sz w:val="32"/>
          <w:szCs w:val="32"/>
          <w:highlight w:val="none"/>
        </w:rPr>
        <w:t>发展</w:t>
      </w:r>
    </w:p>
    <w:p w14:paraId="212BC01D">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支持打造创新消费场景</w:t>
      </w:r>
    </w:p>
    <w:p w14:paraId="4B26ED4E">
      <w:pPr>
        <w:pStyle w:val="12"/>
        <w:pageBreakBefore w:val="0"/>
        <w:widowControl w:val="0"/>
        <w:kinsoku/>
        <w:wordWrap/>
        <w:overflowPunct/>
        <w:topLinePunct w:val="0"/>
        <w:autoSpaceDE/>
        <w:autoSpaceDN/>
        <w:bidi w:val="0"/>
        <w:adjustRightInd/>
        <w:spacing w:line="600" w:lineRule="exact"/>
        <w:ind w:right="-210" w:firstLine="643" w:firstLineChars="200"/>
        <w:textAlignment w:val="auto"/>
        <w:rPr>
          <w:b/>
          <w:highlight w:val="none"/>
        </w:rPr>
      </w:pPr>
      <w:r>
        <w:rPr>
          <w:rFonts w:hint="eastAsia" w:eastAsia="仿宋_GB2312"/>
          <w:b/>
          <w:color w:val="000000"/>
          <w:kern w:val="32"/>
          <w:sz w:val="32"/>
          <w:szCs w:val="32"/>
          <w:highlight w:val="none"/>
        </w:rPr>
        <w:t>方向四：促进餐饮业高质量发展</w:t>
      </w:r>
    </w:p>
    <w:p w14:paraId="41F9CC95">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支持创建特色餐饮街区</w:t>
      </w:r>
    </w:p>
    <w:p w14:paraId="35CE7E23">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w:t>
      </w:r>
      <w:r>
        <w:rPr>
          <w:rFonts w:hint="eastAsia" w:eastAsia="仿宋_GB2312"/>
          <w:color w:val="000000"/>
          <w:sz w:val="32"/>
          <w:szCs w:val="32"/>
          <w:highlight w:val="none"/>
        </w:rPr>
        <w:t>“</w:t>
      </w:r>
      <w:r>
        <w:rPr>
          <w:rFonts w:eastAsia="仿宋_GB2312"/>
          <w:color w:val="000000"/>
          <w:sz w:val="32"/>
          <w:szCs w:val="32"/>
          <w:highlight w:val="none"/>
        </w:rPr>
        <w:t>餐饮+文旅体</w:t>
      </w:r>
      <w:r>
        <w:rPr>
          <w:rFonts w:hint="eastAsia" w:eastAsia="仿宋_GB2312"/>
          <w:color w:val="000000"/>
          <w:sz w:val="32"/>
          <w:szCs w:val="32"/>
          <w:highlight w:val="none"/>
        </w:rPr>
        <w:t>”</w:t>
      </w:r>
      <w:r>
        <w:rPr>
          <w:rFonts w:eastAsia="仿宋_GB2312"/>
          <w:color w:val="000000"/>
          <w:sz w:val="32"/>
          <w:szCs w:val="32"/>
          <w:highlight w:val="none"/>
        </w:rPr>
        <w:t>融合发展</w:t>
      </w:r>
    </w:p>
    <w:p w14:paraId="1014C74A">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支持创建</w:t>
      </w:r>
      <w:r>
        <w:rPr>
          <w:rFonts w:hint="eastAsia" w:eastAsia="仿宋_GB2312"/>
          <w:color w:val="000000"/>
          <w:sz w:val="32"/>
          <w:szCs w:val="32"/>
          <w:highlight w:val="none"/>
          <w:lang w:eastAsia="zh-CN"/>
        </w:rPr>
        <w:t>上榜</w:t>
      </w:r>
      <w:r>
        <w:rPr>
          <w:rFonts w:hint="eastAsia" w:eastAsia="仿宋_GB2312"/>
          <w:color w:val="000000"/>
          <w:sz w:val="32"/>
          <w:szCs w:val="32"/>
          <w:highlight w:val="none"/>
        </w:rPr>
        <w:t>品质餐厅</w:t>
      </w:r>
    </w:p>
    <w:p w14:paraId="55A8F246">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支持餐厅改造提质升级</w:t>
      </w:r>
    </w:p>
    <w:p w14:paraId="1A45B765">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支持举办</w:t>
      </w:r>
      <w:r>
        <w:rPr>
          <w:rFonts w:hint="eastAsia" w:eastAsia="仿宋_GB2312"/>
          <w:color w:val="000000"/>
          <w:sz w:val="32"/>
          <w:szCs w:val="32"/>
          <w:highlight w:val="none"/>
        </w:rPr>
        <w:t>美食主题</w:t>
      </w:r>
      <w:r>
        <w:rPr>
          <w:rFonts w:eastAsia="仿宋_GB2312"/>
          <w:color w:val="000000"/>
          <w:sz w:val="32"/>
          <w:szCs w:val="32"/>
          <w:highlight w:val="none"/>
        </w:rPr>
        <w:t>活动</w:t>
      </w:r>
    </w:p>
    <w:p w14:paraId="1CBF2029">
      <w:pPr>
        <w:pageBreakBefore w:val="0"/>
        <w:widowControl w:val="0"/>
        <w:kinsoku/>
        <w:wordWrap/>
        <w:overflowPunct/>
        <w:topLinePunct w:val="0"/>
        <w:autoSpaceDE/>
        <w:autoSpaceDN/>
        <w:bidi w:val="0"/>
        <w:adjustRightInd/>
        <w:spacing w:line="600" w:lineRule="exact"/>
        <w:textAlignment w:val="auto"/>
        <w:rPr>
          <w:b/>
          <w:bCs/>
        </w:rPr>
      </w:pPr>
      <w:r>
        <w:rPr>
          <w:rFonts w:hint="eastAsia"/>
          <w:b/>
          <w:bCs/>
        </w:rPr>
        <w:t>（</w:t>
      </w:r>
      <w:r>
        <w:rPr>
          <w:b/>
          <w:bCs/>
        </w:rPr>
        <w:t>三</w:t>
      </w:r>
      <w:r>
        <w:rPr>
          <w:rFonts w:hint="eastAsia"/>
          <w:b/>
          <w:bCs/>
        </w:rPr>
        <w:t>）</w:t>
      </w:r>
      <w:r>
        <w:rPr>
          <w:rFonts w:hint="eastAsia"/>
          <w:b/>
          <w:bCs/>
          <w:lang w:eastAsia="zh-CN"/>
        </w:rPr>
        <w:t>鼓励</w:t>
      </w:r>
      <w:r>
        <w:rPr>
          <w:b/>
          <w:bCs/>
        </w:rPr>
        <w:t>传统业态转型升级</w:t>
      </w:r>
    </w:p>
    <w:p w14:paraId="0346B8E3">
      <w:pPr>
        <w:pStyle w:val="12"/>
        <w:pageBreakBefore w:val="0"/>
        <w:widowControl w:val="0"/>
        <w:kinsoku/>
        <w:wordWrap/>
        <w:overflowPunct/>
        <w:topLinePunct w:val="0"/>
        <w:autoSpaceDE/>
        <w:autoSpaceDN/>
        <w:bidi w:val="0"/>
        <w:adjustRightInd/>
        <w:spacing w:line="600" w:lineRule="exact"/>
        <w:ind w:right="-210" w:firstLine="643" w:firstLineChars="200"/>
        <w:textAlignment w:val="auto"/>
        <w:rPr>
          <w:b/>
          <w:bCs/>
          <w:highlight w:val="none"/>
        </w:rPr>
      </w:pPr>
      <w:r>
        <w:rPr>
          <w:rFonts w:hint="eastAsia" w:eastAsia="仿宋_GB2312"/>
          <w:b/>
          <w:bCs/>
          <w:kern w:val="32"/>
          <w:sz w:val="32"/>
          <w:szCs w:val="32"/>
          <w:highlight w:val="none"/>
        </w:rPr>
        <w:t>方向五：促进商圈高质量发展</w:t>
      </w:r>
    </w:p>
    <w:p w14:paraId="0FEACE43">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w:t>
      </w:r>
      <w:r>
        <w:rPr>
          <w:rFonts w:eastAsia="仿宋_GB2312"/>
          <w:color w:val="000000"/>
          <w:sz w:val="32"/>
          <w:szCs w:val="32"/>
          <w:highlight w:val="none"/>
        </w:rPr>
        <w:t>商圈</w:t>
      </w:r>
      <w:r>
        <w:rPr>
          <w:rFonts w:hint="eastAsia" w:eastAsia="仿宋_GB2312"/>
          <w:color w:val="000000"/>
          <w:sz w:val="32"/>
          <w:szCs w:val="32"/>
          <w:highlight w:val="none"/>
        </w:rPr>
        <w:t>商场</w:t>
      </w:r>
      <w:r>
        <w:rPr>
          <w:rFonts w:eastAsia="仿宋_GB2312"/>
          <w:color w:val="000000"/>
          <w:sz w:val="32"/>
          <w:szCs w:val="32"/>
          <w:highlight w:val="none"/>
        </w:rPr>
        <w:t>提质升级</w:t>
      </w:r>
    </w:p>
    <w:p w14:paraId="3234A918">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支持培育</w:t>
      </w:r>
      <w:r>
        <w:rPr>
          <w:rFonts w:eastAsia="仿宋_GB2312"/>
          <w:color w:val="000000"/>
          <w:sz w:val="32"/>
          <w:szCs w:val="32"/>
          <w:highlight w:val="none"/>
        </w:rPr>
        <w:t>高品质商业步行街</w:t>
      </w:r>
    </w:p>
    <w:p w14:paraId="2A7FEFDF">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w:t>
      </w:r>
      <w:r>
        <w:rPr>
          <w:rFonts w:eastAsia="仿宋_GB2312"/>
          <w:color w:val="000000"/>
          <w:sz w:val="32"/>
          <w:szCs w:val="32"/>
          <w:highlight w:val="none"/>
        </w:rPr>
        <w:t>创建特色消费街区</w:t>
      </w:r>
    </w:p>
    <w:p w14:paraId="1B9118CD">
      <w:pPr>
        <w:pStyle w:val="12"/>
        <w:pageBreakBefore w:val="0"/>
        <w:widowControl w:val="0"/>
        <w:kinsoku/>
        <w:wordWrap/>
        <w:overflowPunct/>
        <w:topLinePunct w:val="0"/>
        <w:autoSpaceDE/>
        <w:autoSpaceDN/>
        <w:bidi w:val="0"/>
        <w:adjustRightInd/>
        <w:spacing w:line="600" w:lineRule="exact"/>
        <w:ind w:right="-210" w:firstLine="643" w:firstLineChars="200"/>
        <w:textAlignment w:val="auto"/>
        <w:rPr>
          <w:highlight w:val="none"/>
          <w:lang w:val="en"/>
        </w:rPr>
      </w:pPr>
      <w:r>
        <w:rPr>
          <w:rFonts w:hint="eastAsia" w:eastAsia="仿宋_GB2312"/>
          <w:b/>
          <w:bCs/>
          <w:kern w:val="32"/>
          <w:sz w:val="32"/>
          <w:szCs w:val="32"/>
          <w:highlight w:val="none"/>
        </w:rPr>
        <w:t>方向六：</w:t>
      </w:r>
      <w:r>
        <w:rPr>
          <w:rFonts w:eastAsia="仿宋_GB2312"/>
          <w:b/>
          <w:color w:val="000000"/>
          <w:kern w:val="32"/>
          <w:sz w:val="32"/>
          <w:szCs w:val="32"/>
          <w:highlight w:val="none"/>
        </w:rPr>
        <w:t>促进生活服务业</w:t>
      </w:r>
      <w:r>
        <w:rPr>
          <w:rFonts w:hint="eastAsia" w:eastAsia="仿宋_GB2312"/>
          <w:b/>
          <w:color w:val="000000"/>
          <w:kern w:val="32"/>
          <w:sz w:val="32"/>
          <w:szCs w:val="32"/>
          <w:highlight w:val="none"/>
        </w:rPr>
        <w:t>转型升级</w:t>
      </w:r>
    </w:p>
    <w:p w14:paraId="36259113">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color w:val="000000"/>
          <w:sz w:val="32"/>
          <w:szCs w:val="32"/>
          <w:highlight w:val="none"/>
          <w:lang w:eastAsia="zh-CN"/>
        </w:rPr>
        <w:t>促进便民服务水平提升</w:t>
      </w:r>
    </w:p>
    <w:p w14:paraId="28099BBB">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支持智能零售场景</w:t>
      </w:r>
    </w:p>
    <w:p w14:paraId="173219AC">
      <w:pPr>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highlight w:val="none"/>
        </w:rPr>
      </w:pPr>
      <w:r>
        <w:rPr>
          <w:rFonts w:hint="eastAsia" w:eastAsia="仿宋_GB2312"/>
          <w:color w:val="000000"/>
          <w:sz w:val="32"/>
          <w:szCs w:val="32"/>
          <w:highlight w:val="none"/>
          <w:lang w:eastAsia="zh-CN"/>
        </w:rPr>
        <w:t>支持</w:t>
      </w:r>
      <w:r>
        <w:rPr>
          <w:rFonts w:hint="eastAsia" w:eastAsia="仿宋_GB2312"/>
          <w:color w:val="000000"/>
          <w:sz w:val="32"/>
          <w:szCs w:val="32"/>
          <w:highlight w:val="none"/>
        </w:rPr>
        <w:t>社区菜市场转型升级</w:t>
      </w:r>
    </w:p>
    <w:p w14:paraId="5472A36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eastAsia="仿宋_GB2312"/>
          <w:color w:val="000000"/>
          <w:kern w:val="32"/>
          <w:sz w:val="32"/>
          <w:szCs w:val="32"/>
          <w:highlight w:val="none"/>
        </w:rPr>
      </w:pPr>
      <w:bookmarkStart w:id="3" w:name="_Toc30916_WPSOffice_Level1"/>
      <w:r>
        <w:rPr>
          <w:rFonts w:eastAsia="黑体"/>
          <w:color w:val="000000"/>
          <w:kern w:val="32"/>
          <w:sz w:val="32"/>
          <w:szCs w:val="32"/>
          <w:highlight w:val="none"/>
        </w:rPr>
        <w:t xml:space="preserve">第二章  </w:t>
      </w:r>
      <w:bookmarkEnd w:id="2"/>
      <w:r>
        <w:rPr>
          <w:rFonts w:hint="eastAsia" w:eastAsia="黑体"/>
          <w:color w:val="000000"/>
          <w:kern w:val="32"/>
          <w:sz w:val="32"/>
          <w:szCs w:val="32"/>
          <w:highlight w:val="none"/>
          <w:lang w:eastAsia="zh-CN"/>
        </w:rPr>
        <w:t>鼓励</w:t>
      </w:r>
      <w:r>
        <w:rPr>
          <w:rFonts w:eastAsia="黑体"/>
          <w:color w:val="000000"/>
          <w:kern w:val="32"/>
          <w:sz w:val="32"/>
          <w:szCs w:val="32"/>
          <w:highlight w:val="none"/>
        </w:rPr>
        <w:t>商务经济集群化发展</w:t>
      </w:r>
      <w:bookmarkEnd w:id="3"/>
    </w:p>
    <w:p w14:paraId="56739704">
      <w:pPr>
        <w:pageBreakBefore w:val="0"/>
        <w:widowControl w:val="0"/>
        <w:kinsoku/>
        <w:wordWrap/>
        <w:overflowPunct/>
        <w:topLinePunct w:val="0"/>
        <w:autoSpaceDE/>
        <w:autoSpaceDN/>
        <w:bidi w:val="0"/>
        <w:adjustRightInd/>
        <w:spacing w:line="600" w:lineRule="exact"/>
        <w:ind w:firstLine="643" w:firstLineChars="200"/>
        <w:jc w:val="left"/>
        <w:textAlignment w:val="auto"/>
        <w:outlineLvl w:val="1"/>
        <w:rPr>
          <w:rFonts w:eastAsia="仿宋_GB2312"/>
          <w:b/>
          <w:color w:val="000000"/>
          <w:kern w:val="32"/>
          <w:sz w:val="32"/>
          <w:szCs w:val="32"/>
          <w:highlight w:val="none"/>
        </w:rPr>
      </w:pPr>
      <w:bookmarkStart w:id="4" w:name="_Toc32453_WPSOffice_Level1"/>
      <w:r>
        <w:rPr>
          <w:rFonts w:eastAsia="仿宋_GB2312"/>
          <w:b/>
          <w:color w:val="000000"/>
          <w:kern w:val="32"/>
          <w:sz w:val="32"/>
          <w:szCs w:val="32"/>
          <w:highlight w:val="none"/>
        </w:rPr>
        <w:t>第</w:t>
      </w:r>
      <w:r>
        <w:rPr>
          <w:rFonts w:hint="eastAsia" w:eastAsia="仿宋_GB2312"/>
          <w:b/>
          <w:color w:val="000000"/>
          <w:kern w:val="32"/>
          <w:sz w:val="32"/>
          <w:szCs w:val="32"/>
          <w:highlight w:val="none"/>
        </w:rPr>
        <w:t>四</w:t>
      </w:r>
      <w:r>
        <w:rPr>
          <w:rFonts w:eastAsia="仿宋_GB2312"/>
          <w:b/>
          <w:color w:val="000000"/>
          <w:kern w:val="32"/>
          <w:sz w:val="32"/>
          <w:szCs w:val="32"/>
          <w:highlight w:val="none"/>
        </w:rPr>
        <w:t xml:space="preserve">条 </w:t>
      </w:r>
      <w:r>
        <w:rPr>
          <w:rFonts w:hint="eastAsia" w:eastAsia="仿宋_GB2312"/>
          <w:b/>
          <w:bCs/>
          <w:color w:val="000000"/>
          <w:kern w:val="0"/>
          <w:sz w:val="32"/>
          <w:szCs w:val="32"/>
          <w:highlight w:val="none"/>
        </w:rPr>
        <w:t>促进总部企业高质量发展</w:t>
      </w:r>
    </w:p>
    <w:p w14:paraId="0B119015">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kern w:val="32"/>
          <w:sz w:val="32"/>
          <w:szCs w:val="32"/>
          <w:highlight w:val="none"/>
        </w:rPr>
      </w:pPr>
      <w:r>
        <w:rPr>
          <w:rFonts w:eastAsia="仿宋_GB2312"/>
          <w:color w:val="000000"/>
          <w:sz w:val="32"/>
          <w:szCs w:val="32"/>
          <w:highlight w:val="none"/>
        </w:rPr>
        <w:t>支持总部企业</w:t>
      </w:r>
      <w:r>
        <w:rPr>
          <w:rFonts w:hint="eastAsia" w:eastAsia="仿宋_GB2312"/>
          <w:color w:val="000000"/>
          <w:sz w:val="32"/>
          <w:szCs w:val="32"/>
          <w:highlight w:val="none"/>
        </w:rPr>
        <w:t>高质量发展</w:t>
      </w:r>
    </w:p>
    <w:p w14:paraId="5A2F3F72">
      <w:pPr>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2"/>
        <w:rPr>
          <w:rFonts w:hint="eastAsia" w:ascii="仿宋_GB2312" w:hAnsi="仿宋_GB2312" w:eastAsia="仿宋_GB2312" w:cs="仿宋_GB2312"/>
          <w:b/>
          <w:color w:val="000000"/>
          <w:kern w:val="32"/>
          <w:sz w:val="32"/>
          <w:szCs w:val="32"/>
          <w:highlight w:val="none"/>
        </w:rPr>
      </w:pPr>
      <w:r>
        <w:rPr>
          <w:rFonts w:hint="eastAsia" w:ascii="仿宋_GB2312" w:hAnsi="仿宋_GB2312" w:eastAsia="仿宋_GB2312" w:cs="仿宋_GB2312"/>
          <w:color w:val="000000"/>
          <w:kern w:val="32"/>
          <w:sz w:val="32"/>
          <w:szCs w:val="32"/>
          <w:highlight w:val="none"/>
          <w:lang w:eastAsia="zh-CN"/>
        </w:rPr>
        <w:t>对具有带动区域产业生态、供应链条、服务标准、协作模式、改革优化、产业升级等</w:t>
      </w:r>
      <w:r>
        <w:rPr>
          <w:rFonts w:hint="eastAsia" w:ascii="仿宋_GB2312" w:hAnsi="仿宋_GB2312" w:eastAsia="仿宋_GB2312" w:cs="仿宋_GB2312"/>
          <w:color w:val="000000"/>
          <w:kern w:val="32"/>
          <w:sz w:val="32"/>
          <w:szCs w:val="32"/>
          <w:highlight w:val="none"/>
        </w:rPr>
        <w:t>北京市认定的新增总部企业</w:t>
      </w:r>
      <w:r>
        <w:rPr>
          <w:rFonts w:hint="eastAsia" w:ascii="仿宋_GB2312" w:hAnsi="仿宋_GB2312" w:eastAsia="仿宋_GB2312" w:cs="仿宋_GB2312"/>
          <w:color w:val="000000"/>
          <w:kern w:val="32"/>
          <w:sz w:val="32"/>
          <w:szCs w:val="32"/>
          <w:highlight w:val="none"/>
          <w:lang w:eastAsia="zh-CN"/>
        </w:rPr>
        <w:t>投资建设项目，根据项目规模大小、影响范围进行分档，分别最高支持</w:t>
      </w:r>
      <w:r>
        <w:rPr>
          <w:rFonts w:hint="eastAsia" w:ascii="仿宋_GB2312" w:hAnsi="仿宋_GB2312" w:eastAsia="仿宋_GB2312" w:cs="仿宋_GB2312"/>
          <w:color w:val="000000"/>
          <w:kern w:val="32"/>
          <w:sz w:val="32"/>
          <w:szCs w:val="32"/>
          <w:highlight w:val="none"/>
          <w:lang w:val="en-US" w:eastAsia="zh-CN"/>
        </w:rPr>
        <w:t>50万元、100万元、</w:t>
      </w:r>
      <w:r>
        <w:rPr>
          <w:rFonts w:hint="eastAsia" w:ascii="仿宋_GB2312" w:hAnsi="仿宋_GB2312" w:eastAsia="仿宋_GB2312" w:cs="仿宋_GB2312"/>
          <w:color w:val="000000"/>
          <w:kern w:val="32"/>
          <w:sz w:val="32"/>
          <w:szCs w:val="32"/>
          <w:highlight w:val="none"/>
        </w:rPr>
        <w:t>200万元。</w:t>
      </w:r>
    </w:p>
    <w:p w14:paraId="1383536A">
      <w:pPr>
        <w:pageBreakBefore w:val="0"/>
        <w:widowControl w:val="0"/>
        <w:kinsoku/>
        <w:wordWrap/>
        <w:overflowPunct/>
        <w:topLinePunct w:val="0"/>
        <w:autoSpaceDE/>
        <w:autoSpaceDN/>
        <w:bidi w:val="0"/>
        <w:adjustRightInd/>
        <w:spacing w:line="600" w:lineRule="exact"/>
        <w:ind w:firstLine="643" w:firstLineChars="200"/>
        <w:jc w:val="left"/>
        <w:textAlignment w:val="auto"/>
        <w:outlineLvl w:val="1"/>
        <w:rPr>
          <w:rFonts w:eastAsia="仿宋_GB2312"/>
          <w:b/>
          <w:color w:val="000000"/>
          <w:kern w:val="32"/>
          <w:sz w:val="32"/>
          <w:szCs w:val="32"/>
          <w:highlight w:val="none"/>
        </w:rPr>
      </w:pPr>
      <w:r>
        <w:rPr>
          <w:rFonts w:eastAsia="仿宋_GB2312"/>
          <w:b/>
          <w:color w:val="000000"/>
          <w:kern w:val="32"/>
          <w:sz w:val="32"/>
          <w:szCs w:val="32"/>
          <w:highlight w:val="none"/>
        </w:rPr>
        <w:t>第</w:t>
      </w:r>
      <w:r>
        <w:rPr>
          <w:rFonts w:hint="eastAsia" w:eastAsia="仿宋_GB2312"/>
          <w:b/>
          <w:color w:val="000000"/>
          <w:kern w:val="32"/>
          <w:sz w:val="32"/>
          <w:szCs w:val="32"/>
          <w:highlight w:val="none"/>
        </w:rPr>
        <w:t>五</w:t>
      </w:r>
      <w:r>
        <w:rPr>
          <w:rFonts w:eastAsia="仿宋_GB2312"/>
          <w:b/>
          <w:color w:val="000000"/>
          <w:kern w:val="32"/>
          <w:sz w:val="32"/>
          <w:szCs w:val="32"/>
          <w:highlight w:val="none"/>
        </w:rPr>
        <w:t xml:space="preserve">条 </w:t>
      </w:r>
      <w:r>
        <w:rPr>
          <w:rFonts w:hint="eastAsia" w:eastAsia="仿宋_GB2312"/>
          <w:b/>
          <w:bCs/>
          <w:kern w:val="0"/>
          <w:sz w:val="32"/>
          <w:szCs w:val="32"/>
          <w:highlight w:val="none"/>
        </w:rPr>
        <w:t>促进高水平对外开放和</w:t>
      </w:r>
      <w:r>
        <w:rPr>
          <w:rFonts w:eastAsia="仿宋_GB2312"/>
          <w:b/>
          <w:bCs/>
          <w:color w:val="000000"/>
          <w:kern w:val="0"/>
          <w:sz w:val="32"/>
          <w:szCs w:val="32"/>
          <w:highlight w:val="none"/>
        </w:rPr>
        <w:t>商务服务业高质量发展</w:t>
      </w:r>
    </w:p>
    <w:p w14:paraId="6AA92048">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sz w:val="32"/>
          <w:szCs w:val="32"/>
          <w:highlight w:val="none"/>
          <w:u w:val="none"/>
        </w:rPr>
      </w:pPr>
      <w:r>
        <w:rPr>
          <w:rFonts w:hint="eastAsia" w:eastAsia="仿宋_GB2312"/>
          <w:sz w:val="32"/>
          <w:szCs w:val="32"/>
          <w:highlight w:val="none"/>
          <w:u w:val="none"/>
          <w:lang w:eastAsia="zh-CN"/>
        </w:rPr>
        <w:t>支持提升国际化水平，促进会展业高质量发展</w:t>
      </w:r>
    </w:p>
    <w:p w14:paraId="00AC7581">
      <w:pPr>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highlight w:val="none"/>
          <w:u w:val="none"/>
        </w:rPr>
      </w:pPr>
      <w:r>
        <w:rPr>
          <w:rFonts w:hint="eastAsia" w:ascii="仿宋_GB2312" w:hAnsi="仿宋_GB2312" w:eastAsia="仿宋_GB2312" w:cs="仿宋_GB2312"/>
          <w:sz w:val="32"/>
          <w:szCs w:val="32"/>
          <w:highlight w:val="none"/>
          <w:u w:val="none"/>
          <w:lang w:eastAsia="zh-CN"/>
        </w:rPr>
        <w:t>支持举办高端会议，促进国际交流。举办单日规模</w:t>
      </w:r>
      <w:r>
        <w:rPr>
          <w:rFonts w:hint="eastAsia" w:ascii="仿宋_GB2312" w:hAnsi="仿宋_GB2312" w:eastAsia="仿宋_GB2312" w:cs="仿宋_GB2312"/>
          <w:sz w:val="32"/>
          <w:szCs w:val="32"/>
          <w:highlight w:val="none"/>
          <w:u w:val="none"/>
          <w:lang w:val="en-US" w:eastAsia="zh-CN"/>
        </w:rPr>
        <w:t>200人（含）以上，会期不少于1天，且单次会议消费金额20万元（含）以上的国内会议，对场地租赁费按审定发票金额的30%给予资金支持，最高支持10万元；举办单日规模200人（含）以上，参会代表来自3个（含）以上国家，其中境外参会人员占比30%以上，会期1天（含）以上的国际会议，</w:t>
      </w:r>
      <w:r>
        <w:rPr>
          <w:rFonts w:hint="eastAsia" w:ascii="仿宋_GB2312" w:hAnsi="仿宋_GB2312" w:cs="仿宋_GB2312"/>
          <w:sz w:val="32"/>
          <w:szCs w:val="32"/>
          <w:highlight w:val="none"/>
          <w:u w:val="none"/>
          <w:lang w:val="en-US" w:eastAsia="zh-CN"/>
        </w:rPr>
        <w:t>对</w:t>
      </w:r>
      <w:r>
        <w:rPr>
          <w:rFonts w:hint="eastAsia" w:ascii="仿宋_GB2312" w:hAnsi="仿宋_GB2312" w:eastAsia="仿宋_GB2312" w:cs="仿宋_GB2312"/>
          <w:sz w:val="32"/>
          <w:szCs w:val="32"/>
          <w:highlight w:val="none"/>
          <w:u w:val="none"/>
          <w:lang w:val="en-US" w:eastAsia="zh-CN"/>
        </w:rPr>
        <w:t>场地租赁费按审定发票金额的50%给予支持，最高支持20万元。</w:t>
      </w:r>
    </w:p>
    <w:p w14:paraId="4F54A66B">
      <w:pPr>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rPr>
        <w:t>支持已获得北京市商务局支持的</w:t>
      </w:r>
      <w:r>
        <w:rPr>
          <w:rFonts w:hint="eastAsia" w:ascii="仿宋_GB2312" w:hAnsi="仿宋_GB2312" w:eastAsia="仿宋_GB2312" w:cs="仿宋_GB2312"/>
          <w:color w:val="000000"/>
          <w:sz w:val="32"/>
          <w:szCs w:val="32"/>
          <w:highlight w:val="none"/>
          <w:lang w:eastAsia="zh-CN"/>
        </w:rPr>
        <w:t>专业会展项目</w:t>
      </w:r>
      <w:r>
        <w:rPr>
          <w:rFonts w:hint="eastAsia" w:ascii="仿宋_GB2312" w:hAnsi="仿宋_GB2312" w:eastAsia="仿宋_GB2312" w:cs="仿宋_GB2312"/>
          <w:color w:val="000000"/>
          <w:sz w:val="32"/>
          <w:szCs w:val="32"/>
          <w:highlight w:val="none"/>
        </w:rPr>
        <w:t>，在市级</w:t>
      </w:r>
      <w:r>
        <w:rPr>
          <w:rFonts w:hint="eastAsia" w:ascii="仿宋_GB2312" w:hAnsi="仿宋_GB2312" w:eastAsia="仿宋_GB2312" w:cs="仿宋_GB2312"/>
          <w:color w:val="000000"/>
          <w:sz w:val="32"/>
          <w:szCs w:val="32"/>
          <w:highlight w:val="none"/>
          <w:lang w:eastAsia="zh-CN"/>
        </w:rPr>
        <w:t>资金</w:t>
      </w:r>
      <w:r>
        <w:rPr>
          <w:rFonts w:hint="eastAsia" w:ascii="仿宋_GB2312" w:hAnsi="仿宋_GB2312" w:eastAsia="仿宋_GB2312" w:cs="仿宋_GB2312"/>
          <w:color w:val="000000"/>
          <w:sz w:val="32"/>
          <w:szCs w:val="32"/>
          <w:highlight w:val="none"/>
        </w:rPr>
        <w:t>支持基础上，</w:t>
      </w:r>
      <w:r>
        <w:rPr>
          <w:rFonts w:hint="eastAsia" w:ascii="仿宋_GB2312" w:hAnsi="仿宋_GB2312" w:eastAsia="仿宋_GB2312" w:cs="仿宋_GB2312"/>
          <w:color w:val="000000"/>
          <w:sz w:val="32"/>
          <w:szCs w:val="32"/>
          <w:highlight w:val="none"/>
          <w:u w:val="none"/>
          <w:lang w:eastAsia="zh-CN"/>
        </w:rPr>
        <w:t>按照市级支持资金的</w:t>
      </w:r>
      <w:r>
        <w:rPr>
          <w:rFonts w:hint="eastAsia" w:ascii="仿宋_GB2312" w:hAnsi="仿宋_GB2312" w:eastAsia="仿宋_GB2312" w:cs="仿宋_GB2312"/>
          <w:color w:val="000000"/>
          <w:sz w:val="32"/>
          <w:szCs w:val="32"/>
          <w:highlight w:val="none"/>
          <w:u w:val="none"/>
          <w:lang w:val="en-US" w:eastAsia="zh-CN"/>
        </w:rPr>
        <w:t>30%给予支持，</w:t>
      </w:r>
      <w:r>
        <w:rPr>
          <w:rFonts w:hint="eastAsia" w:ascii="仿宋_GB2312" w:hAnsi="仿宋_GB2312" w:eastAsia="仿宋_GB2312" w:cs="仿宋_GB2312"/>
          <w:color w:val="000000"/>
          <w:sz w:val="32"/>
          <w:szCs w:val="32"/>
          <w:highlight w:val="none"/>
          <w:u w:val="none"/>
        </w:rPr>
        <w:t>对项目举办单位</w:t>
      </w:r>
      <w:r>
        <w:rPr>
          <w:rFonts w:hint="eastAsia" w:ascii="仿宋_GB2312" w:hAnsi="仿宋_GB2312" w:eastAsia="仿宋_GB2312" w:cs="仿宋_GB2312"/>
          <w:color w:val="000000"/>
          <w:sz w:val="32"/>
          <w:szCs w:val="32"/>
          <w:highlight w:val="none"/>
          <w:u w:val="none"/>
          <w:lang w:eastAsia="zh-CN"/>
        </w:rPr>
        <w:t>最高支持</w:t>
      </w:r>
      <w:r>
        <w:rPr>
          <w:rFonts w:hint="eastAsia" w:ascii="仿宋_GB2312" w:hAnsi="仿宋_GB2312" w:eastAsia="仿宋_GB2312" w:cs="仿宋_GB2312"/>
          <w:color w:val="000000"/>
          <w:sz w:val="32"/>
          <w:szCs w:val="32"/>
          <w:highlight w:val="none"/>
          <w:u w:val="none"/>
        </w:rPr>
        <w:t>20万元。</w:t>
      </w:r>
    </w:p>
    <w:p w14:paraId="2B657F6F">
      <w:pPr>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70C0"/>
          <w:kern w:val="0"/>
          <w:sz w:val="32"/>
          <w:szCs w:val="32"/>
          <w:highlight w:val="none"/>
          <w:shd w:val="clear" w:color="auto" w:fill="FFFFFF"/>
          <w:lang w:bidi="ar"/>
        </w:rPr>
      </w:pPr>
      <w:r>
        <w:rPr>
          <w:rFonts w:hint="eastAsia" w:ascii="仿宋_GB2312" w:hAnsi="仿宋_GB2312" w:eastAsia="仿宋_GB2312" w:cs="仿宋_GB2312"/>
          <w:color w:val="000000"/>
          <w:sz w:val="32"/>
          <w:szCs w:val="32"/>
          <w:highlight w:val="none"/>
          <w:u w:val="none"/>
          <w:lang w:eastAsia="zh-CN"/>
        </w:rPr>
        <w:t>支持举办</w:t>
      </w:r>
      <w:r>
        <w:rPr>
          <w:rFonts w:hint="eastAsia" w:ascii="仿宋_GB2312" w:hAnsi="仿宋_GB2312" w:eastAsia="仿宋_GB2312" w:cs="仿宋_GB2312"/>
          <w:color w:val="000000"/>
          <w:sz w:val="32"/>
          <w:szCs w:val="32"/>
          <w:highlight w:val="none"/>
          <w:u w:val="none"/>
        </w:rPr>
        <w:t>参展商</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0家以上的</w:t>
      </w:r>
      <w:r>
        <w:rPr>
          <w:rFonts w:hint="eastAsia" w:ascii="仿宋_GB2312" w:hAnsi="仿宋_GB2312" w:eastAsia="仿宋_GB2312" w:cs="仿宋_GB2312"/>
          <w:color w:val="000000"/>
          <w:sz w:val="32"/>
          <w:szCs w:val="32"/>
          <w:highlight w:val="none"/>
          <w:u w:val="none"/>
          <w:lang w:eastAsia="zh-CN"/>
        </w:rPr>
        <w:t>中小型特色精品展览、展示等专业展会项目</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对单个项目一次性支持</w:t>
      </w:r>
      <w:r>
        <w:rPr>
          <w:rFonts w:hint="eastAsia" w:ascii="仿宋_GB2312" w:hAnsi="仿宋_GB2312" w:eastAsia="仿宋_GB2312" w:cs="仿宋_GB2312"/>
          <w:color w:val="000000"/>
          <w:sz w:val="32"/>
          <w:szCs w:val="32"/>
          <w:highlight w:val="none"/>
          <w:u w:val="none"/>
          <w:lang w:val="en-US" w:eastAsia="zh-CN"/>
        </w:rPr>
        <w:t>5万元，</w:t>
      </w:r>
      <w:r>
        <w:rPr>
          <w:rFonts w:hint="eastAsia" w:ascii="仿宋_GB2312" w:hAnsi="仿宋_GB2312" w:eastAsia="仿宋_GB2312" w:cs="仿宋_GB2312"/>
          <w:color w:val="000000"/>
          <w:sz w:val="32"/>
          <w:szCs w:val="32"/>
          <w:highlight w:val="none"/>
          <w:u w:val="none"/>
          <w:lang w:eastAsia="zh-CN"/>
        </w:rPr>
        <w:t>单个企业累计最高支持</w:t>
      </w:r>
      <w:r>
        <w:rPr>
          <w:rFonts w:hint="eastAsia" w:ascii="仿宋_GB2312" w:hAnsi="仿宋_GB2312" w:eastAsia="仿宋_GB2312" w:cs="仿宋_GB2312"/>
          <w:color w:val="000000"/>
          <w:sz w:val="32"/>
          <w:szCs w:val="32"/>
          <w:highlight w:val="none"/>
          <w:u w:val="none"/>
          <w:lang w:val="en-US" w:eastAsia="zh-CN"/>
        </w:rPr>
        <w:t>50</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color w:val="000000"/>
          <w:sz w:val="32"/>
          <w:szCs w:val="32"/>
          <w:highlight w:val="none"/>
          <w:u w:val="none"/>
          <w:lang w:eastAsia="zh-CN"/>
        </w:rPr>
        <w:t>。</w:t>
      </w:r>
    </w:p>
    <w:p w14:paraId="760434E6">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w:t>
      </w:r>
      <w:r>
        <w:rPr>
          <w:rFonts w:eastAsia="仿宋_GB2312"/>
          <w:color w:val="000000"/>
          <w:sz w:val="32"/>
          <w:szCs w:val="32"/>
          <w:highlight w:val="none"/>
        </w:rPr>
        <w:t>商务服务业规模化发展</w:t>
      </w:r>
    </w:p>
    <w:p w14:paraId="4DFACD86">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对年提供商务服务达到2亿</w:t>
      </w:r>
      <w:r>
        <w:rPr>
          <w:rFonts w:hint="eastAsia" w:ascii="仿宋_GB2312" w:hAnsi="仿宋_GB2312" w:eastAsia="仿宋_GB2312" w:cs="仿宋_GB2312"/>
          <w:lang w:eastAsia="zh-CN"/>
        </w:rPr>
        <w:t>、</w:t>
      </w:r>
      <w:r>
        <w:rPr>
          <w:rFonts w:hint="eastAsia" w:ascii="仿宋_GB2312" w:hAnsi="仿宋_GB2312" w:eastAsia="仿宋_GB2312" w:cs="仿宋_GB2312"/>
        </w:rPr>
        <w:t>5亿</w:t>
      </w:r>
      <w:r>
        <w:rPr>
          <w:rFonts w:hint="eastAsia" w:ascii="仿宋_GB2312" w:hAnsi="仿宋_GB2312" w:eastAsia="仿宋_GB2312" w:cs="仿宋_GB2312"/>
          <w:lang w:eastAsia="zh-CN"/>
        </w:rPr>
        <w:t>、</w:t>
      </w:r>
      <w:r>
        <w:rPr>
          <w:rFonts w:hint="eastAsia" w:ascii="仿宋_GB2312" w:hAnsi="仿宋_GB2312" w:eastAsia="仿宋_GB2312" w:cs="仿宋_GB2312"/>
        </w:rPr>
        <w:t>10亿、50亿、100亿量级的商务服务业企业，建设扩大经营规模、壮大市场份额、拓展产业链条、创新技术、标准体系等产业项目，分别</w:t>
      </w:r>
      <w:r>
        <w:rPr>
          <w:rFonts w:hint="eastAsia" w:ascii="仿宋_GB2312" w:hAnsi="仿宋_GB2312" w:eastAsia="仿宋_GB2312" w:cs="仿宋_GB2312"/>
          <w:lang w:eastAsia="zh-CN"/>
        </w:rPr>
        <w:t>最高支持</w:t>
      </w:r>
      <w:r>
        <w:rPr>
          <w:rFonts w:hint="eastAsia" w:ascii="仿宋_GB2312" w:hAnsi="仿宋_GB2312" w:eastAsia="仿宋_GB2312" w:cs="仿宋_GB2312"/>
        </w:rPr>
        <w:t>15万元</w:t>
      </w:r>
      <w:r>
        <w:rPr>
          <w:rFonts w:hint="eastAsia" w:ascii="仿宋_GB2312" w:hAnsi="仿宋_GB2312" w:eastAsia="仿宋_GB2312" w:cs="仿宋_GB2312"/>
          <w:lang w:eastAsia="zh-CN"/>
        </w:rPr>
        <w:t>、</w:t>
      </w:r>
      <w:r>
        <w:rPr>
          <w:rFonts w:hint="eastAsia" w:ascii="仿宋_GB2312" w:hAnsi="仿宋_GB2312" w:eastAsia="仿宋_GB2312" w:cs="仿宋_GB2312"/>
        </w:rPr>
        <w:t>30万元</w:t>
      </w:r>
      <w:r>
        <w:rPr>
          <w:rFonts w:hint="eastAsia" w:ascii="仿宋_GB2312" w:hAnsi="仿宋_GB2312" w:eastAsia="仿宋_GB2312" w:cs="仿宋_GB2312"/>
          <w:lang w:eastAsia="zh-CN"/>
        </w:rPr>
        <w:t>、</w:t>
      </w:r>
      <w:r>
        <w:rPr>
          <w:rFonts w:hint="eastAsia" w:ascii="仿宋_GB2312" w:hAnsi="仿宋_GB2312" w:eastAsia="仿宋_GB2312" w:cs="仿宋_GB2312"/>
        </w:rPr>
        <w:t>50万元、100万元、200万元。</w:t>
      </w:r>
    </w:p>
    <w:p w14:paraId="52B4BB9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eastAsia="仿宋_GB2312"/>
          <w:color w:val="000000"/>
          <w:kern w:val="32"/>
          <w:sz w:val="32"/>
          <w:szCs w:val="32"/>
          <w:highlight w:val="none"/>
        </w:rPr>
      </w:pPr>
      <w:r>
        <w:rPr>
          <w:rFonts w:eastAsia="黑体"/>
          <w:color w:val="000000"/>
          <w:kern w:val="32"/>
          <w:sz w:val="32"/>
          <w:szCs w:val="32"/>
          <w:highlight w:val="none"/>
        </w:rPr>
        <w:t xml:space="preserve">第三章   </w:t>
      </w:r>
      <w:r>
        <w:rPr>
          <w:rFonts w:hint="eastAsia" w:eastAsia="黑体"/>
          <w:color w:val="000000"/>
          <w:kern w:val="32"/>
          <w:sz w:val="32"/>
          <w:szCs w:val="32"/>
          <w:highlight w:val="none"/>
          <w:lang w:eastAsia="zh-CN"/>
        </w:rPr>
        <w:t>鼓励</w:t>
      </w:r>
      <w:r>
        <w:rPr>
          <w:rFonts w:eastAsia="黑体"/>
          <w:color w:val="000000"/>
          <w:kern w:val="32"/>
          <w:sz w:val="32"/>
          <w:szCs w:val="32"/>
          <w:highlight w:val="none"/>
        </w:rPr>
        <w:t>新消费、新业态、新模式发展</w:t>
      </w:r>
      <w:bookmarkEnd w:id="4"/>
    </w:p>
    <w:p w14:paraId="7BC35A86">
      <w:pPr>
        <w:pageBreakBefore w:val="0"/>
        <w:widowControl w:val="0"/>
        <w:kinsoku/>
        <w:wordWrap/>
        <w:overflowPunct/>
        <w:topLinePunct w:val="0"/>
        <w:autoSpaceDE/>
        <w:autoSpaceDN/>
        <w:bidi w:val="0"/>
        <w:adjustRightInd/>
        <w:spacing w:line="600" w:lineRule="exact"/>
        <w:ind w:firstLine="643" w:firstLineChars="200"/>
        <w:jc w:val="left"/>
        <w:textAlignment w:val="auto"/>
        <w:outlineLvl w:val="1"/>
        <w:rPr>
          <w:rFonts w:eastAsia="仿宋_GB2312"/>
          <w:b/>
          <w:color w:val="000000"/>
          <w:kern w:val="32"/>
          <w:sz w:val="32"/>
          <w:szCs w:val="32"/>
          <w:highlight w:val="none"/>
        </w:rPr>
      </w:pPr>
      <w:r>
        <w:rPr>
          <w:rFonts w:eastAsia="仿宋_GB2312"/>
          <w:b/>
          <w:color w:val="000000"/>
          <w:kern w:val="32"/>
          <w:sz w:val="32"/>
          <w:szCs w:val="32"/>
          <w:highlight w:val="none"/>
        </w:rPr>
        <w:t>第</w:t>
      </w:r>
      <w:r>
        <w:rPr>
          <w:rFonts w:hint="eastAsia" w:eastAsia="仿宋_GB2312"/>
          <w:b/>
          <w:color w:val="000000"/>
          <w:kern w:val="32"/>
          <w:sz w:val="32"/>
          <w:szCs w:val="32"/>
          <w:highlight w:val="none"/>
        </w:rPr>
        <w:t>六</w:t>
      </w:r>
      <w:r>
        <w:rPr>
          <w:rFonts w:eastAsia="仿宋_GB2312"/>
          <w:b/>
          <w:color w:val="000000"/>
          <w:kern w:val="32"/>
          <w:sz w:val="32"/>
          <w:szCs w:val="32"/>
          <w:highlight w:val="none"/>
        </w:rPr>
        <w:t>条 促进消费</w:t>
      </w:r>
      <w:r>
        <w:rPr>
          <w:rFonts w:hint="eastAsia" w:eastAsia="仿宋_GB2312"/>
          <w:b/>
          <w:color w:val="000000"/>
          <w:kern w:val="32"/>
          <w:sz w:val="32"/>
          <w:szCs w:val="32"/>
          <w:highlight w:val="none"/>
        </w:rPr>
        <w:t>新概念、新场景</w:t>
      </w:r>
      <w:r>
        <w:rPr>
          <w:rFonts w:eastAsia="仿宋_GB2312"/>
          <w:b/>
          <w:color w:val="000000"/>
          <w:kern w:val="32"/>
          <w:sz w:val="32"/>
          <w:szCs w:val="32"/>
          <w:highlight w:val="none"/>
        </w:rPr>
        <w:t>发展</w:t>
      </w:r>
    </w:p>
    <w:p w14:paraId="512CC6B2">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eastAsia="仿宋_GB2312"/>
          <w:color w:val="000000"/>
          <w:sz w:val="32"/>
          <w:szCs w:val="32"/>
          <w:highlight w:val="none"/>
        </w:rPr>
        <w:t>支持</w:t>
      </w:r>
      <w:r>
        <w:rPr>
          <w:rFonts w:hint="eastAsia"/>
          <w:color w:val="000000"/>
          <w:sz w:val="32"/>
          <w:szCs w:val="32"/>
          <w:highlight w:val="none"/>
          <w:lang w:val="en-US" w:eastAsia="zh-CN"/>
        </w:rPr>
        <w:t>首店经济</w:t>
      </w:r>
      <w:r>
        <w:rPr>
          <w:rFonts w:hint="eastAsia" w:eastAsia="仿宋_GB2312"/>
          <w:color w:val="000000"/>
          <w:sz w:val="32"/>
          <w:szCs w:val="32"/>
          <w:highlight w:val="none"/>
        </w:rPr>
        <w:t>发展</w:t>
      </w:r>
    </w:p>
    <w:p w14:paraId="31EFCFF9">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支持亚洲级、国家级、市级首店。对获得北京市级首店政策资金支持的品牌方和引进方，</w:t>
      </w:r>
      <w:r>
        <w:rPr>
          <w:rFonts w:hint="eastAsia" w:ascii="仿宋_GB2312" w:hAnsi="仿宋_GB2312" w:eastAsia="仿宋_GB2312" w:cs="仿宋_GB2312"/>
          <w:color w:val="000000"/>
          <w:sz w:val="32"/>
          <w:szCs w:val="32"/>
          <w:highlight w:val="none"/>
          <w:u w:val="none"/>
          <w:lang w:eastAsia="zh-CN"/>
        </w:rPr>
        <w:t>按照市级支持资金</w:t>
      </w:r>
      <w:r>
        <w:rPr>
          <w:rFonts w:hint="eastAsia" w:ascii="仿宋_GB2312" w:hAnsi="仿宋_GB2312" w:eastAsia="仿宋_GB2312" w:cs="仿宋_GB2312"/>
          <w:color w:val="000000"/>
          <w:sz w:val="32"/>
          <w:szCs w:val="32"/>
          <w:highlight w:val="none"/>
          <w:u w:val="none"/>
          <w:lang w:val="en-US" w:eastAsia="zh-CN"/>
        </w:rPr>
        <w:t>30%给予支持，最高支持</w:t>
      </w:r>
      <w:r>
        <w:rPr>
          <w:rFonts w:hint="eastAsia" w:ascii="仿宋_GB2312" w:hAnsi="仿宋_GB2312" w:eastAsia="仿宋_GB2312" w:cs="仿宋_GB2312"/>
        </w:rPr>
        <w:t>150万元。</w:t>
      </w:r>
      <w:r>
        <w:rPr>
          <w:rFonts w:hint="eastAsia" w:ascii="仿宋_GB2312" w:hAnsi="仿宋_GB2312" w:eastAsia="仿宋_GB2312" w:cs="仿宋_GB2312"/>
          <w:lang w:eastAsia="zh-CN"/>
        </w:rPr>
        <w:t>对</w:t>
      </w:r>
      <w:r>
        <w:rPr>
          <w:rFonts w:hint="eastAsia" w:ascii="仿宋_GB2312" w:hAnsi="仿宋_GB2312" w:eastAsia="仿宋_GB2312" w:cs="仿宋_GB2312"/>
        </w:rPr>
        <w:t>市商务局认定的国内外品牌亚洲首店、中国（内地）首店、北京首店、旗舰店、创新概念店，</w:t>
      </w:r>
      <w:r>
        <w:rPr>
          <w:rFonts w:hint="eastAsia" w:ascii="仿宋_GB2312" w:hAnsi="仿宋_GB2312" w:eastAsia="仿宋_GB2312" w:cs="仿宋_GB2312"/>
          <w:lang w:eastAsia="zh-CN"/>
        </w:rPr>
        <w:t>且业绩稳定、具有良好成长性的零售企业和餐饮企业</w:t>
      </w:r>
      <w:r>
        <w:rPr>
          <w:rFonts w:hint="eastAsia" w:ascii="仿宋_GB2312" w:hAnsi="仿宋_GB2312" w:eastAsia="仿宋_GB2312" w:cs="仿宋_GB2312"/>
        </w:rPr>
        <w:t>，一次性支持50万元。</w:t>
      </w:r>
    </w:p>
    <w:p w14:paraId="2F1C1D69">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支持区级首店。对区商务局认定的国内外品牌</w:t>
      </w:r>
      <w:r>
        <w:rPr>
          <w:rFonts w:hint="eastAsia" w:ascii="仿宋_GB2312" w:hAnsi="仿宋_GB2312" w:eastAsia="仿宋_GB2312" w:cs="仿宋_GB2312"/>
          <w:lang w:eastAsia="zh-CN"/>
        </w:rPr>
        <w:t>区级</w:t>
      </w:r>
      <w:r>
        <w:rPr>
          <w:rFonts w:hint="eastAsia" w:ascii="仿宋_GB2312" w:hAnsi="仿宋_GB2312" w:eastAsia="仿宋_GB2312" w:cs="仿宋_GB2312"/>
        </w:rPr>
        <w:t>首店，</w:t>
      </w:r>
      <w:r>
        <w:rPr>
          <w:rFonts w:hint="eastAsia" w:ascii="仿宋_GB2312" w:hAnsi="仿宋_GB2312" w:eastAsia="仿宋_GB2312" w:cs="仿宋_GB2312"/>
          <w:lang w:eastAsia="zh-CN"/>
        </w:rPr>
        <w:t>且业绩稳定、具有良好成长性的零售企业和餐饮企业，</w:t>
      </w:r>
      <w:r>
        <w:rPr>
          <w:rFonts w:hint="eastAsia" w:ascii="仿宋_GB2312" w:hAnsi="仿宋_GB2312" w:eastAsia="仿宋_GB2312" w:cs="仿宋_GB2312"/>
        </w:rPr>
        <w:t>一次性支持10万元。</w:t>
      </w:r>
    </w:p>
    <w:p w14:paraId="53CB1B69">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支持引进首店。</w:t>
      </w:r>
      <w:r>
        <w:rPr>
          <w:rFonts w:hint="eastAsia" w:ascii="仿宋_GB2312" w:hAnsi="仿宋_GB2312" w:eastAsia="仿宋_GB2312" w:cs="仿宋_GB2312"/>
        </w:rPr>
        <w:t>对商业运营管理</w:t>
      </w:r>
      <w:r>
        <w:rPr>
          <w:rFonts w:hint="eastAsia" w:ascii="仿宋_GB2312" w:hAnsi="仿宋_GB2312" w:eastAsia="仿宋_GB2312" w:cs="仿宋_GB2312"/>
          <w:lang w:eastAsia="zh-CN"/>
        </w:rPr>
        <w:t>企业</w:t>
      </w:r>
      <w:r>
        <w:rPr>
          <w:rFonts w:hint="eastAsia" w:ascii="仿宋_GB2312" w:hAnsi="仿宋_GB2312" w:eastAsia="仿宋_GB2312" w:cs="仿宋_GB2312"/>
        </w:rPr>
        <w:t>，每新增引进1个经市商务局认定的品牌首店，一次性</w:t>
      </w:r>
      <w:r>
        <w:rPr>
          <w:rFonts w:hint="eastAsia" w:ascii="仿宋_GB2312" w:hAnsi="仿宋_GB2312" w:eastAsia="仿宋_GB2312" w:cs="仿宋_GB2312"/>
          <w:lang w:eastAsia="zh-CN"/>
        </w:rPr>
        <w:t>支持</w:t>
      </w:r>
      <w:r>
        <w:rPr>
          <w:rFonts w:hint="eastAsia" w:ascii="仿宋_GB2312" w:hAnsi="仿宋_GB2312" w:eastAsia="仿宋_GB2312" w:cs="仿宋_GB2312"/>
        </w:rPr>
        <w:t>10万元</w:t>
      </w:r>
      <w:r>
        <w:rPr>
          <w:rFonts w:hint="eastAsia" w:ascii="仿宋_GB2312" w:hAnsi="仿宋_GB2312" w:eastAsia="仿宋_GB2312" w:cs="仿宋_GB2312"/>
          <w:lang w:eastAsia="zh-CN"/>
        </w:rPr>
        <w:t>，单个企业累计最高支持</w:t>
      </w:r>
      <w:r>
        <w:rPr>
          <w:rFonts w:hint="eastAsia" w:ascii="仿宋_GB2312" w:hAnsi="仿宋_GB2312" w:eastAsia="仿宋_GB2312" w:cs="仿宋_GB2312"/>
        </w:rPr>
        <w:t>50万元。</w:t>
      </w:r>
    </w:p>
    <w:p w14:paraId="6308B7CA">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支持商业企业</w:t>
      </w:r>
      <w:r>
        <w:rPr>
          <w:rFonts w:eastAsia="仿宋_GB2312"/>
          <w:color w:val="000000"/>
          <w:sz w:val="32"/>
          <w:szCs w:val="32"/>
          <w:highlight w:val="none"/>
        </w:rPr>
        <w:t>规模化发展</w:t>
      </w:r>
    </w:p>
    <w:p w14:paraId="08B68106">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对年零售</w:t>
      </w:r>
      <w:r>
        <w:rPr>
          <w:rFonts w:hint="eastAsia" w:ascii="仿宋_GB2312" w:hAnsi="仿宋_GB2312" w:eastAsia="仿宋_GB2312" w:cs="仿宋_GB2312"/>
          <w:lang w:eastAsia="zh-CN"/>
        </w:rPr>
        <w:t>商品交易价值</w:t>
      </w:r>
      <w:r>
        <w:rPr>
          <w:rFonts w:hint="eastAsia" w:ascii="仿宋_GB2312" w:hAnsi="仿宋_GB2312" w:eastAsia="仿宋_GB2312" w:cs="仿宋_GB2312"/>
        </w:rPr>
        <w:t>达到1亿元</w:t>
      </w:r>
      <w:r>
        <w:rPr>
          <w:rFonts w:hint="eastAsia" w:ascii="仿宋_GB2312" w:hAnsi="仿宋_GB2312" w:eastAsia="仿宋_GB2312" w:cs="仿宋_GB2312"/>
          <w:lang w:eastAsia="zh-CN"/>
        </w:rPr>
        <w:t>、</w:t>
      </w:r>
      <w:r>
        <w:rPr>
          <w:rFonts w:hint="eastAsia" w:ascii="仿宋_GB2312" w:hAnsi="仿宋_GB2312" w:eastAsia="仿宋_GB2312" w:cs="仿宋_GB2312"/>
        </w:rPr>
        <w:t>5亿元、10亿元</w:t>
      </w:r>
      <w:r>
        <w:rPr>
          <w:rFonts w:hint="eastAsia" w:ascii="仿宋_GB2312" w:hAnsi="仿宋_GB2312" w:eastAsia="仿宋_GB2312" w:cs="仿宋_GB2312"/>
          <w:lang w:eastAsia="zh-CN"/>
        </w:rPr>
        <w:t>量级的</w:t>
      </w:r>
      <w:r>
        <w:rPr>
          <w:rFonts w:hint="eastAsia" w:ascii="仿宋_GB2312" w:hAnsi="仿宋_GB2312" w:eastAsia="仿宋_GB2312" w:cs="仿宋_GB2312"/>
          <w:color w:val="000000"/>
          <w:sz w:val="32"/>
          <w:szCs w:val="32"/>
          <w:highlight w:val="none"/>
        </w:rPr>
        <w:t>批发业、零售业</w:t>
      </w:r>
      <w:r>
        <w:rPr>
          <w:rFonts w:hint="eastAsia" w:ascii="仿宋_GB2312" w:hAnsi="仿宋_GB2312" w:eastAsia="仿宋_GB2312" w:cs="仿宋_GB2312"/>
          <w:lang w:eastAsia="zh-CN"/>
        </w:rPr>
        <w:t>企业，</w:t>
      </w:r>
      <w:r>
        <w:rPr>
          <w:rFonts w:hint="eastAsia" w:ascii="仿宋_GB2312" w:hAnsi="仿宋_GB2312" w:eastAsia="仿宋_GB2312" w:cs="仿宋_GB2312"/>
          <w:color w:val="000000"/>
          <w:sz w:val="32"/>
          <w:szCs w:val="32"/>
          <w:highlight w:val="none"/>
          <w:lang w:eastAsia="zh-CN"/>
        </w:rPr>
        <w:t>建设扩大经营规模、壮大市场份额、拓展产业链条、创新技术、标准体系等产业项目，分别最高支持</w:t>
      </w:r>
      <w:r>
        <w:rPr>
          <w:rFonts w:hint="eastAsia" w:ascii="仿宋_GB2312" w:hAnsi="仿宋_GB2312" w:eastAsia="仿宋_GB2312" w:cs="仿宋_GB2312"/>
        </w:rPr>
        <w:t>20万元</w:t>
      </w:r>
      <w:r>
        <w:rPr>
          <w:rFonts w:hint="eastAsia" w:ascii="仿宋_GB2312" w:hAnsi="仿宋_GB2312" w:eastAsia="仿宋_GB2312" w:cs="仿宋_GB2312"/>
          <w:lang w:eastAsia="zh-CN"/>
        </w:rPr>
        <w:t>、</w:t>
      </w:r>
      <w:r>
        <w:rPr>
          <w:rFonts w:hint="eastAsia" w:ascii="仿宋_GB2312" w:hAnsi="仿宋_GB2312" w:eastAsia="仿宋_GB2312" w:cs="仿宋_GB2312"/>
        </w:rPr>
        <w:t>35万元、50万元。</w:t>
      </w:r>
    </w:p>
    <w:p w14:paraId="64A93BD4">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对年</w:t>
      </w:r>
      <w:r>
        <w:rPr>
          <w:rFonts w:hint="eastAsia" w:ascii="仿宋_GB2312" w:hAnsi="仿宋_GB2312" w:eastAsia="仿宋_GB2312" w:cs="仿宋_GB2312"/>
          <w:color w:val="000000"/>
          <w:sz w:val="32"/>
          <w:szCs w:val="32"/>
          <w:highlight w:val="none"/>
        </w:rPr>
        <w:t>批发和零售业商品</w:t>
      </w:r>
      <w:r>
        <w:rPr>
          <w:rFonts w:hint="eastAsia" w:ascii="仿宋_GB2312" w:hAnsi="仿宋_GB2312" w:eastAsia="仿宋_GB2312" w:cs="仿宋_GB2312"/>
          <w:lang w:eastAsia="zh-CN"/>
        </w:rPr>
        <w:t>交易价值</w:t>
      </w:r>
      <w:r>
        <w:rPr>
          <w:rFonts w:hint="eastAsia" w:ascii="仿宋_GB2312" w:hAnsi="仿宋_GB2312" w:eastAsia="仿宋_GB2312" w:cs="仿宋_GB2312"/>
        </w:rPr>
        <w:t>达到10亿元</w:t>
      </w:r>
      <w:r>
        <w:rPr>
          <w:rFonts w:hint="eastAsia" w:ascii="仿宋_GB2312" w:hAnsi="仿宋_GB2312" w:eastAsia="仿宋_GB2312" w:cs="仿宋_GB2312"/>
          <w:lang w:eastAsia="zh-CN"/>
        </w:rPr>
        <w:t>、</w:t>
      </w:r>
      <w:r>
        <w:rPr>
          <w:rFonts w:hint="eastAsia" w:ascii="仿宋_GB2312" w:hAnsi="仿宋_GB2312" w:eastAsia="仿宋_GB2312" w:cs="仿宋_GB2312"/>
        </w:rPr>
        <w:t>20亿元</w:t>
      </w:r>
      <w:r>
        <w:rPr>
          <w:rFonts w:hint="eastAsia" w:ascii="仿宋_GB2312" w:hAnsi="仿宋_GB2312" w:eastAsia="仿宋_GB2312" w:cs="仿宋_GB2312"/>
          <w:lang w:eastAsia="zh-CN"/>
        </w:rPr>
        <w:t>、</w:t>
      </w:r>
      <w:r>
        <w:rPr>
          <w:rFonts w:hint="eastAsia" w:ascii="仿宋_GB2312" w:hAnsi="仿宋_GB2312" w:eastAsia="仿宋_GB2312" w:cs="仿宋_GB2312"/>
        </w:rPr>
        <w:t>50亿元</w:t>
      </w:r>
      <w:r>
        <w:rPr>
          <w:rFonts w:hint="eastAsia" w:ascii="仿宋_GB2312" w:hAnsi="仿宋_GB2312" w:eastAsia="仿宋_GB2312" w:cs="仿宋_GB2312"/>
          <w:lang w:eastAsia="zh-CN"/>
        </w:rPr>
        <w:t>量级</w:t>
      </w:r>
      <w:r>
        <w:rPr>
          <w:rFonts w:hint="eastAsia" w:ascii="仿宋_GB2312" w:hAnsi="仿宋_GB2312" w:eastAsia="仿宋_GB2312" w:cs="仿宋_GB2312"/>
        </w:rPr>
        <w:t>的</w:t>
      </w:r>
      <w:r>
        <w:rPr>
          <w:rFonts w:hint="eastAsia" w:ascii="仿宋_GB2312" w:hAnsi="仿宋_GB2312" w:eastAsia="仿宋_GB2312" w:cs="仿宋_GB2312"/>
          <w:color w:val="000000"/>
          <w:sz w:val="32"/>
          <w:szCs w:val="32"/>
          <w:highlight w:val="none"/>
        </w:rPr>
        <w:t>批发业、零售业企业</w:t>
      </w:r>
      <w:r>
        <w:rPr>
          <w:rFonts w:hint="eastAsia" w:ascii="仿宋_GB2312" w:hAnsi="仿宋_GB2312" w:eastAsia="仿宋_GB2312" w:cs="仿宋_GB2312"/>
        </w:rPr>
        <w:t>，</w:t>
      </w:r>
      <w:r>
        <w:rPr>
          <w:rFonts w:hint="eastAsia" w:ascii="仿宋_GB2312" w:hAnsi="仿宋_GB2312" w:eastAsia="仿宋_GB2312" w:cs="仿宋_GB2312"/>
          <w:color w:val="000000"/>
          <w:sz w:val="32"/>
          <w:szCs w:val="32"/>
          <w:highlight w:val="none"/>
          <w:lang w:eastAsia="zh-CN"/>
        </w:rPr>
        <w:t>建设扩大经营规模、壮大市场份额、拓展产业链条、创新技术、标准体系等产业项目，</w:t>
      </w:r>
      <w:r>
        <w:rPr>
          <w:rFonts w:hint="eastAsia" w:ascii="仿宋_GB2312" w:hAnsi="仿宋_GB2312" w:eastAsia="仿宋_GB2312" w:cs="仿宋_GB2312"/>
        </w:rPr>
        <w:t>分别</w:t>
      </w:r>
      <w:r>
        <w:rPr>
          <w:rFonts w:hint="eastAsia" w:ascii="仿宋_GB2312" w:hAnsi="仿宋_GB2312" w:eastAsia="仿宋_GB2312" w:cs="仿宋_GB2312"/>
          <w:lang w:eastAsia="zh-CN"/>
        </w:rPr>
        <w:t>最高支持</w:t>
      </w:r>
      <w:r>
        <w:rPr>
          <w:rFonts w:hint="eastAsia" w:ascii="仿宋_GB2312" w:hAnsi="仿宋_GB2312" w:eastAsia="仿宋_GB2312" w:cs="仿宋_GB2312"/>
        </w:rPr>
        <w:t>20万元</w:t>
      </w:r>
      <w:r>
        <w:rPr>
          <w:rFonts w:hint="eastAsia" w:ascii="仿宋_GB2312" w:hAnsi="仿宋_GB2312" w:eastAsia="仿宋_GB2312" w:cs="仿宋_GB2312"/>
          <w:lang w:eastAsia="zh-CN"/>
        </w:rPr>
        <w:t>、</w:t>
      </w:r>
      <w:r>
        <w:rPr>
          <w:rFonts w:hint="eastAsia" w:ascii="仿宋_GB2312" w:hAnsi="仿宋_GB2312" w:eastAsia="仿宋_GB2312" w:cs="仿宋_GB2312"/>
        </w:rPr>
        <w:t>35万元</w:t>
      </w:r>
      <w:r>
        <w:rPr>
          <w:rFonts w:hint="eastAsia" w:ascii="仿宋_GB2312" w:hAnsi="仿宋_GB2312" w:eastAsia="仿宋_GB2312" w:cs="仿宋_GB2312"/>
          <w:lang w:eastAsia="zh-CN"/>
        </w:rPr>
        <w:t>、</w:t>
      </w:r>
      <w:r>
        <w:rPr>
          <w:rFonts w:hint="eastAsia" w:ascii="仿宋_GB2312" w:hAnsi="仿宋_GB2312" w:eastAsia="仿宋_GB2312" w:cs="仿宋_GB2312"/>
        </w:rPr>
        <w:t>50万元。</w:t>
      </w:r>
    </w:p>
    <w:p w14:paraId="525DEA23">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eastAsia="仿宋_GB2312"/>
          <w:color w:val="000000"/>
          <w:sz w:val="32"/>
          <w:szCs w:val="32"/>
          <w:highlight w:val="none"/>
        </w:rPr>
        <w:t>支持</w:t>
      </w:r>
      <w:r>
        <w:rPr>
          <w:rFonts w:hint="eastAsia" w:eastAsia="仿宋_GB2312"/>
          <w:sz w:val="32"/>
          <w:szCs w:val="32"/>
          <w:highlight w:val="none"/>
        </w:rPr>
        <w:t>新质生产力</w:t>
      </w:r>
      <w:r>
        <w:rPr>
          <w:rFonts w:hint="eastAsia" w:eastAsia="仿宋_GB2312"/>
          <w:color w:val="000000"/>
          <w:sz w:val="32"/>
          <w:szCs w:val="32"/>
          <w:highlight w:val="none"/>
        </w:rPr>
        <w:t>发展</w:t>
      </w:r>
    </w:p>
    <w:p w14:paraId="55D7061E">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highlight w:val="none"/>
          <w:lang w:val="en-US" w:eastAsia="zh-CN"/>
        </w:rPr>
        <w:t>支持电子商务高质量发展。对于获得市级促进电子商务高质量发展或者培育促进网络消费发展政策奖励兑现的企业，</w:t>
      </w:r>
      <w:r>
        <w:rPr>
          <w:rFonts w:hint="eastAsia" w:ascii="仿宋_GB2312" w:hAnsi="仿宋_GB2312" w:eastAsia="仿宋_GB2312" w:cs="仿宋_GB2312"/>
        </w:rPr>
        <w:t>按照市级支持资金</w:t>
      </w:r>
      <w:r>
        <w:rPr>
          <w:rFonts w:hint="eastAsia" w:ascii="仿宋_GB2312" w:hAnsi="仿宋_GB2312" w:eastAsia="仿宋_GB2312" w:cs="仿宋_GB2312"/>
          <w:lang w:val="en-US" w:eastAsia="zh-CN"/>
        </w:rPr>
        <w:t>50</w:t>
      </w:r>
      <w:r>
        <w:rPr>
          <w:rFonts w:hint="eastAsia" w:ascii="仿宋_GB2312" w:hAnsi="仿宋_GB2312" w:eastAsia="仿宋_GB2312" w:cs="仿宋_GB2312"/>
        </w:rPr>
        <w:t>%</w:t>
      </w:r>
      <w:r>
        <w:rPr>
          <w:rFonts w:hint="eastAsia" w:ascii="仿宋_GB2312" w:hAnsi="仿宋_GB2312" w:eastAsia="仿宋_GB2312" w:cs="仿宋_GB2312"/>
          <w:lang w:eastAsia="zh-CN"/>
        </w:rPr>
        <w:t>给予支持</w:t>
      </w:r>
      <w:r>
        <w:rPr>
          <w:rFonts w:hint="eastAsia" w:ascii="仿宋_GB2312" w:hAnsi="仿宋_GB2312" w:eastAsia="仿宋_GB2312" w:cs="仿宋_GB2312"/>
        </w:rPr>
        <w:t>，</w:t>
      </w:r>
      <w:r>
        <w:rPr>
          <w:rFonts w:hint="eastAsia" w:ascii="仿宋_GB2312" w:hAnsi="仿宋_GB2312" w:eastAsia="仿宋_GB2312" w:cs="仿宋_GB2312"/>
          <w:lang w:val="en-US" w:eastAsia="zh-CN"/>
        </w:rPr>
        <w:t>最高支持2</w:t>
      </w:r>
      <w:r>
        <w:rPr>
          <w:rFonts w:hint="eastAsia" w:ascii="仿宋_GB2312" w:hAnsi="仿宋_GB2312" w:cs="仿宋_GB2312"/>
          <w:lang w:val="en-US" w:eastAsia="zh-CN"/>
        </w:rPr>
        <w:t>0</w:t>
      </w:r>
      <w:r>
        <w:rPr>
          <w:rFonts w:hint="eastAsia" w:ascii="仿宋_GB2312" w:hAnsi="仿宋_GB2312" w:eastAsia="仿宋_GB2312" w:cs="仿宋_GB2312"/>
          <w:lang w:val="en-US" w:eastAsia="zh-CN"/>
        </w:rPr>
        <w:t>0万元。</w:t>
      </w:r>
      <w:r>
        <w:rPr>
          <w:rFonts w:hint="eastAsia" w:ascii="仿宋_GB2312" w:hAnsi="仿宋_GB2312" w:eastAsia="仿宋_GB2312" w:cs="仿宋_GB2312"/>
        </w:rPr>
        <w:t>对于</w:t>
      </w:r>
      <w:r>
        <w:rPr>
          <w:rFonts w:hint="eastAsia" w:ascii="仿宋_GB2312" w:hAnsi="仿宋_GB2312" w:eastAsia="仿宋_GB2312" w:cs="仿宋_GB2312"/>
          <w:lang w:val="en-US" w:eastAsia="zh-CN"/>
        </w:rPr>
        <w:t>未达到市级支持标准的企业：1.</w:t>
      </w:r>
      <w:r>
        <w:rPr>
          <w:rFonts w:hint="eastAsia" w:ascii="仿宋_GB2312" w:hAnsi="仿宋_GB2312" w:eastAsia="仿宋_GB2312" w:cs="仿宋_GB2312"/>
        </w:rPr>
        <w:t>对互联网平台企业</w:t>
      </w:r>
      <w:r>
        <w:rPr>
          <w:rFonts w:hint="eastAsia" w:ascii="仿宋_GB2312" w:hAnsi="仿宋_GB2312" w:eastAsia="仿宋_GB2312" w:cs="仿宋_GB2312"/>
          <w:lang w:eastAsia="zh-CN"/>
        </w:rPr>
        <w:t>，</w:t>
      </w:r>
      <w:r>
        <w:rPr>
          <w:rFonts w:hint="eastAsia" w:ascii="仿宋_GB2312" w:hAnsi="仿宋_GB2312" w:eastAsia="仿宋_GB2312" w:cs="仿宋_GB2312"/>
        </w:rPr>
        <w:t>每培育1家成交额不低于</w:t>
      </w:r>
      <w:r>
        <w:rPr>
          <w:rFonts w:hint="eastAsia" w:ascii="仿宋_GB2312" w:hAnsi="仿宋_GB2312" w:eastAsia="仿宋_GB2312" w:cs="仿宋_GB2312"/>
          <w:lang w:val="en-US" w:eastAsia="zh-CN"/>
        </w:rPr>
        <w:t>1000</w:t>
      </w:r>
      <w:r>
        <w:rPr>
          <w:rFonts w:hint="eastAsia" w:ascii="仿宋_GB2312" w:hAnsi="仿宋_GB2312" w:eastAsia="仿宋_GB2312" w:cs="仿宋_GB2312"/>
        </w:rPr>
        <w:t>万元且增速不低于</w:t>
      </w:r>
      <w:r>
        <w:rPr>
          <w:rFonts w:hint="eastAsia" w:ascii="仿宋_GB2312" w:hAnsi="仿宋_GB2312" w:eastAsia="仿宋_GB2312" w:cs="仿宋_GB2312"/>
          <w:lang w:val="en-US" w:eastAsia="zh-CN"/>
        </w:rPr>
        <w:t>30</w:t>
      </w:r>
      <w:r>
        <w:rPr>
          <w:rFonts w:hint="eastAsia" w:ascii="仿宋_GB2312" w:hAnsi="仿宋_GB2312" w:eastAsia="仿宋_GB2312" w:cs="仿宋_GB2312"/>
        </w:rPr>
        <w:t>%的企业，</w:t>
      </w:r>
      <w:r>
        <w:rPr>
          <w:rFonts w:hint="eastAsia" w:ascii="仿宋_GB2312" w:hAnsi="仿宋_GB2312" w:eastAsia="仿宋_GB2312" w:cs="仿宋_GB2312"/>
          <w:lang w:val="en-US" w:eastAsia="zh-CN"/>
        </w:rPr>
        <w:t>一次性</w:t>
      </w:r>
      <w:r>
        <w:rPr>
          <w:rFonts w:hint="eastAsia" w:ascii="仿宋_GB2312" w:hAnsi="仿宋_GB2312" w:eastAsia="仿宋_GB2312" w:cs="仿宋_GB2312"/>
        </w:rPr>
        <w:t>支持</w:t>
      </w:r>
      <w:r>
        <w:rPr>
          <w:rFonts w:hint="eastAsia" w:ascii="仿宋_GB2312" w:hAnsi="仿宋_GB2312" w:eastAsia="仿宋_GB2312" w:cs="仿宋_GB2312"/>
          <w:lang w:val="en-US" w:eastAsia="zh-CN"/>
        </w:rPr>
        <w:t>2</w:t>
      </w:r>
      <w:r>
        <w:rPr>
          <w:rFonts w:hint="eastAsia" w:ascii="仿宋_GB2312" w:hAnsi="仿宋_GB2312" w:eastAsia="仿宋_GB2312" w:cs="仿宋_GB2312"/>
        </w:rPr>
        <w:t>万元</w:t>
      </w:r>
      <w:r>
        <w:rPr>
          <w:rFonts w:hint="eastAsia" w:ascii="仿宋_GB2312" w:hAnsi="仿宋_GB2312" w:eastAsia="仿宋_GB2312" w:cs="仿宋_GB2312"/>
          <w:lang w:eastAsia="zh-CN"/>
        </w:rPr>
        <w:t>，</w:t>
      </w:r>
      <w:r>
        <w:rPr>
          <w:rFonts w:hint="eastAsia" w:ascii="仿宋_GB2312" w:hAnsi="仿宋_GB2312" w:eastAsia="仿宋_GB2312" w:cs="仿宋_GB2312"/>
          <w:color w:val="000000"/>
          <w:sz w:val="32"/>
          <w:szCs w:val="32"/>
          <w:highlight w:val="none"/>
          <w:u w:val="none"/>
          <w:lang w:eastAsia="zh-CN"/>
        </w:rPr>
        <w:t>单个</w:t>
      </w:r>
      <w:r>
        <w:rPr>
          <w:rFonts w:hint="eastAsia" w:ascii="仿宋_GB2312" w:hAnsi="仿宋_GB2312" w:cs="仿宋_GB2312"/>
          <w:color w:val="000000"/>
          <w:sz w:val="32"/>
          <w:szCs w:val="32"/>
          <w:highlight w:val="none"/>
          <w:u w:val="none"/>
          <w:lang w:eastAsia="zh-CN"/>
        </w:rPr>
        <w:t>平台</w:t>
      </w:r>
      <w:r>
        <w:rPr>
          <w:rFonts w:hint="eastAsia" w:ascii="仿宋_GB2312" w:hAnsi="仿宋_GB2312" w:eastAsia="仿宋_GB2312" w:cs="仿宋_GB2312"/>
          <w:color w:val="000000"/>
          <w:sz w:val="32"/>
          <w:szCs w:val="32"/>
          <w:highlight w:val="none"/>
          <w:u w:val="none"/>
          <w:lang w:eastAsia="zh-CN"/>
        </w:rPr>
        <w:t>企业累计最高支持</w:t>
      </w:r>
      <w:r>
        <w:rPr>
          <w:rFonts w:hint="eastAsia" w:ascii="仿宋_GB2312" w:hAnsi="仿宋_GB2312" w:eastAsia="仿宋_GB2312" w:cs="仿宋_GB2312"/>
          <w:color w:val="000000"/>
          <w:sz w:val="32"/>
          <w:szCs w:val="32"/>
          <w:highlight w:val="none"/>
          <w:u w:val="none"/>
          <w:lang w:val="en-US" w:eastAsia="zh-CN"/>
        </w:rPr>
        <w:t>100</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对通过自建平台或入驻第三方平台拓展网络自营销售渠道的企业，每在一个新拓展平台实现的成交额不低于</w:t>
      </w:r>
      <w:r>
        <w:rPr>
          <w:rFonts w:hint="eastAsia" w:ascii="仿宋_GB2312" w:hAnsi="仿宋_GB2312" w:eastAsia="仿宋_GB2312" w:cs="仿宋_GB2312"/>
          <w:lang w:val="en-US" w:eastAsia="zh-CN"/>
        </w:rPr>
        <w:t>250</w:t>
      </w:r>
      <w:r>
        <w:rPr>
          <w:rFonts w:hint="eastAsia" w:ascii="仿宋_GB2312" w:hAnsi="仿宋_GB2312" w:eastAsia="仿宋_GB2312" w:cs="仿宋_GB2312"/>
        </w:rPr>
        <w:t>万元，</w:t>
      </w:r>
      <w:r>
        <w:rPr>
          <w:rFonts w:hint="eastAsia" w:ascii="仿宋_GB2312" w:hAnsi="仿宋_GB2312" w:eastAsia="仿宋_GB2312" w:cs="仿宋_GB2312"/>
          <w:lang w:val="en-US" w:eastAsia="zh-CN"/>
        </w:rPr>
        <w:t>一次性</w:t>
      </w:r>
      <w:r>
        <w:rPr>
          <w:rFonts w:hint="eastAsia" w:ascii="仿宋_GB2312" w:hAnsi="仿宋_GB2312" w:eastAsia="仿宋_GB2312" w:cs="仿宋_GB2312"/>
        </w:rPr>
        <w:t>支持</w:t>
      </w:r>
      <w:r>
        <w:rPr>
          <w:rFonts w:hint="eastAsia" w:ascii="仿宋_GB2312" w:hAnsi="仿宋_GB2312" w:eastAsia="仿宋_GB2312" w:cs="仿宋_GB2312"/>
          <w:lang w:val="en-US" w:eastAsia="zh-CN"/>
        </w:rPr>
        <w:t>2</w:t>
      </w:r>
      <w:r>
        <w:rPr>
          <w:rFonts w:hint="eastAsia" w:ascii="仿宋_GB2312" w:hAnsi="仿宋_GB2312" w:eastAsia="仿宋_GB2312" w:cs="仿宋_GB2312"/>
        </w:rPr>
        <w:t>万元</w:t>
      </w:r>
      <w:r>
        <w:rPr>
          <w:rFonts w:hint="eastAsia" w:ascii="仿宋_GB2312" w:hAnsi="仿宋_GB2312" w:eastAsia="仿宋_GB2312" w:cs="仿宋_GB2312"/>
          <w:lang w:eastAsia="zh-CN"/>
        </w:rPr>
        <w:t>，</w:t>
      </w:r>
      <w:r>
        <w:rPr>
          <w:rFonts w:hint="eastAsia" w:ascii="仿宋_GB2312" w:hAnsi="仿宋_GB2312" w:eastAsia="仿宋_GB2312" w:cs="仿宋_GB2312"/>
          <w:color w:val="000000"/>
          <w:sz w:val="32"/>
          <w:szCs w:val="32"/>
          <w:highlight w:val="none"/>
          <w:u w:val="none"/>
          <w:lang w:eastAsia="zh-CN"/>
        </w:rPr>
        <w:t>单个企业累计最高支持</w:t>
      </w:r>
      <w:r>
        <w:rPr>
          <w:rFonts w:hint="eastAsia" w:ascii="仿宋_GB2312" w:hAnsi="仿宋_GB2312" w:eastAsia="仿宋_GB2312" w:cs="仿宋_GB2312"/>
          <w:color w:val="000000"/>
          <w:sz w:val="32"/>
          <w:szCs w:val="32"/>
          <w:highlight w:val="none"/>
          <w:u w:val="none"/>
          <w:lang w:val="en-US" w:eastAsia="zh-CN"/>
        </w:rPr>
        <w:t>20</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对全年直播电商或即时零售成交额不低于</w:t>
      </w:r>
      <w:r>
        <w:rPr>
          <w:rFonts w:hint="eastAsia" w:ascii="仿宋_GB2312" w:hAnsi="仿宋_GB2312" w:eastAsia="仿宋_GB2312" w:cs="仿宋_GB2312"/>
          <w:lang w:val="en-US" w:eastAsia="zh-CN"/>
        </w:rPr>
        <w:t>1000</w:t>
      </w:r>
      <w:r>
        <w:rPr>
          <w:rFonts w:hint="eastAsia" w:ascii="仿宋_GB2312" w:hAnsi="仿宋_GB2312" w:eastAsia="仿宋_GB2312" w:cs="仿宋_GB2312"/>
        </w:rPr>
        <w:t>万元且同比增长不低于</w:t>
      </w:r>
      <w:r>
        <w:rPr>
          <w:rFonts w:hint="eastAsia" w:ascii="仿宋_GB2312" w:hAnsi="仿宋_GB2312" w:eastAsia="仿宋_GB2312" w:cs="仿宋_GB2312"/>
          <w:lang w:val="en-US" w:eastAsia="zh-CN"/>
        </w:rPr>
        <w:t>20</w:t>
      </w:r>
      <w:r>
        <w:rPr>
          <w:rFonts w:hint="eastAsia" w:ascii="仿宋_GB2312" w:hAnsi="仿宋_GB2312" w:eastAsia="仿宋_GB2312" w:cs="仿宋_GB2312"/>
        </w:rPr>
        <w:t>%（上年同期不为零）的企业，</w:t>
      </w:r>
      <w:r>
        <w:rPr>
          <w:rFonts w:hint="eastAsia" w:ascii="仿宋_GB2312" w:hAnsi="仿宋_GB2312" w:eastAsia="仿宋_GB2312" w:cs="仿宋_GB2312"/>
          <w:lang w:eastAsia="zh-CN"/>
        </w:rPr>
        <w:t>一次性支持</w:t>
      </w:r>
      <w:r>
        <w:rPr>
          <w:rFonts w:hint="eastAsia" w:ascii="仿宋_GB2312" w:hAnsi="仿宋_GB2312" w:eastAsia="仿宋_GB2312" w:cs="仿宋_GB2312"/>
          <w:lang w:val="en-US" w:eastAsia="zh-CN"/>
        </w:rPr>
        <w:t>5</w:t>
      </w:r>
      <w:r>
        <w:rPr>
          <w:rFonts w:hint="eastAsia" w:ascii="仿宋_GB2312" w:hAnsi="仿宋_GB2312" w:eastAsia="仿宋_GB2312" w:cs="仿宋_GB2312"/>
        </w:rPr>
        <w:t>万元。</w:t>
      </w:r>
      <w:r>
        <w:rPr>
          <w:rFonts w:hint="eastAsia" w:ascii="仿宋_GB2312" w:hAnsi="仿宋_GB2312" w:eastAsia="仿宋_GB2312" w:cs="仿宋_GB2312"/>
          <w:lang w:val="en-US" w:eastAsia="zh-CN"/>
        </w:rPr>
        <w:t>4.</w:t>
      </w:r>
      <w:r>
        <w:rPr>
          <w:rFonts w:hint="eastAsia" w:ascii="仿宋_GB2312" w:hAnsi="仿宋_GB2312" w:eastAsia="仿宋_GB2312" w:cs="仿宋_GB2312"/>
        </w:rPr>
        <w:t>对带动</w:t>
      </w:r>
      <w:r>
        <w:rPr>
          <w:rFonts w:hint="eastAsia" w:ascii="仿宋_GB2312" w:hAnsi="仿宋_GB2312" w:eastAsia="仿宋_GB2312" w:cs="仿宋_GB2312"/>
          <w:lang w:val="en-US" w:eastAsia="zh-CN"/>
        </w:rPr>
        <w:t>5</w:t>
      </w:r>
      <w:r>
        <w:rPr>
          <w:rFonts w:hint="eastAsia" w:ascii="仿宋_GB2312" w:hAnsi="仿宋_GB2312" w:eastAsia="仿宋_GB2312" w:cs="仿宋_GB2312"/>
        </w:rPr>
        <w:t>家（含）以上企业累计成交额不低于</w:t>
      </w:r>
      <w:r>
        <w:rPr>
          <w:rFonts w:hint="eastAsia" w:ascii="仿宋_GB2312" w:hAnsi="仿宋_GB2312" w:eastAsia="仿宋_GB2312" w:cs="仿宋_GB2312"/>
          <w:lang w:val="en-US" w:eastAsia="zh-CN"/>
        </w:rPr>
        <w:t>1000</w:t>
      </w:r>
      <w:r>
        <w:rPr>
          <w:rFonts w:hint="eastAsia" w:ascii="仿宋_GB2312" w:hAnsi="仿宋_GB2312" w:eastAsia="仿宋_GB2312" w:cs="仿宋_GB2312"/>
        </w:rPr>
        <w:t>万元的电商服务企业，按不超过该累计成交额的</w:t>
      </w:r>
      <w:r>
        <w:rPr>
          <w:rFonts w:hint="eastAsia" w:ascii="仿宋_GB2312" w:hAnsi="仿宋_GB2312" w:eastAsia="仿宋_GB2312" w:cs="仿宋_GB2312"/>
          <w:lang w:val="en-US" w:eastAsia="zh-CN"/>
        </w:rPr>
        <w:t>0.5</w:t>
      </w:r>
      <w:r>
        <w:rPr>
          <w:rFonts w:hint="eastAsia" w:ascii="仿宋_GB2312" w:hAnsi="仿宋_GB2312" w:eastAsia="仿宋_GB2312" w:cs="仿宋_GB2312"/>
        </w:rPr>
        <w:t>%给予</w:t>
      </w:r>
      <w:r>
        <w:rPr>
          <w:rFonts w:hint="eastAsia" w:ascii="仿宋_GB2312" w:hAnsi="仿宋_GB2312" w:eastAsia="仿宋_GB2312" w:cs="仿宋_GB2312"/>
          <w:lang w:eastAsia="zh-CN"/>
        </w:rPr>
        <w:t>支持</w:t>
      </w:r>
      <w:r>
        <w:rPr>
          <w:rFonts w:hint="eastAsia" w:ascii="仿宋_GB2312" w:hAnsi="仿宋_GB2312" w:eastAsia="仿宋_GB2312" w:cs="仿宋_GB2312"/>
        </w:rPr>
        <w:t>。</w:t>
      </w:r>
      <w:r>
        <w:rPr>
          <w:rFonts w:hint="eastAsia" w:ascii="仿宋_GB2312" w:hAnsi="仿宋_GB2312" w:eastAsia="仿宋_GB2312" w:cs="仿宋_GB2312"/>
          <w:color w:val="000000"/>
          <w:sz w:val="32"/>
          <w:szCs w:val="32"/>
          <w:highlight w:val="none"/>
          <w:u w:val="none"/>
          <w:lang w:eastAsia="zh-CN"/>
        </w:rPr>
        <w:t>单个企业累计最高支持</w:t>
      </w:r>
      <w:r>
        <w:rPr>
          <w:rFonts w:hint="eastAsia" w:ascii="仿宋_GB2312" w:hAnsi="仿宋_GB2312" w:eastAsia="仿宋_GB2312" w:cs="仿宋_GB2312"/>
          <w:color w:val="000000"/>
          <w:sz w:val="32"/>
          <w:szCs w:val="32"/>
          <w:highlight w:val="none"/>
          <w:u w:val="none"/>
          <w:lang w:val="en-US" w:eastAsia="zh-CN"/>
        </w:rPr>
        <w:t>100</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rPr>
        <w:t>。</w:t>
      </w:r>
    </w:p>
    <w:p w14:paraId="314E32AE">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支持新能源汽车消费供给。对</w:t>
      </w:r>
      <w:r>
        <w:rPr>
          <w:rFonts w:hint="eastAsia" w:ascii="仿宋_GB2312" w:hAnsi="仿宋_GB2312" w:eastAsia="仿宋_GB2312" w:cs="仿宋_GB2312"/>
          <w:i w:val="0"/>
          <w:iCs w:val="0"/>
          <w:caps w:val="0"/>
          <w:color w:val="333333"/>
          <w:spacing w:val="0"/>
          <w:kern w:val="2"/>
          <w:sz w:val="32"/>
          <w:szCs w:val="32"/>
          <w:highlight w:val="none"/>
          <w:shd w:val="clear" w:color="auto" w:fill="FFFFFF"/>
          <w:lang w:val="en-US" w:eastAsia="zh-CN" w:bidi="ar-SA"/>
        </w:rPr>
        <w:t>新开业（或新建成）</w:t>
      </w:r>
      <w:r>
        <w:rPr>
          <w:rFonts w:hint="eastAsia" w:ascii="仿宋_GB2312" w:hAnsi="仿宋_GB2312" w:eastAsia="仿宋_GB2312" w:cs="仿宋_GB2312"/>
        </w:rPr>
        <w:t>的新能源汽车交付中心一次性</w:t>
      </w:r>
      <w:r>
        <w:rPr>
          <w:rFonts w:hint="eastAsia" w:ascii="仿宋_GB2312" w:hAnsi="仿宋_GB2312" w:eastAsia="仿宋_GB2312" w:cs="仿宋_GB2312"/>
          <w:lang w:eastAsia="zh-CN"/>
        </w:rPr>
        <w:t>支持</w:t>
      </w:r>
      <w:r>
        <w:rPr>
          <w:rFonts w:hint="eastAsia" w:ascii="仿宋_GB2312" w:hAnsi="仿宋_GB2312" w:eastAsia="仿宋_GB2312" w:cs="仿宋_GB2312"/>
        </w:rPr>
        <w:t>50万元。</w:t>
      </w:r>
    </w:p>
    <w:p w14:paraId="6A30740E">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支持打造创新消费场景</w:t>
      </w:r>
    </w:p>
    <w:p w14:paraId="7BB96712">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kern w:val="32"/>
          <w:sz w:val="32"/>
          <w:szCs w:val="32"/>
          <w:highlight w:val="none"/>
        </w:rPr>
      </w:pPr>
      <w:r>
        <w:rPr>
          <w:rFonts w:hint="eastAsia" w:ascii="仿宋_GB2312" w:hAnsi="仿宋_GB2312" w:eastAsia="仿宋_GB2312" w:cs="仿宋_GB2312"/>
          <w:kern w:val="32"/>
          <w:sz w:val="32"/>
          <w:szCs w:val="32"/>
          <w:highlight w:val="none"/>
        </w:rPr>
        <w:t>对</w:t>
      </w:r>
      <w:r>
        <w:rPr>
          <w:rFonts w:hint="eastAsia" w:ascii="仿宋_GB2312" w:hAnsi="仿宋_GB2312" w:eastAsia="仿宋_GB2312" w:cs="仿宋_GB2312"/>
          <w:color w:val="000000"/>
          <w:kern w:val="32"/>
          <w:sz w:val="32"/>
          <w:szCs w:val="32"/>
          <w:highlight w:val="none"/>
        </w:rPr>
        <w:t>购物中心、商业园区</w:t>
      </w:r>
      <w:r>
        <w:rPr>
          <w:rFonts w:hint="eastAsia" w:ascii="仿宋_GB2312" w:hAnsi="仿宋_GB2312" w:eastAsia="仿宋_GB2312" w:cs="仿宋_GB2312"/>
          <w:color w:val="000000"/>
          <w:kern w:val="32"/>
          <w:sz w:val="32"/>
          <w:szCs w:val="32"/>
          <w:highlight w:val="none"/>
          <w:lang w:eastAsia="zh-CN"/>
        </w:rPr>
        <w:t>、</w:t>
      </w:r>
      <w:r>
        <w:rPr>
          <w:rFonts w:hint="eastAsia" w:ascii="仿宋_GB2312" w:hAnsi="仿宋_GB2312" w:eastAsia="仿宋_GB2312" w:cs="仿宋_GB2312"/>
          <w:color w:val="000000"/>
          <w:kern w:val="32"/>
          <w:sz w:val="32"/>
          <w:szCs w:val="32"/>
          <w:highlight w:val="none"/>
        </w:rPr>
        <w:t>百货</w:t>
      </w:r>
      <w:r>
        <w:rPr>
          <w:rFonts w:hint="eastAsia" w:ascii="仿宋_GB2312" w:hAnsi="仿宋_GB2312" w:eastAsia="仿宋_GB2312" w:cs="仿宋_GB2312"/>
          <w:color w:val="000000"/>
          <w:kern w:val="32"/>
          <w:sz w:val="32"/>
          <w:szCs w:val="32"/>
          <w:highlight w:val="none"/>
          <w:lang w:eastAsia="zh-CN"/>
        </w:rPr>
        <w:t>商店及</w:t>
      </w:r>
      <w:r>
        <w:rPr>
          <w:rFonts w:hint="eastAsia" w:ascii="仿宋_GB2312" w:hAnsi="仿宋_GB2312" w:eastAsia="仿宋_GB2312" w:cs="仿宋_GB2312"/>
        </w:rPr>
        <w:t>年零售</w:t>
      </w:r>
      <w:r>
        <w:rPr>
          <w:rFonts w:hint="eastAsia" w:ascii="仿宋_GB2312" w:hAnsi="仿宋_GB2312" w:eastAsia="仿宋_GB2312" w:cs="仿宋_GB2312"/>
          <w:lang w:eastAsia="zh-CN"/>
        </w:rPr>
        <w:t>商品交易价值达</w:t>
      </w:r>
      <w:r>
        <w:rPr>
          <w:rFonts w:hint="eastAsia" w:ascii="仿宋_GB2312" w:hAnsi="仿宋_GB2312" w:eastAsia="仿宋_GB2312" w:cs="仿宋_GB2312"/>
          <w:lang w:val="en-US" w:eastAsia="zh-CN"/>
        </w:rPr>
        <w:t>500万元</w:t>
      </w:r>
      <w:r>
        <w:rPr>
          <w:rFonts w:hint="eastAsia" w:ascii="仿宋_GB2312" w:hAnsi="仿宋_GB2312" w:cs="仿宋_GB2312"/>
          <w:lang w:val="en-US" w:eastAsia="zh-CN"/>
        </w:rPr>
        <w:t>（含）</w:t>
      </w:r>
      <w:r>
        <w:rPr>
          <w:rFonts w:hint="eastAsia" w:ascii="仿宋_GB2312" w:hAnsi="仿宋_GB2312" w:eastAsia="仿宋_GB2312" w:cs="仿宋_GB2312"/>
          <w:lang w:val="en-US" w:eastAsia="zh-CN"/>
        </w:rPr>
        <w:t>以上的</w:t>
      </w:r>
      <w:r>
        <w:rPr>
          <w:rFonts w:hint="eastAsia" w:ascii="仿宋_GB2312" w:hAnsi="仿宋_GB2312" w:eastAsia="仿宋_GB2312" w:cs="仿宋_GB2312"/>
          <w:color w:val="000000"/>
          <w:kern w:val="32"/>
          <w:sz w:val="32"/>
          <w:szCs w:val="32"/>
          <w:highlight w:val="none"/>
          <w:lang w:eastAsia="zh-CN"/>
        </w:rPr>
        <w:t>零售</w:t>
      </w:r>
      <w:r>
        <w:rPr>
          <w:rFonts w:hint="eastAsia" w:ascii="仿宋_GB2312" w:hAnsi="仿宋_GB2312" w:eastAsia="仿宋_GB2312" w:cs="仿宋_GB2312"/>
          <w:color w:val="000000"/>
          <w:kern w:val="32"/>
          <w:sz w:val="32"/>
          <w:szCs w:val="32"/>
          <w:highlight w:val="none"/>
        </w:rPr>
        <w:t>企业</w:t>
      </w:r>
      <w:r>
        <w:rPr>
          <w:rFonts w:hint="eastAsia" w:ascii="仿宋_GB2312" w:hAnsi="仿宋_GB2312" w:eastAsia="仿宋_GB2312" w:cs="仿宋_GB2312"/>
          <w:color w:val="000000"/>
          <w:kern w:val="32"/>
          <w:sz w:val="32"/>
          <w:szCs w:val="32"/>
          <w:highlight w:val="none"/>
          <w:lang w:eastAsia="zh-CN"/>
        </w:rPr>
        <w:t>，举办</w:t>
      </w:r>
      <w:r>
        <w:rPr>
          <w:rFonts w:hint="eastAsia" w:ascii="仿宋_GB2312" w:hAnsi="仿宋_GB2312" w:eastAsia="仿宋_GB2312" w:cs="仿宋_GB2312"/>
          <w:color w:val="000000"/>
          <w:kern w:val="32"/>
          <w:sz w:val="32"/>
          <w:szCs w:val="32"/>
          <w:highlight w:val="none"/>
        </w:rPr>
        <w:t>创新演艺、展览、</w:t>
      </w:r>
      <w:bookmarkStart w:id="7" w:name="_GoBack"/>
      <w:bookmarkEnd w:id="7"/>
      <w:r>
        <w:rPr>
          <w:rFonts w:hint="eastAsia" w:ascii="仿宋_GB2312" w:hAnsi="仿宋_GB2312" w:eastAsia="仿宋_GB2312" w:cs="仿宋_GB2312"/>
          <w:color w:val="000000"/>
          <w:kern w:val="32"/>
          <w:sz w:val="32"/>
          <w:szCs w:val="32"/>
          <w:highlight w:val="none"/>
        </w:rPr>
        <w:t>文化、动漫等多元体验场景</w:t>
      </w:r>
      <w:r>
        <w:rPr>
          <w:rFonts w:hint="eastAsia" w:ascii="仿宋_GB2312" w:hAnsi="仿宋_GB2312" w:eastAsia="仿宋_GB2312" w:cs="仿宋_GB2312"/>
          <w:color w:val="000000"/>
          <w:kern w:val="32"/>
          <w:sz w:val="32"/>
          <w:szCs w:val="32"/>
          <w:highlight w:val="none"/>
          <w:lang w:eastAsia="zh-CN"/>
        </w:rPr>
        <w:t>活动或首发首秀活动，</w:t>
      </w:r>
      <w:r>
        <w:rPr>
          <w:rFonts w:hint="eastAsia" w:ascii="仿宋_GB2312" w:hAnsi="仿宋_GB2312" w:eastAsia="仿宋_GB2312" w:cs="仿宋_GB2312"/>
          <w:color w:val="000000"/>
          <w:kern w:val="32"/>
          <w:sz w:val="32"/>
          <w:szCs w:val="32"/>
          <w:highlight w:val="none"/>
          <w:lang w:val="en-US" w:eastAsia="zh-CN"/>
        </w:rPr>
        <w:t>惠及广大消费者，</w:t>
      </w:r>
      <w:r>
        <w:rPr>
          <w:rFonts w:hint="eastAsia" w:ascii="仿宋_GB2312" w:hAnsi="仿宋_GB2312" w:eastAsia="仿宋_GB2312" w:cs="仿宋_GB2312"/>
          <w:color w:val="000000"/>
          <w:kern w:val="32"/>
          <w:sz w:val="32"/>
          <w:szCs w:val="32"/>
          <w:highlight w:val="none"/>
          <w:lang w:eastAsia="zh-CN"/>
        </w:rPr>
        <w:t>为主体助力引流，</w:t>
      </w:r>
      <w:r>
        <w:rPr>
          <w:rFonts w:hint="eastAsia" w:ascii="仿宋_GB2312" w:hAnsi="仿宋_GB2312" w:eastAsia="仿宋_GB2312" w:cs="仿宋_GB2312"/>
          <w:color w:val="000000"/>
          <w:kern w:val="32"/>
          <w:sz w:val="32"/>
          <w:szCs w:val="32"/>
          <w:highlight w:val="none"/>
          <w:lang w:val="en-US" w:eastAsia="zh-CN"/>
        </w:rPr>
        <w:t>提升品牌影响力的，</w:t>
      </w:r>
      <w:r>
        <w:rPr>
          <w:rFonts w:hint="eastAsia" w:ascii="仿宋_GB2312" w:hAnsi="仿宋_GB2312" w:eastAsia="仿宋_GB2312" w:cs="仿宋_GB2312"/>
          <w:kern w:val="32"/>
          <w:sz w:val="32"/>
          <w:szCs w:val="32"/>
          <w:highlight w:val="none"/>
          <w:lang w:eastAsia="zh-CN"/>
        </w:rPr>
        <w:t>且年</w:t>
      </w:r>
      <w:r>
        <w:rPr>
          <w:rFonts w:hint="eastAsia" w:ascii="仿宋_GB2312" w:hAnsi="仿宋_GB2312" w:eastAsia="仿宋_GB2312" w:cs="仿宋_GB2312"/>
          <w:kern w:val="32"/>
          <w:sz w:val="32"/>
          <w:szCs w:val="32"/>
          <w:highlight w:val="none"/>
        </w:rPr>
        <w:t>投入金额（含场地</w:t>
      </w:r>
      <w:r>
        <w:rPr>
          <w:rFonts w:hint="eastAsia" w:ascii="仿宋_GB2312" w:hAnsi="仿宋_GB2312" w:eastAsia="仿宋_GB2312" w:cs="仿宋_GB2312"/>
          <w:color w:val="000000"/>
          <w:kern w:val="32"/>
          <w:sz w:val="32"/>
          <w:szCs w:val="32"/>
          <w:highlight w:val="none"/>
        </w:rPr>
        <w:t>搭建、设备租赁、活动策划、宣传推广、发券让利等）超过100万元，按照不超过审定实际投资额的</w:t>
      </w:r>
      <w:r>
        <w:rPr>
          <w:rFonts w:hint="eastAsia" w:ascii="仿宋_GB2312" w:hAnsi="仿宋_GB2312" w:eastAsia="仿宋_GB2312" w:cs="仿宋_GB2312"/>
          <w:color w:val="000000"/>
          <w:kern w:val="32"/>
          <w:sz w:val="32"/>
          <w:szCs w:val="32"/>
          <w:highlight w:val="none"/>
          <w:lang w:val="en-US" w:eastAsia="zh-CN"/>
        </w:rPr>
        <w:t>30</w:t>
      </w:r>
      <w:r>
        <w:rPr>
          <w:rFonts w:hint="eastAsia" w:ascii="仿宋_GB2312" w:hAnsi="仿宋_GB2312" w:eastAsia="仿宋_GB2312" w:cs="仿宋_GB2312"/>
          <w:color w:val="000000"/>
          <w:kern w:val="32"/>
          <w:sz w:val="32"/>
          <w:szCs w:val="32"/>
          <w:highlight w:val="none"/>
        </w:rPr>
        <w:t>%</w:t>
      </w:r>
      <w:r>
        <w:rPr>
          <w:rFonts w:hint="eastAsia" w:ascii="仿宋_GB2312" w:hAnsi="仿宋_GB2312" w:eastAsia="仿宋_GB2312" w:cs="仿宋_GB2312"/>
          <w:b w:val="0"/>
          <w:color w:val="auto"/>
          <w:kern w:val="2"/>
          <w:sz w:val="32"/>
          <w:szCs w:val="32"/>
          <w:highlight w:val="none"/>
          <w:lang w:val="en-US" w:eastAsia="zh-CN" w:bidi="ar-SA"/>
        </w:rPr>
        <w:t>给予支持</w:t>
      </w:r>
      <w:r>
        <w:rPr>
          <w:rFonts w:hint="eastAsia" w:ascii="仿宋_GB2312" w:hAnsi="仿宋_GB2312" w:eastAsia="仿宋_GB2312" w:cs="仿宋_GB2312"/>
          <w:color w:val="000000"/>
          <w:kern w:val="32"/>
          <w:sz w:val="32"/>
          <w:szCs w:val="32"/>
          <w:highlight w:val="none"/>
        </w:rPr>
        <w:t>，最高支持</w:t>
      </w:r>
      <w:r>
        <w:rPr>
          <w:rFonts w:hint="eastAsia" w:ascii="仿宋_GB2312" w:hAnsi="仿宋_GB2312" w:eastAsia="仿宋_GB2312" w:cs="仿宋_GB2312"/>
          <w:color w:val="000000"/>
          <w:kern w:val="32"/>
          <w:sz w:val="32"/>
          <w:szCs w:val="32"/>
          <w:highlight w:val="none"/>
          <w:lang w:val="en-US" w:eastAsia="zh-CN"/>
        </w:rPr>
        <w:t>50</w:t>
      </w:r>
      <w:r>
        <w:rPr>
          <w:rFonts w:hint="eastAsia" w:ascii="仿宋_GB2312" w:hAnsi="仿宋_GB2312" w:eastAsia="仿宋_GB2312" w:cs="仿宋_GB2312"/>
          <w:color w:val="000000"/>
          <w:kern w:val="32"/>
          <w:sz w:val="32"/>
          <w:szCs w:val="32"/>
          <w:highlight w:val="none"/>
        </w:rPr>
        <w:t>万元。</w:t>
      </w:r>
    </w:p>
    <w:p w14:paraId="37CD04BE">
      <w:pPr>
        <w:pageBreakBefore w:val="0"/>
        <w:widowControl w:val="0"/>
        <w:kinsoku/>
        <w:wordWrap/>
        <w:overflowPunct/>
        <w:topLinePunct w:val="0"/>
        <w:autoSpaceDE/>
        <w:autoSpaceDN/>
        <w:bidi w:val="0"/>
        <w:adjustRightInd/>
        <w:spacing w:line="600" w:lineRule="exact"/>
        <w:ind w:firstLine="643" w:firstLineChars="200"/>
        <w:textAlignment w:val="auto"/>
        <w:outlineLvl w:val="1"/>
        <w:rPr>
          <w:rFonts w:eastAsia="仿宋_GB2312"/>
          <w:b/>
          <w:color w:val="000000"/>
          <w:kern w:val="32"/>
          <w:sz w:val="32"/>
          <w:szCs w:val="32"/>
          <w:highlight w:val="none"/>
        </w:rPr>
      </w:pPr>
      <w:r>
        <w:rPr>
          <w:rFonts w:hint="eastAsia" w:eastAsia="仿宋_GB2312"/>
          <w:b/>
          <w:color w:val="000000"/>
          <w:kern w:val="32"/>
          <w:sz w:val="32"/>
          <w:szCs w:val="32"/>
          <w:highlight w:val="none"/>
        </w:rPr>
        <w:t>第七条 促进餐饮业高质量发展</w:t>
      </w:r>
    </w:p>
    <w:p w14:paraId="431C1DC7">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支持创建特色餐饮街区</w:t>
      </w:r>
    </w:p>
    <w:p w14:paraId="28CE3790">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32"/>
          <w:sz w:val="32"/>
          <w:szCs w:val="32"/>
          <w:highlight w:val="none"/>
        </w:rPr>
      </w:pPr>
      <w:r>
        <w:rPr>
          <w:rFonts w:hint="eastAsia" w:ascii="仿宋_GB2312" w:hAnsi="仿宋_GB2312" w:eastAsia="仿宋_GB2312" w:cs="仿宋_GB2312"/>
          <w:color w:val="000000"/>
          <w:kern w:val="32"/>
          <w:sz w:val="32"/>
          <w:szCs w:val="32"/>
          <w:highlight w:val="none"/>
        </w:rPr>
        <w:t>对获得市</w:t>
      </w:r>
      <w:r>
        <w:rPr>
          <w:rFonts w:hint="eastAsia" w:ascii="仿宋_GB2312" w:hAnsi="仿宋_GB2312" w:eastAsia="仿宋_GB2312" w:cs="仿宋_GB2312"/>
          <w:color w:val="auto"/>
          <w:kern w:val="32"/>
          <w:sz w:val="32"/>
          <w:szCs w:val="32"/>
          <w:highlight w:val="none"/>
        </w:rPr>
        <w:t>级认定</w:t>
      </w:r>
      <w:r>
        <w:rPr>
          <w:rFonts w:hint="eastAsia" w:ascii="仿宋_GB2312" w:hAnsi="仿宋_GB2312" w:eastAsia="仿宋_GB2312" w:cs="仿宋_GB2312"/>
          <w:color w:val="auto"/>
          <w:kern w:val="32"/>
          <w:sz w:val="32"/>
          <w:szCs w:val="32"/>
          <w:highlight w:val="none"/>
          <w:lang w:eastAsia="zh-CN"/>
        </w:rPr>
        <w:t>“</w:t>
      </w:r>
      <w:r>
        <w:rPr>
          <w:rFonts w:hint="eastAsia" w:ascii="仿宋_GB2312" w:hAnsi="仿宋_GB2312" w:eastAsia="仿宋_GB2312" w:cs="仿宋_GB2312"/>
          <w:color w:val="auto"/>
          <w:kern w:val="32"/>
          <w:sz w:val="32"/>
          <w:szCs w:val="32"/>
          <w:highlight w:val="none"/>
        </w:rPr>
        <w:t>特色餐饮</w:t>
      </w:r>
      <w:r>
        <w:rPr>
          <w:rFonts w:hint="eastAsia" w:ascii="仿宋_GB2312" w:hAnsi="仿宋_GB2312" w:eastAsia="仿宋_GB2312" w:cs="仿宋_GB2312"/>
          <w:color w:val="auto"/>
          <w:kern w:val="32"/>
          <w:sz w:val="32"/>
          <w:szCs w:val="32"/>
          <w:highlight w:val="none"/>
          <w:lang w:eastAsia="zh-CN"/>
        </w:rPr>
        <w:t>聚集</w:t>
      </w:r>
      <w:r>
        <w:rPr>
          <w:rFonts w:hint="eastAsia" w:ascii="仿宋_GB2312" w:hAnsi="仿宋_GB2312" w:eastAsia="仿宋_GB2312" w:cs="仿宋_GB2312"/>
          <w:color w:val="auto"/>
          <w:kern w:val="32"/>
          <w:sz w:val="32"/>
          <w:szCs w:val="32"/>
          <w:highlight w:val="none"/>
        </w:rPr>
        <w:t>街区</w:t>
      </w:r>
      <w:r>
        <w:rPr>
          <w:rFonts w:hint="eastAsia" w:ascii="仿宋_GB2312" w:hAnsi="仿宋_GB2312" w:eastAsia="仿宋_GB2312" w:cs="仿宋_GB2312"/>
          <w:color w:val="auto"/>
          <w:kern w:val="32"/>
          <w:sz w:val="32"/>
          <w:szCs w:val="32"/>
          <w:highlight w:val="none"/>
          <w:lang w:eastAsia="zh-CN"/>
        </w:rPr>
        <w:t>”</w:t>
      </w:r>
      <w:r>
        <w:rPr>
          <w:rFonts w:hint="eastAsia" w:ascii="仿宋_GB2312" w:hAnsi="仿宋_GB2312" w:eastAsia="仿宋_GB2312" w:cs="仿宋_GB2312"/>
          <w:color w:val="auto"/>
          <w:kern w:val="32"/>
          <w:sz w:val="32"/>
          <w:szCs w:val="32"/>
          <w:highlight w:val="none"/>
        </w:rPr>
        <w:t>“深夜食堂”</w:t>
      </w:r>
      <w:r>
        <w:rPr>
          <w:rFonts w:hint="eastAsia" w:ascii="仿宋_GB2312" w:hAnsi="仿宋_GB2312" w:eastAsia="仿宋_GB2312" w:cs="仿宋_GB2312"/>
          <w:color w:val="auto"/>
          <w:kern w:val="32"/>
          <w:sz w:val="32"/>
          <w:szCs w:val="32"/>
          <w:highlight w:val="none"/>
          <w:lang w:eastAsia="zh-CN"/>
        </w:rPr>
        <w:t>等</w:t>
      </w:r>
      <w:r>
        <w:rPr>
          <w:rFonts w:hint="eastAsia" w:ascii="仿宋_GB2312" w:hAnsi="仿宋_GB2312" w:eastAsia="仿宋_GB2312" w:cs="仿宋_GB2312"/>
          <w:color w:val="auto"/>
          <w:kern w:val="32"/>
          <w:sz w:val="32"/>
          <w:szCs w:val="32"/>
          <w:highlight w:val="none"/>
        </w:rPr>
        <w:t>特色餐饮街区荣誉称号</w:t>
      </w:r>
      <w:r>
        <w:rPr>
          <w:rFonts w:hint="eastAsia" w:ascii="仿宋_GB2312" w:hAnsi="仿宋_GB2312" w:eastAsia="仿宋_GB2312" w:cs="仿宋_GB2312"/>
          <w:color w:val="auto"/>
          <w:kern w:val="32"/>
          <w:sz w:val="32"/>
          <w:szCs w:val="32"/>
          <w:highlight w:val="none"/>
          <w:lang w:eastAsia="zh-CN"/>
        </w:rPr>
        <w:t>或</w:t>
      </w:r>
      <w:r>
        <w:rPr>
          <w:rFonts w:hint="eastAsia" w:ascii="仿宋_GB2312" w:hAnsi="仿宋_GB2312" w:eastAsia="仿宋_GB2312" w:cs="仿宋_GB2312"/>
          <w:color w:val="auto"/>
          <w:kern w:val="32"/>
          <w:sz w:val="32"/>
          <w:szCs w:val="32"/>
          <w:highlight w:val="none"/>
        </w:rPr>
        <w:t>授牌的主体，</w:t>
      </w:r>
      <w:r>
        <w:rPr>
          <w:rFonts w:hint="eastAsia" w:ascii="仿宋_GB2312" w:hAnsi="仿宋_GB2312" w:eastAsia="仿宋_GB2312" w:cs="仿宋_GB2312"/>
          <w:b w:val="0"/>
          <w:color w:val="auto"/>
          <w:kern w:val="2"/>
          <w:sz w:val="32"/>
          <w:szCs w:val="32"/>
          <w:highlight w:val="none"/>
          <w:lang w:val="en-US" w:eastAsia="zh-CN" w:bidi="ar-SA"/>
        </w:rPr>
        <w:t>按照不超过审定实际投资额的50%给予支持，最高支持100万元</w:t>
      </w:r>
      <w:r>
        <w:rPr>
          <w:rFonts w:hint="eastAsia" w:ascii="仿宋_GB2312" w:hAnsi="仿宋_GB2312" w:eastAsia="仿宋_GB2312" w:cs="仿宋_GB2312"/>
          <w:color w:val="auto"/>
          <w:kern w:val="32"/>
          <w:sz w:val="32"/>
          <w:szCs w:val="32"/>
          <w:highlight w:val="none"/>
        </w:rPr>
        <w:t>。</w:t>
      </w:r>
    </w:p>
    <w:p w14:paraId="65AAAA67">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支持“餐饮+文旅体”融合发展</w:t>
      </w:r>
    </w:p>
    <w:p w14:paraId="6B1E4237">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对公园、等级景区、公共体育场馆、演出场所、博物馆内开设</w:t>
      </w:r>
      <w:r>
        <w:rPr>
          <w:rFonts w:hint="eastAsia" w:ascii="仿宋_GB2312" w:hAnsi="仿宋_GB2312" w:eastAsia="仿宋_GB2312" w:cs="仿宋_GB2312"/>
          <w:lang w:eastAsia="zh-CN"/>
        </w:rPr>
        <w:t>的</w:t>
      </w:r>
      <w:r>
        <w:rPr>
          <w:rFonts w:hint="eastAsia" w:ascii="仿宋_GB2312" w:hAnsi="仿宋_GB2312" w:eastAsia="仿宋_GB2312" w:cs="仿宋_GB2312"/>
        </w:rPr>
        <w:t>大众消费餐厅，一次性支持10万元</w:t>
      </w:r>
      <w:r>
        <w:rPr>
          <w:rFonts w:hint="eastAsia" w:ascii="仿宋_GB2312" w:hAnsi="仿宋_GB2312" w:eastAsia="仿宋_GB2312" w:cs="仿宋_GB2312"/>
          <w:lang w:eastAsia="zh-CN"/>
        </w:rPr>
        <w:t>，单个企业累计</w:t>
      </w:r>
      <w:r>
        <w:rPr>
          <w:rFonts w:hint="eastAsia" w:ascii="仿宋_GB2312" w:hAnsi="仿宋_GB2312" w:eastAsia="仿宋_GB2312" w:cs="仿宋_GB2312"/>
        </w:rPr>
        <w:t>最高支持100万元。</w:t>
      </w:r>
    </w:p>
    <w:p w14:paraId="0088E6ED">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w:t>
      </w:r>
      <w:r>
        <w:rPr>
          <w:rFonts w:hint="eastAsia" w:eastAsia="仿宋_GB2312"/>
          <w:color w:val="000000"/>
          <w:kern w:val="32"/>
          <w:sz w:val="32"/>
          <w:szCs w:val="32"/>
          <w:highlight w:val="none"/>
        </w:rPr>
        <w:t>创建上榜品质餐厅</w:t>
      </w:r>
    </w:p>
    <w:p w14:paraId="5EE3626E">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对首次获评北京“米其林”星级餐厅、“黑珍珠”钻级餐厅</w:t>
      </w:r>
      <w:r>
        <w:rPr>
          <w:rFonts w:hint="eastAsia" w:ascii="仿宋_GB2312" w:hAnsi="仿宋_GB2312" w:eastAsia="仿宋_GB2312" w:cs="仿宋_GB2312"/>
          <w:lang w:eastAsia="zh-CN"/>
        </w:rPr>
        <w:t>的国际知名榜单的餐饮企业</w:t>
      </w:r>
      <w:r>
        <w:rPr>
          <w:rFonts w:hint="eastAsia" w:ascii="仿宋_GB2312" w:hAnsi="仿宋_GB2312" w:eastAsia="仿宋_GB2312" w:cs="仿宋_GB2312"/>
        </w:rPr>
        <w:t>，一次性</w:t>
      </w:r>
      <w:r>
        <w:rPr>
          <w:rFonts w:hint="eastAsia" w:ascii="仿宋_GB2312" w:hAnsi="仿宋_GB2312" w:eastAsia="仿宋_GB2312" w:cs="仿宋_GB2312"/>
          <w:lang w:eastAsia="zh-CN"/>
        </w:rPr>
        <w:t>支持</w:t>
      </w:r>
      <w:r>
        <w:rPr>
          <w:rFonts w:hint="eastAsia" w:ascii="仿宋_GB2312" w:hAnsi="仿宋_GB2312" w:eastAsia="仿宋_GB2312" w:cs="仿宋_GB2312"/>
          <w:lang w:val="en-US" w:eastAsia="zh-CN"/>
        </w:rPr>
        <w:t>15</w:t>
      </w:r>
      <w:r>
        <w:rPr>
          <w:rFonts w:hint="eastAsia" w:ascii="仿宋_GB2312" w:hAnsi="仿宋_GB2312" w:eastAsia="仿宋_GB2312" w:cs="仿宋_GB2312"/>
        </w:rPr>
        <w:t>万元，</w:t>
      </w:r>
      <w:r>
        <w:rPr>
          <w:rFonts w:hint="eastAsia" w:ascii="仿宋_GB2312" w:hAnsi="仿宋_GB2312" w:eastAsia="仿宋_GB2312" w:cs="仿宋_GB2312"/>
          <w:lang w:eastAsia="zh-CN"/>
        </w:rPr>
        <w:t>单个企业累计</w:t>
      </w:r>
      <w:r>
        <w:rPr>
          <w:rFonts w:hint="eastAsia" w:ascii="仿宋_GB2312" w:hAnsi="仿宋_GB2312" w:eastAsia="仿宋_GB2312" w:cs="仿宋_GB2312"/>
        </w:rPr>
        <w:t>最高支持</w:t>
      </w:r>
      <w:r>
        <w:rPr>
          <w:rFonts w:hint="eastAsia" w:ascii="仿宋_GB2312" w:hAnsi="仿宋_GB2312" w:eastAsia="仿宋_GB2312" w:cs="仿宋_GB2312"/>
          <w:lang w:val="en-US" w:eastAsia="zh-CN"/>
        </w:rPr>
        <w:t>45</w:t>
      </w:r>
      <w:r>
        <w:rPr>
          <w:rFonts w:hint="eastAsia" w:ascii="仿宋_GB2312" w:hAnsi="仿宋_GB2312" w:eastAsia="仿宋_GB2312" w:cs="仿宋_GB2312"/>
        </w:rPr>
        <w:t>万元。</w:t>
      </w:r>
    </w:p>
    <w:p w14:paraId="340A519A">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对成功搭建运行大运河</w:t>
      </w:r>
      <w:r>
        <w:rPr>
          <w:rFonts w:hint="eastAsia" w:ascii="仿宋_GB2312" w:hAnsi="仿宋_GB2312" w:eastAsia="仿宋_GB2312" w:cs="仿宋_GB2312"/>
          <w:lang w:val="en-US" w:eastAsia="zh-CN"/>
        </w:rPr>
        <w:t>IP美食评选榜单的专业运营平台、美食机构，一次性支持100万元。</w:t>
      </w:r>
    </w:p>
    <w:p w14:paraId="3993A2BA">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支持餐厅改造提质升级</w:t>
      </w:r>
    </w:p>
    <w:p w14:paraId="08E67250">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kern w:val="32"/>
          <w:sz w:val="32"/>
          <w:szCs w:val="32"/>
          <w:highlight w:val="none"/>
        </w:rPr>
      </w:pPr>
      <w:r>
        <w:rPr>
          <w:rFonts w:hint="eastAsia" w:ascii="仿宋_GB2312" w:hAnsi="仿宋_GB2312" w:eastAsia="仿宋_GB2312" w:cs="仿宋_GB2312"/>
          <w:color w:val="000000"/>
          <w:kern w:val="32"/>
          <w:sz w:val="32"/>
          <w:szCs w:val="32"/>
          <w:highlight w:val="none"/>
        </w:rPr>
        <w:t>对持续经营多年（2019年1月1日前取得营业执照）</w:t>
      </w:r>
      <w:r>
        <w:rPr>
          <w:rFonts w:hint="eastAsia" w:ascii="仿宋_GB2312" w:hAnsi="仿宋_GB2312" w:eastAsia="仿宋_GB2312" w:cs="仿宋_GB2312"/>
          <w:color w:val="000000"/>
          <w:kern w:val="32"/>
          <w:sz w:val="32"/>
          <w:szCs w:val="32"/>
          <w:highlight w:val="none"/>
          <w:lang w:eastAsia="zh-CN"/>
        </w:rPr>
        <w:t>并进行</w:t>
      </w:r>
      <w:r>
        <w:rPr>
          <w:rFonts w:hint="eastAsia" w:ascii="仿宋_GB2312" w:hAnsi="仿宋_GB2312" w:eastAsia="仿宋_GB2312" w:cs="仿宋_GB2312"/>
          <w:color w:val="000000"/>
          <w:kern w:val="32"/>
          <w:sz w:val="32"/>
          <w:szCs w:val="32"/>
          <w:highlight w:val="none"/>
        </w:rPr>
        <w:t>改造提质升级的餐厅，按审定</w:t>
      </w:r>
      <w:r>
        <w:rPr>
          <w:rFonts w:hint="eastAsia" w:ascii="仿宋_GB2312" w:hAnsi="仿宋_GB2312" w:eastAsia="仿宋_GB2312" w:cs="仿宋_GB2312"/>
          <w:color w:val="000000"/>
          <w:kern w:val="32"/>
          <w:sz w:val="32"/>
          <w:szCs w:val="32"/>
          <w:highlight w:val="none"/>
          <w:lang w:eastAsia="zh-CN"/>
        </w:rPr>
        <w:t>实际</w:t>
      </w:r>
      <w:r>
        <w:rPr>
          <w:rFonts w:hint="eastAsia" w:ascii="仿宋_GB2312" w:hAnsi="仿宋_GB2312" w:eastAsia="仿宋_GB2312" w:cs="仿宋_GB2312"/>
          <w:color w:val="000000"/>
          <w:kern w:val="32"/>
          <w:sz w:val="32"/>
          <w:szCs w:val="32"/>
          <w:highlight w:val="none"/>
        </w:rPr>
        <w:t>投资金额50-100万元、</w:t>
      </w:r>
      <w:r>
        <w:rPr>
          <w:rFonts w:hint="eastAsia" w:ascii="仿宋_GB2312" w:hAnsi="仿宋_GB2312" w:eastAsia="仿宋_GB2312" w:cs="仿宋_GB2312"/>
          <w:color w:val="auto"/>
          <w:kern w:val="32"/>
          <w:sz w:val="32"/>
          <w:szCs w:val="32"/>
          <w:highlight w:val="none"/>
        </w:rPr>
        <w:t>100-300万元、300-500万元、500万元以上</w:t>
      </w:r>
      <w:r>
        <w:rPr>
          <w:rFonts w:hint="eastAsia" w:ascii="仿宋_GB2312" w:hAnsi="仿宋_GB2312" w:eastAsia="仿宋_GB2312" w:cs="仿宋_GB2312"/>
          <w:color w:val="auto"/>
          <w:kern w:val="32"/>
          <w:sz w:val="32"/>
          <w:szCs w:val="32"/>
          <w:highlight w:val="none"/>
          <w:lang w:eastAsia="zh-CN"/>
        </w:rPr>
        <w:t>进行</w:t>
      </w:r>
      <w:r>
        <w:rPr>
          <w:rFonts w:hint="eastAsia" w:ascii="仿宋_GB2312" w:hAnsi="仿宋_GB2312" w:eastAsia="仿宋_GB2312" w:cs="仿宋_GB2312"/>
          <w:color w:val="auto"/>
          <w:kern w:val="32"/>
          <w:sz w:val="32"/>
          <w:szCs w:val="32"/>
          <w:highlight w:val="none"/>
        </w:rPr>
        <w:t>分档，分别</w:t>
      </w:r>
      <w:r>
        <w:rPr>
          <w:rFonts w:hint="eastAsia" w:ascii="仿宋_GB2312" w:hAnsi="仿宋_GB2312" w:eastAsia="仿宋_GB2312" w:cs="仿宋_GB2312"/>
          <w:color w:val="auto"/>
          <w:kern w:val="32"/>
          <w:sz w:val="32"/>
          <w:szCs w:val="32"/>
          <w:highlight w:val="none"/>
          <w:lang w:eastAsia="zh-CN"/>
        </w:rPr>
        <w:t>支持</w:t>
      </w:r>
      <w:r>
        <w:rPr>
          <w:rFonts w:hint="eastAsia" w:ascii="仿宋_GB2312" w:hAnsi="仿宋_GB2312" w:eastAsia="仿宋_GB2312" w:cs="仿宋_GB2312"/>
          <w:color w:val="auto"/>
          <w:kern w:val="32"/>
          <w:sz w:val="32"/>
          <w:szCs w:val="32"/>
          <w:highlight w:val="none"/>
          <w:lang w:val="en-US" w:eastAsia="zh-CN"/>
        </w:rPr>
        <w:t>5</w:t>
      </w:r>
      <w:r>
        <w:rPr>
          <w:rFonts w:hint="eastAsia" w:ascii="仿宋_GB2312" w:hAnsi="仿宋_GB2312" w:eastAsia="仿宋_GB2312" w:cs="仿宋_GB2312"/>
          <w:color w:val="auto"/>
          <w:kern w:val="32"/>
          <w:sz w:val="32"/>
          <w:szCs w:val="32"/>
          <w:highlight w:val="none"/>
        </w:rPr>
        <w:t>万元、</w:t>
      </w:r>
      <w:r>
        <w:rPr>
          <w:rFonts w:hint="eastAsia" w:ascii="仿宋_GB2312" w:hAnsi="仿宋_GB2312" w:eastAsia="仿宋_GB2312" w:cs="仿宋_GB2312"/>
          <w:color w:val="auto"/>
          <w:kern w:val="32"/>
          <w:sz w:val="32"/>
          <w:szCs w:val="32"/>
          <w:highlight w:val="none"/>
          <w:lang w:val="en-US" w:eastAsia="zh-CN"/>
        </w:rPr>
        <w:t>1</w:t>
      </w:r>
      <w:r>
        <w:rPr>
          <w:rFonts w:hint="eastAsia" w:ascii="仿宋_GB2312" w:hAnsi="仿宋_GB2312" w:eastAsia="仿宋_GB2312" w:cs="仿宋_GB2312"/>
          <w:color w:val="auto"/>
          <w:kern w:val="32"/>
          <w:sz w:val="32"/>
          <w:szCs w:val="32"/>
          <w:highlight w:val="none"/>
        </w:rPr>
        <w:t>0万元、</w:t>
      </w:r>
      <w:r>
        <w:rPr>
          <w:rFonts w:hint="eastAsia" w:ascii="仿宋_GB2312" w:hAnsi="仿宋_GB2312" w:eastAsia="仿宋_GB2312" w:cs="仿宋_GB2312"/>
          <w:color w:val="auto"/>
          <w:kern w:val="32"/>
          <w:sz w:val="32"/>
          <w:szCs w:val="32"/>
          <w:highlight w:val="none"/>
          <w:lang w:val="en-US" w:eastAsia="zh-CN"/>
        </w:rPr>
        <w:t>2</w:t>
      </w:r>
      <w:r>
        <w:rPr>
          <w:rFonts w:hint="eastAsia" w:ascii="仿宋_GB2312" w:hAnsi="仿宋_GB2312" w:eastAsia="仿宋_GB2312" w:cs="仿宋_GB2312"/>
          <w:color w:val="auto"/>
          <w:kern w:val="32"/>
          <w:sz w:val="32"/>
          <w:szCs w:val="32"/>
          <w:highlight w:val="none"/>
        </w:rPr>
        <w:t>0万元、</w:t>
      </w:r>
      <w:r>
        <w:rPr>
          <w:rFonts w:hint="eastAsia" w:ascii="仿宋_GB2312" w:hAnsi="仿宋_GB2312" w:eastAsia="仿宋_GB2312" w:cs="仿宋_GB2312"/>
          <w:color w:val="auto"/>
          <w:kern w:val="32"/>
          <w:sz w:val="32"/>
          <w:szCs w:val="32"/>
          <w:highlight w:val="none"/>
          <w:lang w:val="en-US" w:eastAsia="zh-CN"/>
        </w:rPr>
        <w:t>3</w:t>
      </w:r>
      <w:r>
        <w:rPr>
          <w:rFonts w:hint="eastAsia" w:ascii="仿宋_GB2312" w:hAnsi="仿宋_GB2312" w:eastAsia="仿宋_GB2312" w:cs="仿宋_GB2312"/>
          <w:color w:val="auto"/>
          <w:kern w:val="32"/>
          <w:sz w:val="32"/>
          <w:szCs w:val="32"/>
          <w:highlight w:val="none"/>
        </w:rPr>
        <w:t>0万元</w:t>
      </w:r>
      <w:r>
        <w:rPr>
          <w:rFonts w:hint="eastAsia" w:ascii="仿宋_GB2312" w:hAnsi="仿宋_GB2312" w:eastAsia="仿宋_GB2312" w:cs="仿宋_GB2312"/>
          <w:color w:val="auto"/>
          <w:kern w:val="32"/>
          <w:sz w:val="32"/>
          <w:szCs w:val="32"/>
          <w:highlight w:val="none"/>
          <w:lang w:eastAsia="zh-CN"/>
        </w:rPr>
        <w:t>，单个企业累计</w:t>
      </w:r>
      <w:r>
        <w:rPr>
          <w:rFonts w:hint="eastAsia" w:ascii="仿宋_GB2312" w:hAnsi="仿宋_GB2312" w:eastAsia="仿宋_GB2312" w:cs="仿宋_GB2312"/>
          <w:color w:val="000000"/>
          <w:kern w:val="32"/>
          <w:sz w:val="32"/>
          <w:szCs w:val="32"/>
          <w:highlight w:val="none"/>
        </w:rPr>
        <w:t>最高支持100万元。</w:t>
      </w:r>
    </w:p>
    <w:p w14:paraId="699023A0">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rPr>
        <w:t>支持举办美食</w:t>
      </w:r>
      <w:r>
        <w:rPr>
          <w:rFonts w:hint="eastAsia" w:eastAsia="仿宋_GB2312"/>
          <w:color w:val="000000"/>
          <w:sz w:val="32"/>
          <w:szCs w:val="32"/>
          <w:highlight w:val="none"/>
          <w:lang w:eastAsia="zh-CN"/>
        </w:rPr>
        <w:t>主题</w:t>
      </w:r>
      <w:r>
        <w:rPr>
          <w:rFonts w:hint="eastAsia" w:eastAsia="仿宋_GB2312"/>
          <w:color w:val="000000"/>
          <w:sz w:val="32"/>
          <w:szCs w:val="32"/>
          <w:highlight w:val="none"/>
        </w:rPr>
        <w:t>活动</w:t>
      </w:r>
    </w:p>
    <w:p w14:paraId="298FB891">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w:t>
      </w:r>
      <w:r>
        <w:rPr>
          <w:rFonts w:hint="eastAsia" w:ascii="仿宋_GB2312" w:hAnsi="仿宋_GB2312" w:eastAsia="仿宋_GB2312" w:cs="仿宋_GB2312"/>
          <w:lang w:eastAsia="zh-CN"/>
        </w:rPr>
        <w:t>举办</w:t>
      </w:r>
      <w:r>
        <w:rPr>
          <w:rFonts w:hint="eastAsia" w:ascii="仿宋_GB2312" w:hAnsi="仿宋_GB2312" w:eastAsia="仿宋_GB2312" w:cs="仿宋_GB2312"/>
        </w:rPr>
        <w:t>美食、餐饮活动（如国际美食节、美食品鉴会、美食展览、特色</w:t>
      </w:r>
      <w:r>
        <w:rPr>
          <w:rFonts w:hint="eastAsia" w:ascii="仿宋_GB2312" w:hAnsi="仿宋_GB2312" w:eastAsia="仿宋_GB2312" w:cs="仿宋_GB2312"/>
          <w:lang w:eastAsia="zh-CN"/>
        </w:rPr>
        <w:t>美食</w:t>
      </w:r>
      <w:r>
        <w:rPr>
          <w:rFonts w:hint="eastAsia" w:ascii="仿宋_GB2312" w:hAnsi="仿宋_GB2312" w:eastAsia="仿宋_GB2312" w:cs="仿宋_GB2312"/>
        </w:rPr>
        <w:t>擂台、厨艺大赛、餐饮文化研讨会等），时间不少于5天，活动所涉餐饮收入统一结算且大于200万的，每次活动一次性</w:t>
      </w:r>
      <w:r>
        <w:rPr>
          <w:rFonts w:hint="eastAsia" w:ascii="仿宋_GB2312" w:hAnsi="仿宋_GB2312" w:eastAsia="仿宋_GB2312" w:cs="仿宋_GB2312"/>
          <w:lang w:eastAsia="zh-CN"/>
        </w:rPr>
        <w:t>支持</w:t>
      </w:r>
      <w:r>
        <w:rPr>
          <w:rFonts w:hint="eastAsia" w:ascii="仿宋_GB2312" w:hAnsi="仿宋_GB2312" w:eastAsia="仿宋_GB2312" w:cs="仿宋_GB2312"/>
          <w:lang w:val="en-US" w:eastAsia="zh-CN"/>
        </w:rPr>
        <w:t>10</w:t>
      </w:r>
      <w:r>
        <w:rPr>
          <w:rFonts w:hint="eastAsia" w:ascii="仿宋_GB2312" w:hAnsi="仿宋_GB2312" w:eastAsia="仿宋_GB2312" w:cs="仿宋_GB2312"/>
        </w:rPr>
        <w:t>万元。</w:t>
      </w:r>
    </w:p>
    <w:p w14:paraId="10C5FC8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eastAsia="仿宋_GB2312"/>
          <w:color w:val="000000"/>
          <w:kern w:val="0"/>
          <w:sz w:val="32"/>
          <w:szCs w:val="32"/>
          <w:highlight w:val="none"/>
        </w:rPr>
      </w:pPr>
      <w:bookmarkStart w:id="5" w:name="_Toc4035_WPSOffice_Level1"/>
      <w:r>
        <w:rPr>
          <w:rFonts w:eastAsia="黑体"/>
          <w:color w:val="000000"/>
          <w:kern w:val="32"/>
          <w:sz w:val="32"/>
          <w:szCs w:val="32"/>
          <w:highlight w:val="none"/>
        </w:rPr>
        <w:t xml:space="preserve">第四章 </w:t>
      </w:r>
      <w:r>
        <w:rPr>
          <w:rFonts w:hint="eastAsia" w:eastAsia="黑体"/>
          <w:color w:val="000000"/>
          <w:kern w:val="32"/>
          <w:sz w:val="32"/>
          <w:szCs w:val="32"/>
          <w:highlight w:val="none"/>
          <w:lang w:eastAsia="zh-CN"/>
        </w:rPr>
        <w:t>鼓励</w:t>
      </w:r>
      <w:r>
        <w:rPr>
          <w:rFonts w:eastAsia="黑体"/>
          <w:color w:val="000000"/>
          <w:kern w:val="32"/>
          <w:sz w:val="32"/>
          <w:szCs w:val="32"/>
          <w:highlight w:val="none"/>
        </w:rPr>
        <w:t>传统业态转型升级</w:t>
      </w:r>
      <w:bookmarkEnd w:id="5"/>
    </w:p>
    <w:p w14:paraId="28D200F0">
      <w:pPr>
        <w:pageBreakBefore w:val="0"/>
        <w:widowControl w:val="0"/>
        <w:kinsoku/>
        <w:wordWrap/>
        <w:overflowPunct/>
        <w:topLinePunct w:val="0"/>
        <w:autoSpaceDE/>
        <w:autoSpaceDN/>
        <w:bidi w:val="0"/>
        <w:adjustRightInd/>
        <w:spacing w:line="600" w:lineRule="exact"/>
        <w:ind w:firstLine="643" w:firstLineChars="200"/>
        <w:jc w:val="left"/>
        <w:textAlignment w:val="auto"/>
        <w:outlineLvl w:val="1"/>
        <w:rPr>
          <w:rFonts w:eastAsia="仿宋_GB2312"/>
          <w:b/>
          <w:color w:val="000000"/>
          <w:kern w:val="32"/>
          <w:sz w:val="32"/>
          <w:szCs w:val="32"/>
          <w:highlight w:val="none"/>
        </w:rPr>
      </w:pPr>
      <w:r>
        <w:rPr>
          <w:rFonts w:eastAsia="仿宋_GB2312"/>
          <w:b/>
          <w:color w:val="000000"/>
          <w:kern w:val="32"/>
          <w:sz w:val="32"/>
          <w:szCs w:val="32"/>
          <w:highlight w:val="none"/>
        </w:rPr>
        <w:t>第</w:t>
      </w:r>
      <w:r>
        <w:rPr>
          <w:rFonts w:hint="eastAsia" w:eastAsia="仿宋_GB2312"/>
          <w:b/>
          <w:color w:val="000000"/>
          <w:kern w:val="32"/>
          <w:sz w:val="32"/>
          <w:szCs w:val="32"/>
          <w:highlight w:val="none"/>
        </w:rPr>
        <w:t>八</w:t>
      </w:r>
      <w:r>
        <w:rPr>
          <w:rFonts w:eastAsia="仿宋_GB2312"/>
          <w:b/>
          <w:color w:val="000000"/>
          <w:kern w:val="32"/>
          <w:sz w:val="32"/>
          <w:szCs w:val="32"/>
          <w:highlight w:val="none"/>
        </w:rPr>
        <w:t xml:space="preserve">条 </w:t>
      </w:r>
      <w:r>
        <w:rPr>
          <w:rFonts w:hint="eastAsia" w:eastAsia="仿宋_GB2312"/>
          <w:b/>
          <w:color w:val="000000"/>
          <w:kern w:val="32"/>
          <w:sz w:val="32"/>
          <w:szCs w:val="32"/>
          <w:highlight w:val="none"/>
        </w:rPr>
        <w:t>促进</w:t>
      </w:r>
      <w:r>
        <w:rPr>
          <w:rFonts w:eastAsia="仿宋_GB2312"/>
          <w:b/>
          <w:color w:val="000000"/>
          <w:kern w:val="32"/>
          <w:sz w:val="32"/>
          <w:szCs w:val="32"/>
          <w:highlight w:val="none"/>
        </w:rPr>
        <w:t>商圈高质量发展</w:t>
      </w:r>
    </w:p>
    <w:p w14:paraId="111B6B06">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lang w:eastAsia="zh-CN"/>
        </w:rPr>
        <w:t>支持</w:t>
      </w:r>
      <w:r>
        <w:rPr>
          <w:rFonts w:hint="eastAsia" w:eastAsia="仿宋_GB2312"/>
          <w:color w:val="000000"/>
          <w:sz w:val="32"/>
          <w:szCs w:val="32"/>
          <w:highlight w:val="none"/>
        </w:rPr>
        <w:t>商圈商场提质升级</w:t>
      </w:r>
    </w:p>
    <w:p w14:paraId="05D290F7">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kern w:val="32"/>
          <w:sz w:val="32"/>
          <w:szCs w:val="32"/>
          <w:highlight w:val="none"/>
        </w:rPr>
      </w:pPr>
      <w:r>
        <w:rPr>
          <w:rFonts w:hint="eastAsia" w:eastAsia="仿宋_GB2312"/>
          <w:bCs/>
          <w:color w:val="000000"/>
          <w:kern w:val="32"/>
          <w:sz w:val="32"/>
          <w:szCs w:val="32"/>
          <w:highlight w:val="none"/>
          <w:lang w:eastAsia="zh-CN"/>
        </w:rPr>
        <w:t>支持在北京市重点商圈名录中的传统商场和商圈进行升级改造。</w:t>
      </w:r>
      <w:r>
        <w:rPr>
          <w:rFonts w:eastAsia="仿宋_GB2312"/>
          <w:bCs/>
          <w:color w:val="000000"/>
          <w:kern w:val="32"/>
          <w:sz w:val="32"/>
          <w:szCs w:val="32"/>
          <w:highlight w:val="none"/>
        </w:rPr>
        <w:t>对获</w:t>
      </w:r>
      <w:r>
        <w:rPr>
          <w:rFonts w:hint="eastAsia" w:ascii="仿宋_GB2312" w:hAnsi="仿宋_GB2312" w:eastAsia="仿宋_GB2312" w:cs="仿宋_GB2312"/>
          <w:bCs/>
          <w:color w:val="000000"/>
          <w:kern w:val="32"/>
          <w:sz w:val="32"/>
          <w:szCs w:val="32"/>
          <w:highlight w:val="none"/>
        </w:rPr>
        <w:t>得市级商圈品质提升项目资金支持的运营主体，</w:t>
      </w:r>
      <w:r>
        <w:rPr>
          <w:rFonts w:hint="eastAsia" w:ascii="仿宋_GB2312" w:hAnsi="仿宋_GB2312" w:eastAsia="仿宋_GB2312" w:cs="仿宋_GB2312"/>
          <w:color w:val="000000"/>
          <w:kern w:val="32"/>
          <w:sz w:val="32"/>
          <w:szCs w:val="32"/>
          <w:highlight w:val="none"/>
        </w:rPr>
        <w:t>按照市级支持资金</w:t>
      </w:r>
      <w:r>
        <w:rPr>
          <w:rFonts w:hint="eastAsia" w:ascii="仿宋_GB2312" w:hAnsi="仿宋_GB2312" w:cs="仿宋_GB2312"/>
          <w:color w:val="000000"/>
          <w:kern w:val="32"/>
          <w:sz w:val="32"/>
          <w:szCs w:val="32"/>
          <w:highlight w:val="none"/>
          <w:lang w:eastAsia="zh-CN"/>
        </w:rPr>
        <w:t>的</w:t>
      </w:r>
      <w:r>
        <w:rPr>
          <w:rFonts w:hint="eastAsia" w:ascii="仿宋_GB2312" w:hAnsi="仿宋_GB2312" w:eastAsia="仿宋_GB2312" w:cs="仿宋_GB2312"/>
          <w:color w:val="000000"/>
          <w:kern w:val="32"/>
          <w:sz w:val="32"/>
          <w:szCs w:val="32"/>
          <w:highlight w:val="none"/>
          <w:lang w:val="en-US" w:eastAsia="zh-CN"/>
        </w:rPr>
        <w:t>15</w:t>
      </w:r>
      <w:r>
        <w:rPr>
          <w:rFonts w:hint="eastAsia" w:ascii="仿宋_GB2312" w:hAnsi="仿宋_GB2312" w:eastAsia="仿宋_GB2312" w:cs="仿宋_GB2312"/>
          <w:color w:val="000000"/>
          <w:kern w:val="32"/>
          <w:sz w:val="32"/>
          <w:szCs w:val="32"/>
          <w:highlight w:val="none"/>
        </w:rPr>
        <w:t>%</w:t>
      </w:r>
      <w:r>
        <w:rPr>
          <w:rFonts w:hint="eastAsia" w:ascii="仿宋_GB2312" w:hAnsi="仿宋_GB2312" w:cs="仿宋_GB2312"/>
          <w:color w:val="000000"/>
          <w:kern w:val="32"/>
          <w:sz w:val="32"/>
          <w:szCs w:val="32"/>
          <w:highlight w:val="none"/>
          <w:lang w:eastAsia="zh-CN"/>
        </w:rPr>
        <w:t>给予支持</w:t>
      </w:r>
      <w:r>
        <w:rPr>
          <w:rFonts w:hint="eastAsia" w:ascii="仿宋_GB2312" w:hAnsi="仿宋_GB2312" w:eastAsia="仿宋_GB2312" w:cs="仿宋_GB2312"/>
          <w:color w:val="000000"/>
          <w:kern w:val="32"/>
          <w:sz w:val="32"/>
          <w:szCs w:val="32"/>
          <w:highlight w:val="none"/>
        </w:rPr>
        <w:t>，最高</w:t>
      </w:r>
      <w:r>
        <w:rPr>
          <w:rFonts w:hint="eastAsia" w:ascii="仿宋_GB2312" w:hAnsi="仿宋_GB2312" w:cs="仿宋_GB2312"/>
          <w:color w:val="000000"/>
          <w:kern w:val="32"/>
          <w:sz w:val="32"/>
          <w:szCs w:val="32"/>
          <w:highlight w:val="none"/>
          <w:lang w:eastAsia="zh-CN"/>
        </w:rPr>
        <w:t>支持</w:t>
      </w:r>
      <w:r>
        <w:rPr>
          <w:rFonts w:hint="eastAsia" w:ascii="仿宋_GB2312" w:hAnsi="仿宋_GB2312" w:eastAsia="仿宋_GB2312" w:cs="仿宋_GB2312"/>
          <w:color w:val="000000"/>
          <w:kern w:val="32"/>
          <w:sz w:val="32"/>
          <w:szCs w:val="32"/>
          <w:highlight w:val="none"/>
          <w:lang w:val="en-US" w:eastAsia="zh-CN"/>
        </w:rPr>
        <w:t>75</w:t>
      </w:r>
      <w:r>
        <w:rPr>
          <w:rFonts w:hint="eastAsia" w:ascii="仿宋_GB2312" w:hAnsi="仿宋_GB2312" w:eastAsia="仿宋_GB2312" w:cs="仿宋_GB2312"/>
          <w:color w:val="000000"/>
          <w:kern w:val="32"/>
          <w:sz w:val="32"/>
          <w:szCs w:val="32"/>
          <w:highlight w:val="none"/>
        </w:rPr>
        <w:t>万元。</w:t>
      </w:r>
    </w:p>
    <w:p w14:paraId="727024EB">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kern w:val="32"/>
          <w:sz w:val="32"/>
          <w:szCs w:val="32"/>
          <w:highlight w:val="none"/>
        </w:rPr>
      </w:pPr>
      <w:r>
        <w:rPr>
          <w:rFonts w:hint="eastAsia" w:ascii="仿宋_GB2312" w:hAnsi="仿宋_GB2312" w:eastAsia="仿宋_GB2312" w:cs="仿宋_GB2312"/>
          <w:bCs/>
          <w:color w:val="000000"/>
          <w:kern w:val="32"/>
          <w:sz w:val="32"/>
          <w:szCs w:val="32"/>
          <w:highlight w:val="none"/>
          <w:lang w:eastAsia="zh-CN"/>
        </w:rPr>
        <w:t>对于审定实际投资额在当年市级政策要求的</w:t>
      </w:r>
      <w:r>
        <w:rPr>
          <w:rFonts w:hint="eastAsia" w:ascii="仿宋_GB2312" w:hAnsi="仿宋_GB2312" w:eastAsia="仿宋_GB2312" w:cs="仿宋_GB2312"/>
          <w:bCs/>
          <w:color w:val="000000"/>
          <w:kern w:val="32"/>
          <w:sz w:val="32"/>
          <w:szCs w:val="32"/>
          <w:highlight w:val="none"/>
          <w:lang w:val="en-US" w:eastAsia="zh-CN"/>
        </w:rPr>
        <w:t>50%</w:t>
      </w:r>
      <w:r>
        <w:rPr>
          <w:rFonts w:hint="eastAsia" w:ascii="仿宋_GB2312" w:hAnsi="仿宋_GB2312" w:eastAsia="仿宋_GB2312" w:cs="仿宋_GB2312"/>
          <w:bCs/>
          <w:color w:val="000000"/>
          <w:kern w:val="32"/>
          <w:sz w:val="32"/>
          <w:szCs w:val="32"/>
          <w:highlight w:val="none"/>
        </w:rPr>
        <w:t>以上</w:t>
      </w:r>
      <w:r>
        <w:rPr>
          <w:rFonts w:hint="eastAsia" w:ascii="仿宋_GB2312" w:hAnsi="仿宋_GB2312" w:eastAsia="仿宋_GB2312" w:cs="仿宋_GB2312"/>
          <w:bCs/>
          <w:color w:val="000000"/>
          <w:kern w:val="32"/>
          <w:sz w:val="32"/>
          <w:szCs w:val="32"/>
          <w:highlight w:val="none"/>
          <w:lang w:eastAsia="zh-CN"/>
        </w:rPr>
        <w:t>、完成升级改造且效果明显的项目</w:t>
      </w:r>
      <w:r>
        <w:rPr>
          <w:rFonts w:hint="eastAsia" w:ascii="仿宋_GB2312" w:hAnsi="仿宋_GB2312" w:cs="仿宋_GB2312"/>
          <w:bCs/>
          <w:color w:val="000000"/>
          <w:kern w:val="32"/>
          <w:sz w:val="32"/>
          <w:szCs w:val="32"/>
          <w:highlight w:val="none"/>
          <w:lang w:eastAsia="zh-CN"/>
        </w:rPr>
        <w:t>，按照不超过</w:t>
      </w:r>
      <w:r>
        <w:rPr>
          <w:rFonts w:hint="eastAsia" w:ascii="仿宋_GB2312" w:hAnsi="仿宋_GB2312" w:eastAsia="仿宋_GB2312" w:cs="仿宋_GB2312"/>
          <w:bCs/>
          <w:color w:val="000000"/>
          <w:kern w:val="32"/>
          <w:sz w:val="32"/>
          <w:szCs w:val="32"/>
          <w:highlight w:val="none"/>
          <w:lang w:eastAsia="zh-CN"/>
        </w:rPr>
        <w:t>项目审定实际投资额的</w:t>
      </w:r>
      <w:r>
        <w:rPr>
          <w:rFonts w:hint="eastAsia" w:ascii="仿宋_GB2312" w:hAnsi="仿宋_GB2312" w:eastAsia="仿宋_GB2312" w:cs="仿宋_GB2312"/>
          <w:bCs/>
          <w:color w:val="000000"/>
          <w:kern w:val="32"/>
          <w:sz w:val="32"/>
          <w:szCs w:val="32"/>
          <w:highlight w:val="none"/>
          <w:lang w:val="en-US" w:eastAsia="zh-CN"/>
        </w:rPr>
        <w:t>15%</w:t>
      </w:r>
      <w:r>
        <w:rPr>
          <w:rFonts w:hint="eastAsia" w:ascii="仿宋_GB2312" w:hAnsi="仿宋_GB2312" w:cs="仿宋_GB2312"/>
          <w:bCs/>
          <w:color w:val="000000"/>
          <w:kern w:val="32"/>
          <w:sz w:val="32"/>
          <w:szCs w:val="32"/>
          <w:highlight w:val="none"/>
          <w:lang w:val="en-US" w:eastAsia="zh-CN"/>
        </w:rPr>
        <w:t>给予支持</w:t>
      </w:r>
      <w:r>
        <w:rPr>
          <w:rFonts w:hint="eastAsia" w:ascii="仿宋_GB2312" w:hAnsi="仿宋_GB2312" w:eastAsia="仿宋_GB2312" w:cs="仿宋_GB2312"/>
          <w:bCs/>
          <w:color w:val="000000"/>
          <w:kern w:val="32"/>
          <w:sz w:val="32"/>
          <w:szCs w:val="32"/>
          <w:highlight w:val="none"/>
          <w:lang w:val="en-US" w:eastAsia="zh-CN"/>
        </w:rPr>
        <w:t>，</w:t>
      </w:r>
      <w:r>
        <w:rPr>
          <w:rFonts w:hint="eastAsia" w:ascii="仿宋_GB2312" w:hAnsi="仿宋_GB2312" w:cs="仿宋_GB2312"/>
          <w:bCs/>
          <w:color w:val="000000"/>
          <w:kern w:val="32"/>
          <w:sz w:val="32"/>
          <w:szCs w:val="32"/>
          <w:highlight w:val="none"/>
          <w:lang w:val="en-US" w:eastAsia="zh-CN"/>
        </w:rPr>
        <w:t>最高支持</w:t>
      </w:r>
      <w:r>
        <w:rPr>
          <w:rFonts w:hint="eastAsia" w:ascii="仿宋_GB2312" w:hAnsi="仿宋_GB2312" w:eastAsia="仿宋_GB2312" w:cs="仿宋_GB2312"/>
          <w:bCs/>
          <w:color w:val="000000"/>
          <w:kern w:val="32"/>
          <w:sz w:val="32"/>
          <w:szCs w:val="32"/>
          <w:highlight w:val="none"/>
          <w:lang w:val="en-US" w:eastAsia="zh-CN"/>
        </w:rPr>
        <w:t>150万元。</w:t>
      </w:r>
    </w:p>
    <w:p w14:paraId="28FFA63D">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lang w:eastAsia="zh-CN"/>
        </w:rPr>
        <w:t>支持培育</w:t>
      </w:r>
      <w:r>
        <w:rPr>
          <w:rFonts w:hint="eastAsia" w:eastAsia="仿宋_GB2312"/>
          <w:color w:val="000000"/>
          <w:sz w:val="32"/>
          <w:szCs w:val="32"/>
          <w:highlight w:val="none"/>
        </w:rPr>
        <w:t>高品质商业步行街</w:t>
      </w:r>
    </w:p>
    <w:p w14:paraId="772CA116">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kern w:val="32"/>
          <w:sz w:val="32"/>
          <w:szCs w:val="32"/>
          <w:highlight w:val="none"/>
        </w:rPr>
      </w:pPr>
      <w:r>
        <w:rPr>
          <w:rFonts w:hint="eastAsia" w:eastAsia="仿宋_GB2312"/>
          <w:bCs/>
          <w:color w:val="000000"/>
          <w:kern w:val="32"/>
          <w:sz w:val="32"/>
          <w:szCs w:val="32"/>
          <w:highlight w:val="none"/>
        </w:rPr>
        <w:t>对获得市</w:t>
      </w:r>
      <w:r>
        <w:rPr>
          <w:rFonts w:hint="eastAsia" w:ascii="仿宋_GB2312" w:hAnsi="仿宋_GB2312" w:eastAsia="仿宋_GB2312" w:cs="仿宋_GB2312"/>
          <w:bCs/>
          <w:color w:val="000000"/>
          <w:kern w:val="32"/>
          <w:sz w:val="32"/>
          <w:szCs w:val="32"/>
          <w:highlight w:val="none"/>
        </w:rPr>
        <w:t>级商业步行街高质量发展资金支持的运营主体，</w:t>
      </w:r>
      <w:r>
        <w:rPr>
          <w:rFonts w:hint="eastAsia" w:ascii="仿宋_GB2312" w:hAnsi="仿宋_GB2312" w:eastAsia="仿宋_GB2312" w:cs="仿宋_GB2312"/>
          <w:color w:val="000000"/>
          <w:kern w:val="32"/>
          <w:sz w:val="32"/>
          <w:szCs w:val="32"/>
          <w:highlight w:val="none"/>
        </w:rPr>
        <w:t>按照市级支持资金的</w:t>
      </w:r>
      <w:r>
        <w:rPr>
          <w:rFonts w:hint="eastAsia" w:ascii="仿宋_GB2312" w:hAnsi="仿宋_GB2312" w:eastAsia="仿宋_GB2312" w:cs="仿宋_GB2312"/>
          <w:color w:val="000000"/>
          <w:kern w:val="32"/>
          <w:sz w:val="32"/>
          <w:szCs w:val="32"/>
          <w:highlight w:val="none"/>
          <w:lang w:val="en-US" w:eastAsia="zh-CN"/>
        </w:rPr>
        <w:t>15</w:t>
      </w:r>
      <w:r>
        <w:rPr>
          <w:rFonts w:hint="eastAsia" w:ascii="仿宋_GB2312" w:hAnsi="仿宋_GB2312" w:eastAsia="仿宋_GB2312" w:cs="仿宋_GB2312"/>
          <w:color w:val="000000"/>
          <w:kern w:val="32"/>
          <w:sz w:val="32"/>
          <w:szCs w:val="32"/>
          <w:highlight w:val="none"/>
        </w:rPr>
        <w:t>%给予支持，最高</w:t>
      </w:r>
      <w:r>
        <w:rPr>
          <w:rFonts w:hint="eastAsia" w:ascii="仿宋_GB2312" w:hAnsi="仿宋_GB2312" w:eastAsia="仿宋_GB2312" w:cs="仿宋_GB2312"/>
          <w:color w:val="000000"/>
          <w:kern w:val="32"/>
          <w:sz w:val="32"/>
          <w:szCs w:val="32"/>
          <w:highlight w:val="none"/>
          <w:lang w:eastAsia="zh-CN"/>
        </w:rPr>
        <w:t>支持</w:t>
      </w:r>
      <w:r>
        <w:rPr>
          <w:rFonts w:hint="eastAsia" w:ascii="仿宋_GB2312" w:hAnsi="仿宋_GB2312" w:eastAsia="仿宋_GB2312" w:cs="仿宋_GB2312"/>
          <w:color w:val="000000"/>
          <w:kern w:val="32"/>
          <w:sz w:val="32"/>
          <w:szCs w:val="32"/>
          <w:highlight w:val="none"/>
          <w:lang w:val="en-US" w:eastAsia="zh-CN"/>
        </w:rPr>
        <w:t>60</w:t>
      </w:r>
      <w:r>
        <w:rPr>
          <w:rFonts w:hint="eastAsia" w:ascii="仿宋_GB2312" w:hAnsi="仿宋_GB2312" w:eastAsia="仿宋_GB2312" w:cs="仿宋_GB2312"/>
          <w:color w:val="000000"/>
          <w:kern w:val="32"/>
          <w:sz w:val="32"/>
          <w:szCs w:val="32"/>
          <w:highlight w:val="none"/>
        </w:rPr>
        <w:t>万元。</w:t>
      </w:r>
    </w:p>
    <w:p w14:paraId="2928EB08">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eastAsia="仿宋_GB2312"/>
          <w:color w:val="000000"/>
          <w:sz w:val="32"/>
          <w:szCs w:val="32"/>
          <w:highlight w:val="none"/>
        </w:rPr>
      </w:pPr>
      <w:r>
        <w:rPr>
          <w:rFonts w:hint="eastAsia" w:eastAsia="仿宋_GB2312"/>
          <w:color w:val="000000"/>
          <w:sz w:val="32"/>
          <w:szCs w:val="32"/>
          <w:highlight w:val="none"/>
          <w:lang w:eastAsia="zh-CN"/>
        </w:rPr>
        <w:t>支持</w:t>
      </w:r>
      <w:r>
        <w:rPr>
          <w:rFonts w:eastAsia="仿宋_GB2312"/>
          <w:color w:val="000000"/>
          <w:sz w:val="32"/>
          <w:szCs w:val="32"/>
          <w:highlight w:val="none"/>
        </w:rPr>
        <w:t>创建特色消费街区</w:t>
      </w:r>
    </w:p>
    <w:p w14:paraId="15541BE6">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对于被认定为市级特色消费街区的项目</w:t>
      </w:r>
      <w:r>
        <w:rPr>
          <w:rFonts w:hint="eastAsia" w:ascii="仿宋_GB2312" w:hAnsi="仿宋_GB2312" w:eastAsia="仿宋_GB2312" w:cs="仿宋_GB2312"/>
        </w:rPr>
        <w:t>管理机构（主体）</w:t>
      </w:r>
      <w:r>
        <w:rPr>
          <w:rFonts w:hint="eastAsia" w:ascii="仿宋_GB2312" w:hAnsi="仿宋_GB2312" w:eastAsia="仿宋_GB2312" w:cs="仿宋_GB2312"/>
          <w:lang w:eastAsia="zh-CN"/>
        </w:rPr>
        <w:t>，</w:t>
      </w:r>
      <w:r>
        <w:rPr>
          <w:rFonts w:hint="eastAsia" w:ascii="仿宋_GB2312" w:hAnsi="仿宋_GB2312" w:eastAsia="仿宋_GB2312" w:cs="仿宋_GB2312"/>
        </w:rPr>
        <w:t>一次性</w:t>
      </w:r>
      <w:r>
        <w:rPr>
          <w:rFonts w:hint="eastAsia" w:ascii="仿宋_GB2312" w:hAnsi="仿宋_GB2312" w:eastAsia="仿宋_GB2312" w:cs="仿宋_GB2312"/>
          <w:lang w:eastAsia="zh-CN"/>
        </w:rPr>
        <w:t>支持</w:t>
      </w:r>
      <w:r>
        <w:rPr>
          <w:rFonts w:hint="eastAsia" w:ascii="仿宋_GB2312" w:hAnsi="仿宋_GB2312" w:eastAsia="仿宋_GB2312" w:cs="仿宋_GB2312"/>
        </w:rPr>
        <w:t>100万元。</w:t>
      </w:r>
    </w:p>
    <w:p w14:paraId="577965C4">
      <w:pPr>
        <w:pageBreakBefore w:val="0"/>
        <w:widowControl w:val="0"/>
        <w:kinsoku/>
        <w:wordWrap/>
        <w:overflowPunct/>
        <w:topLinePunct w:val="0"/>
        <w:autoSpaceDE/>
        <w:autoSpaceDN/>
        <w:bidi w:val="0"/>
        <w:adjustRightInd/>
        <w:spacing w:line="600" w:lineRule="exact"/>
        <w:ind w:firstLine="643" w:firstLineChars="200"/>
        <w:jc w:val="left"/>
        <w:textAlignment w:val="auto"/>
        <w:outlineLvl w:val="1"/>
        <w:rPr>
          <w:rFonts w:eastAsia="仿宋_GB2312"/>
          <w:b/>
          <w:color w:val="000000"/>
          <w:kern w:val="32"/>
          <w:sz w:val="32"/>
          <w:szCs w:val="32"/>
          <w:highlight w:val="none"/>
        </w:rPr>
      </w:pPr>
      <w:r>
        <w:rPr>
          <w:rFonts w:eastAsia="仿宋_GB2312"/>
          <w:b/>
          <w:color w:val="000000"/>
          <w:kern w:val="32"/>
          <w:sz w:val="32"/>
          <w:szCs w:val="32"/>
          <w:highlight w:val="none"/>
        </w:rPr>
        <w:t>第</w:t>
      </w:r>
      <w:r>
        <w:rPr>
          <w:rFonts w:hint="eastAsia" w:eastAsia="仿宋_GB2312"/>
          <w:b/>
          <w:color w:val="000000"/>
          <w:kern w:val="32"/>
          <w:sz w:val="32"/>
          <w:szCs w:val="32"/>
          <w:highlight w:val="none"/>
        </w:rPr>
        <w:t>九</w:t>
      </w:r>
      <w:r>
        <w:rPr>
          <w:rFonts w:eastAsia="仿宋_GB2312"/>
          <w:b/>
          <w:color w:val="000000"/>
          <w:kern w:val="32"/>
          <w:sz w:val="32"/>
          <w:szCs w:val="32"/>
          <w:highlight w:val="none"/>
        </w:rPr>
        <w:t>条 促进生活服务业</w:t>
      </w:r>
      <w:r>
        <w:rPr>
          <w:rFonts w:hint="eastAsia" w:eastAsia="仿宋_GB2312"/>
          <w:b/>
          <w:color w:val="000000"/>
          <w:kern w:val="32"/>
          <w:sz w:val="32"/>
          <w:szCs w:val="32"/>
          <w:highlight w:val="none"/>
        </w:rPr>
        <w:t>转型升级</w:t>
      </w:r>
    </w:p>
    <w:p w14:paraId="1AA8AD49">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促进便民服务水平提升</w:t>
      </w:r>
    </w:p>
    <w:p w14:paraId="31F5D6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cs="仿宋_GB2312"/>
          <w:i w:val="0"/>
          <w:iCs w:val="0"/>
          <w:caps w:val="0"/>
          <w:color w:val="auto"/>
          <w:spacing w:val="0"/>
          <w:sz w:val="32"/>
          <w:szCs w:val="32"/>
          <w:highlight w:val="none"/>
          <w:shd w:val="clear" w:fill="FFFFFF"/>
          <w:lang w:eastAsia="zh-CN"/>
        </w:rPr>
        <w:t>对</w:t>
      </w:r>
      <w:r>
        <w:rPr>
          <w:rFonts w:hint="eastAsia" w:ascii="仿宋_GB2312" w:hAnsi="仿宋_GB2312" w:eastAsia="仿宋_GB2312" w:cs="仿宋_GB2312"/>
          <w:i w:val="0"/>
          <w:iCs w:val="0"/>
          <w:caps w:val="0"/>
          <w:color w:val="auto"/>
          <w:spacing w:val="0"/>
          <w:sz w:val="32"/>
          <w:szCs w:val="32"/>
          <w:highlight w:val="none"/>
          <w:shd w:val="clear" w:fill="FFFFFF"/>
          <w:lang w:eastAsia="zh-CN"/>
        </w:rPr>
        <w:t>新建</w:t>
      </w:r>
      <w:r>
        <w:rPr>
          <w:rFonts w:hint="eastAsia" w:ascii="仿宋_GB2312" w:hAnsi="仿宋_GB2312" w:cs="仿宋_GB2312"/>
          <w:i w:val="0"/>
          <w:iCs w:val="0"/>
          <w:caps w:val="0"/>
          <w:color w:val="auto"/>
          <w:spacing w:val="0"/>
          <w:sz w:val="32"/>
          <w:szCs w:val="32"/>
          <w:highlight w:val="none"/>
          <w:shd w:val="clear" w:fill="FFFFFF"/>
          <w:lang w:eastAsia="zh-CN"/>
        </w:rPr>
        <w:t>或改造的</w:t>
      </w:r>
      <w:r>
        <w:rPr>
          <w:rFonts w:hint="eastAsia" w:ascii="仿宋_GB2312" w:hAnsi="仿宋_GB2312" w:cs="仿宋_GB2312"/>
          <w:b w:val="0"/>
          <w:bCs w:val="0"/>
          <w:i w:val="0"/>
          <w:iCs w:val="0"/>
          <w:caps w:val="0"/>
          <w:color w:val="auto"/>
          <w:spacing w:val="0"/>
          <w:sz w:val="32"/>
          <w:szCs w:val="32"/>
          <w:highlight w:val="none"/>
          <w:shd w:val="clear" w:fill="FFFFFF"/>
          <w:lang w:eastAsia="zh-CN"/>
        </w:rPr>
        <w:t>一站式</w:t>
      </w:r>
      <w:r>
        <w:rPr>
          <w:rFonts w:hint="eastAsia" w:ascii="仿宋_GB2312" w:hAnsi="仿宋_GB2312" w:eastAsia="仿宋_GB2312" w:cs="仿宋_GB2312"/>
          <w:b w:val="0"/>
          <w:bCs w:val="0"/>
          <w:i w:val="0"/>
          <w:iCs w:val="0"/>
          <w:caps w:val="0"/>
          <w:color w:val="auto"/>
          <w:spacing w:val="0"/>
          <w:sz w:val="32"/>
          <w:szCs w:val="32"/>
          <w:highlight w:val="none"/>
          <w:shd w:val="clear" w:fill="FFFFFF"/>
        </w:rPr>
        <w:t>商业</w:t>
      </w:r>
      <w:r>
        <w:rPr>
          <w:rFonts w:hint="eastAsia" w:ascii="仿宋_GB2312" w:hAnsi="仿宋_GB2312" w:cs="仿宋_GB2312"/>
          <w:b w:val="0"/>
          <w:bCs w:val="0"/>
          <w:i w:val="0"/>
          <w:iCs w:val="0"/>
          <w:caps w:val="0"/>
          <w:color w:val="auto"/>
          <w:spacing w:val="0"/>
          <w:sz w:val="32"/>
          <w:szCs w:val="32"/>
          <w:highlight w:val="none"/>
          <w:shd w:val="clear" w:fill="FFFFFF"/>
          <w:lang w:eastAsia="zh-CN"/>
        </w:rPr>
        <w:t>便民服务中心</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在店面装修</w:t>
      </w:r>
      <w:r>
        <w:rPr>
          <w:rFonts w:hint="eastAsia" w:eastAsia="仿宋_GB2312"/>
          <w:bCs/>
          <w:color w:val="auto"/>
          <w:kern w:val="32"/>
          <w:sz w:val="32"/>
          <w:szCs w:val="32"/>
          <w:highlight w:val="none"/>
        </w:rPr>
        <w:t>、硬件设备购置等方面</w:t>
      </w:r>
      <w:r>
        <w:rPr>
          <w:rFonts w:hint="eastAsia" w:ascii="仿宋_GB2312" w:hAnsi="仿宋_GB2312" w:eastAsia="仿宋_GB2312" w:cs="仿宋_GB2312"/>
          <w:i w:val="0"/>
          <w:iCs w:val="0"/>
          <w:caps w:val="0"/>
          <w:color w:val="auto"/>
          <w:spacing w:val="0"/>
          <w:sz w:val="32"/>
          <w:szCs w:val="32"/>
          <w:highlight w:val="none"/>
          <w:shd w:val="clear" w:fill="FFFFFF"/>
          <w:lang w:eastAsia="zh-CN"/>
        </w:rPr>
        <w:t>按照</w:t>
      </w:r>
      <w:r>
        <w:rPr>
          <w:rFonts w:hint="eastAsia" w:ascii="仿宋_GB2312" w:hAnsi="仿宋_GB2312" w:eastAsia="仿宋_GB2312" w:cs="仿宋_GB2312"/>
          <w:i w:val="0"/>
          <w:iCs w:val="0"/>
          <w:caps w:val="0"/>
          <w:color w:val="auto"/>
          <w:spacing w:val="0"/>
          <w:sz w:val="32"/>
          <w:szCs w:val="32"/>
          <w:highlight w:val="none"/>
          <w:shd w:val="clear" w:fill="FFFFFF"/>
        </w:rPr>
        <w:t>不超过实际</w:t>
      </w:r>
      <w:r>
        <w:rPr>
          <w:rFonts w:hint="eastAsia" w:ascii="仿宋_GB2312" w:hAnsi="仿宋_GB2312" w:eastAsia="仿宋_GB2312" w:cs="仿宋_GB2312"/>
          <w:i w:val="0"/>
          <w:iCs w:val="0"/>
          <w:caps w:val="0"/>
          <w:color w:val="auto"/>
          <w:spacing w:val="0"/>
          <w:sz w:val="32"/>
          <w:szCs w:val="32"/>
          <w:highlight w:val="none"/>
          <w:shd w:val="clear" w:fill="FFFFFF"/>
          <w:lang w:eastAsia="zh-CN"/>
        </w:rPr>
        <w:t>审定</w:t>
      </w:r>
      <w:r>
        <w:rPr>
          <w:rFonts w:hint="eastAsia" w:ascii="仿宋_GB2312" w:hAnsi="仿宋_GB2312" w:eastAsia="仿宋_GB2312" w:cs="仿宋_GB2312"/>
          <w:i w:val="0"/>
          <w:iCs w:val="0"/>
          <w:caps w:val="0"/>
          <w:color w:val="auto"/>
          <w:spacing w:val="0"/>
          <w:sz w:val="32"/>
          <w:szCs w:val="32"/>
          <w:highlight w:val="none"/>
          <w:shd w:val="clear" w:fill="FFFFFF"/>
        </w:rPr>
        <w:t>投资额的</w:t>
      </w:r>
      <w:r>
        <w:rPr>
          <w:rFonts w:hint="eastAsia" w:ascii="仿宋_GB2312" w:hAnsi="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0%</w:t>
      </w:r>
      <w:r>
        <w:rPr>
          <w:rFonts w:hint="eastAsia" w:ascii="仿宋_GB2312" w:hAnsi="仿宋_GB2312" w:eastAsia="仿宋_GB2312" w:cs="仿宋_GB2312"/>
          <w:i w:val="0"/>
          <w:iCs w:val="0"/>
          <w:caps w:val="0"/>
          <w:color w:val="auto"/>
          <w:spacing w:val="0"/>
          <w:sz w:val="32"/>
          <w:szCs w:val="32"/>
          <w:highlight w:val="none"/>
          <w:shd w:val="clear" w:fill="FFFFFF"/>
          <w:lang w:eastAsia="zh-CN"/>
        </w:rPr>
        <w:t>给予支持，单个项目</w:t>
      </w:r>
      <w:r>
        <w:rPr>
          <w:rFonts w:hint="eastAsia" w:ascii="仿宋_GB2312" w:hAnsi="仿宋_GB2312" w:cs="仿宋_GB2312"/>
          <w:i w:val="0"/>
          <w:iCs w:val="0"/>
          <w:caps w:val="0"/>
          <w:color w:val="auto"/>
          <w:spacing w:val="0"/>
          <w:sz w:val="32"/>
          <w:szCs w:val="32"/>
          <w:highlight w:val="none"/>
          <w:shd w:val="clear" w:fill="FFFFFF"/>
          <w:lang w:eastAsia="zh-CN"/>
        </w:rPr>
        <w:t>最高支持</w:t>
      </w:r>
      <w:r>
        <w:rPr>
          <w:rFonts w:hint="eastAsia" w:ascii="仿宋_GB2312" w:hAnsi="仿宋_GB2312" w:eastAsia="仿宋_GB2312" w:cs="仿宋_GB2312"/>
          <w:i w:val="0"/>
          <w:iCs w:val="0"/>
          <w:caps w:val="0"/>
          <w:color w:val="auto"/>
          <w:spacing w:val="0"/>
          <w:sz w:val="32"/>
          <w:szCs w:val="32"/>
          <w:highlight w:val="none"/>
          <w:shd w:val="clear" w:fill="FFFFFF"/>
        </w:rPr>
        <w:t>50万元。</w:t>
      </w:r>
    </w:p>
    <w:p w14:paraId="46539CDA">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支持智能零售场景</w:t>
      </w:r>
    </w:p>
    <w:p w14:paraId="6EA90C2D">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支持布局无人零售店、自提柜、云柜等新业态，</w:t>
      </w:r>
      <w:r>
        <w:rPr>
          <w:rFonts w:hint="eastAsia" w:ascii="仿宋_GB2312" w:hAnsi="仿宋_GB2312" w:eastAsia="仿宋_GB2312" w:cs="仿宋_GB2312"/>
          <w:lang w:eastAsia="zh-CN"/>
        </w:rPr>
        <w:t>对</w:t>
      </w:r>
      <w:r>
        <w:rPr>
          <w:rFonts w:hint="eastAsia" w:ascii="仿宋_GB2312" w:hAnsi="仿宋_GB2312" w:eastAsia="仿宋_GB2312" w:cs="仿宋_GB2312"/>
        </w:rPr>
        <w:t>单个</w:t>
      </w:r>
      <w:r>
        <w:rPr>
          <w:rFonts w:hint="eastAsia" w:ascii="仿宋_GB2312" w:hAnsi="仿宋_GB2312" w:eastAsia="仿宋_GB2312" w:cs="仿宋_GB2312"/>
          <w:lang w:eastAsia="zh-CN"/>
        </w:rPr>
        <w:t>设备一次性支持</w:t>
      </w:r>
      <w:r>
        <w:rPr>
          <w:rFonts w:hint="eastAsia" w:ascii="仿宋_GB2312" w:hAnsi="仿宋_GB2312" w:eastAsia="仿宋_GB2312" w:cs="仿宋_GB2312"/>
        </w:rPr>
        <w:t>1000元</w:t>
      </w:r>
      <w:r>
        <w:rPr>
          <w:rFonts w:hint="eastAsia" w:ascii="仿宋_GB2312" w:hAnsi="仿宋_GB2312" w:eastAsia="仿宋_GB2312" w:cs="仿宋_GB2312"/>
          <w:lang w:eastAsia="zh-CN"/>
        </w:rPr>
        <w:t>，单个企业累计</w:t>
      </w:r>
      <w:r>
        <w:rPr>
          <w:rFonts w:hint="eastAsia" w:ascii="仿宋_GB2312" w:hAnsi="仿宋_GB2312" w:eastAsia="仿宋_GB2312" w:cs="仿宋_GB2312"/>
        </w:rPr>
        <w:t>最高支持50万元。</w:t>
      </w:r>
    </w:p>
    <w:p w14:paraId="3C7EF561">
      <w:pPr>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支持</w:t>
      </w:r>
      <w:r>
        <w:rPr>
          <w:rFonts w:hint="eastAsia" w:ascii="仿宋_GB2312" w:hAnsi="仿宋_GB2312" w:eastAsia="仿宋_GB2312" w:cs="仿宋_GB2312"/>
          <w:color w:val="000000"/>
          <w:sz w:val="32"/>
          <w:szCs w:val="32"/>
          <w:highlight w:val="none"/>
        </w:rPr>
        <w:t>社区菜市场转型升级</w:t>
      </w:r>
    </w:p>
    <w:p w14:paraId="322B2337">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对新建社区菜市场或已建成社区菜市场升级改造的，单个项目最高支持75万元。</w:t>
      </w:r>
    </w:p>
    <w:p w14:paraId="6CF3C1C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0" w:firstLineChars="0"/>
        <w:jc w:val="center"/>
        <w:textAlignment w:val="auto"/>
        <w:outlineLvl w:val="0"/>
        <w:rPr>
          <w:rFonts w:eastAsia="黑体"/>
          <w:color w:val="000000"/>
          <w:kern w:val="0"/>
          <w:sz w:val="32"/>
          <w:szCs w:val="32"/>
          <w:highlight w:val="none"/>
        </w:rPr>
      </w:pPr>
      <w:r>
        <w:rPr>
          <w:rFonts w:eastAsia="黑体"/>
          <w:color w:val="000000"/>
          <w:kern w:val="0"/>
          <w:sz w:val="32"/>
          <w:szCs w:val="32"/>
          <w:highlight w:val="none"/>
        </w:rPr>
        <w:t xml:space="preserve"> </w:t>
      </w:r>
      <w:bookmarkStart w:id="6" w:name="_Toc15607_WPSOffice_Level1"/>
      <w:r>
        <w:rPr>
          <w:rFonts w:eastAsia="黑体"/>
          <w:color w:val="000000"/>
          <w:kern w:val="0"/>
          <w:sz w:val="32"/>
          <w:szCs w:val="32"/>
          <w:highlight w:val="none"/>
        </w:rPr>
        <w:t>附则</w:t>
      </w:r>
      <w:bookmarkEnd w:id="6"/>
    </w:p>
    <w:p w14:paraId="415DCEFC">
      <w:pPr>
        <w:pageBreakBefore w:val="0"/>
        <w:widowControl w:val="0"/>
        <w:kinsoku/>
        <w:wordWrap/>
        <w:overflowPunct/>
        <w:topLinePunct w:val="0"/>
        <w:autoSpaceDE/>
        <w:autoSpaceDN/>
        <w:bidi w:val="0"/>
        <w:adjustRightInd/>
        <w:spacing w:line="600" w:lineRule="exact"/>
        <w:ind w:firstLine="643" w:firstLineChars="200"/>
        <w:jc w:val="left"/>
        <w:textAlignment w:val="auto"/>
        <w:rPr>
          <w:sz w:val="32"/>
          <w:szCs w:val="32"/>
          <w:highlight w:val="none"/>
        </w:rPr>
      </w:pPr>
      <w:r>
        <w:rPr>
          <w:rFonts w:eastAsia="仿宋_GB2312"/>
          <w:b/>
          <w:bCs/>
          <w:color w:val="000000"/>
          <w:kern w:val="32"/>
          <w:sz w:val="32"/>
          <w:szCs w:val="32"/>
          <w:highlight w:val="none"/>
        </w:rPr>
        <w:t>第</w:t>
      </w:r>
      <w:r>
        <w:rPr>
          <w:rFonts w:hint="eastAsia" w:eastAsia="仿宋_GB2312"/>
          <w:b/>
          <w:bCs/>
          <w:color w:val="000000"/>
          <w:kern w:val="32"/>
          <w:sz w:val="32"/>
          <w:szCs w:val="32"/>
          <w:highlight w:val="none"/>
        </w:rPr>
        <w:t>十</w:t>
      </w:r>
      <w:r>
        <w:rPr>
          <w:rFonts w:eastAsia="仿宋_GB2312"/>
          <w:b/>
          <w:bCs/>
          <w:color w:val="000000"/>
          <w:kern w:val="32"/>
          <w:sz w:val="32"/>
          <w:szCs w:val="32"/>
          <w:highlight w:val="none"/>
        </w:rPr>
        <w:t>条</w:t>
      </w:r>
      <w:r>
        <w:rPr>
          <w:rFonts w:hint="eastAsia" w:eastAsia="仿宋_GB2312"/>
          <w:color w:val="000000"/>
          <w:kern w:val="32"/>
          <w:sz w:val="32"/>
          <w:szCs w:val="32"/>
          <w:highlight w:val="none"/>
        </w:rPr>
        <w:t xml:space="preserve"> </w:t>
      </w:r>
      <w:r>
        <w:rPr>
          <w:rFonts w:hint="eastAsia" w:ascii="仿宋_GB2312" w:hAnsi="仿宋_GB2312" w:eastAsia="仿宋_GB2312" w:cs="仿宋_GB2312"/>
          <w:sz w:val="32"/>
          <w:szCs w:val="32"/>
          <w:highlight w:val="none"/>
        </w:rPr>
        <w:t>本细则自印发之日起实施，有效期至2027年12月31日止，</w:t>
      </w:r>
      <w:r>
        <w:rPr>
          <w:rFonts w:eastAsia="仿宋_GB2312"/>
          <w:color w:val="000000"/>
          <w:kern w:val="32"/>
          <w:sz w:val="32"/>
          <w:szCs w:val="32"/>
          <w:highlight w:val="none"/>
        </w:rPr>
        <w:t>《北京城市副中心（通州区）促进商务经济高质量发展若干措施》（通政办发〔2022〕27号）</w:t>
      </w:r>
      <w:r>
        <w:rPr>
          <w:rFonts w:hint="eastAsia" w:eastAsia="仿宋_GB2312"/>
          <w:color w:val="000000"/>
          <w:kern w:val="32"/>
          <w:sz w:val="32"/>
          <w:szCs w:val="32"/>
          <w:highlight w:val="none"/>
        </w:rPr>
        <w:t>同时</w:t>
      </w:r>
      <w:r>
        <w:rPr>
          <w:rFonts w:eastAsia="仿宋_GB2312"/>
          <w:color w:val="000000"/>
          <w:kern w:val="32"/>
          <w:sz w:val="32"/>
          <w:szCs w:val="32"/>
          <w:highlight w:val="none"/>
        </w:rPr>
        <w:t>废止。</w:t>
      </w:r>
    </w:p>
    <w:p w14:paraId="04330002">
      <w:pPr>
        <w:pageBreakBefore w:val="0"/>
        <w:widowControl w:val="0"/>
        <w:kinsoku/>
        <w:wordWrap/>
        <w:overflowPunct/>
        <w:topLinePunct w:val="0"/>
        <w:autoSpaceDE/>
        <w:autoSpaceDN/>
        <w:bidi w:val="0"/>
        <w:adjustRightInd/>
        <w:spacing w:line="600" w:lineRule="exact"/>
        <w:ind w:firstLine="643" w:firstLineChars="200"/>
        <w:textAlignment w:val="auto"/>
        <w:outlineLvl w:val="1"/>
        <w:rPr>
          <w:rFonts w:eastAsia="仿宋_GB2312"/>
          <w:color w:val="000000"/>
          <w:kern w:val="32"/>
          <w:sz w:val="32"/>
          <w:szCs w:val="32"/>
          <w:highlight w:val="none"/>
        </w:rPr>
      </w:pPr>
      <w:r>
        <w:rPr>
          <w:rFonts w:hint="eastAsia" w:eastAsia="仿宋_GB2312"/>
          <w:b/>
          <w:bCs/>
          <w:color w:val="000000"/>
          <w:kern w:val="32"/>
          <w:sz w:val="32"/>
          <w:szCs w:val="32"/>
          <w:highlight w:val="none"/>
        </w:rPr>
        <w:t>第十一条</w:t>
      </w:r>
      <w:r>
        <w:rPr>
          <w:rFonts w:hint="eastAsia" w:eastAsia="仿宋_GB2312"/>
          <w:color w:val="000000"/>
          <w:kern w:val="32"/>
          <w:sz w:val="32"/>
          <w:szCs w:val="32"/>
          <w:highlight w:val="none"/>
        </w:rPr>
        <w:t xml:space="preserve"> </w:t>
      </w:r>
      <w:r>
        <w:rPr>
          <w:rFonts w:eastAsia="仿宋_GB2312"/>
          <w:color w:val="000000"/>
          <w:kern w:val="32"/>
          <w:sz w:val="32"/>
          <w:szCs w:val="32"/>
          <w:highlight w:val="none"/>
        </w:rPr>
        <w:t>本</w:t>
      </w:r>
      <w:r>
        <w:rPr>
          <w:rFonts w:hint="eastAsia" w:eastAsia="仿宋_GB2312"/>
          <w:color w:val="000000"/>
          <w:kern w:val="32"/>
          <w:sz w:val="32"/>
          <w:szCs w:val="32"/>
          <w:highlight w:val="none"/>
        </w:rPr>
        <w:t>细则</w:t>
      </w:r>
      <w:r>
        <w:rPr>
          <w:rFonts w:eastAsia="仿宋_GB2312"/>
          <w:color w:val="000000"/>
          <w:kern w:val="32"/>
          <w:sz w:val="32"/>
          <w:szCs w:val="32"/>
          <w:highlight w:val="none"/>
        </w:rPr>
        <w:t>由通州区商务局负责解释</w:t>
      </w:r>
      <w:r>
        <w:rPr>
          <w:rFonts w:hint="eastAsia" w:eastAsia="仿宋_GB2312"/>
          <w:color w:val="000000"/>
          <w:kern w:val="32"/>
          <w:sz w:val="32"/>
          <w:szCs w:val="32"/>
          <w:highlight w:val="none"/>
        </w:rPr>
        <w:t>。</w:t>
      </w:r>
    </w:p>
    <w:p w14:paraId="6D4ABC9B">
      <w:pPr>
        <w:pageBreakBefore w:val="0"/>
        <w:widowControl w:val="0"/>
        <w:kinsoku/>
        <w:wordWrap/>
        <w:overflowPunct/>
        <w:topLinePunct w:val="0"/>
        <w:autoSpaceDE/>
        <w:autoSpaceDN/>
        <w:bidi w:val="0"/>
        <w:adjustRightInd/>
        <w:spacing w:line="560" w:lineRule="exact"/>
        <w:ind w:firstLine="640" w:firstLineChars="200"/>
        <w:textAlignment w:val="auto"/>
        <w:rPr>
          <w:highlight w:val="none"/>
        </w:rPr>
      </w:pPr>
    </w:p>
    <w:p w14:paraId="56B99DAC">
      <w:pPr>
        <w:pStyle w:val="2"/>
        <w:rPr>
          <w:highlight w:val="none"/>
        </w:rPr>
      </w:pPr>
    </w:p>
    <w:p w14:paraId="4BE080F1">
      <w:pPr>
        <w:pStyle w:val="2"/>
        <w:rPr>
          <w:highlight w:val="none"/>
        </w:rPr>
      </w:pPr>
    </w:p>
    <w:p w14:paraId="1389E928">
      <w:pPr>
        <w:pStyle w:val="2"/>
        <w:ind w:left="0" w:leftChars="0" w:firstLine="0" w:firstLineChars="0"/>
        <w:rPr>
          <w:highlight w:val="none"/>
        </w:rPr>
      </w:pPr>
    </w:p>
    <w:p w14:paraId="6AA9CDE5">
      <w:pPr>
        <w:spacing w:line="520" w:lineRule="exact"/>
        <w:ind w:right="-480" w:rightChars="-150" w:firstLine="280" w:firstLineChars="100"/>
        <w:rPr>
          <w:highlight w:val="none"/>
        </w:rPr>
      </w:pPr>
      <w:r>
        <w:rPr>
          <w:rFonts w:asci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6pt;height:0pt;width:441pt;z-index:251663360;mso-width-relative:page;mso-height-relative:page;" filled="f" stroked="t" coordsize="21600,21600" o:gfxdata="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h7y20wAAAAYBAAAPAAAAAAAAAAEAIAAAACIAAABkcnMvZG93bnJldi54bWxQSwEC&#10;FAAUAAAACACHTuJAf9m/IfkBAADyAwAADgAAAAAAAAABACAAAAAiAQAAZHJzL2Uyb0RvYy54bWxQ&#10;SwUGAAAAAAYABgBZAQAAjQUAAAAA&#10;">
                <v:fill on="f" focussize="0,0"/>
                <v:stroke color="#000000" joinstyle="round"/>
                <v:imagedata o:title=""/>
                <o:lock v:ext="edit" aspectratio="f"/>
              </v:line>
            </w:pict>
          </mc:Fallback>
        </mc:AlternateContent>
      </w:r>
      <w:r>
        <w:rPr>
          <w:rFonts w:asci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4384;mso-width-relative:page;mso-height-relative:page;" filled="f" stroked="t" coordsize="21600,21600" o:gfxdata="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kej30gAAAAQBAAAPAAAAAAAAAAEAIAAAACIAAABkcnMvZG93bnJldi54bWxQSwEC&#10;FAAUAAAACACHTuJAYLbov/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eastAsia="仿宋_GB2312" w:cs="仿宋_GB2312"/>
          <w:sz w:val="28"/>
          <w:szCs w:val="28"/>
        </w:rPr>
        <w:t>北京市通州区</w:t>
      </w:r>
      <w:r>
        <w:rPr>
          <w:rFonts w:hint="eastAsia" w:ascii="仿宋_GB2312" w:cs="仿宋_GB2312"/>
          <w:sz w:val="28"/>
          <w:szCs w:val="28"/>
          <w:lang w:eastAsia="zh-CN"/>
        </w:rPr>
        <w:t>商务局</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 xml:space="preserve"> </w:t>
      </w:r>
      <w:r>
        <w:rPr>
          <w:rFonts w:hint="eastAsia" w:ascii="仿宋_GB2312" w:cs="仿宋_GB2312"/>
          <w:sz w:val="28"/>
          <w:szCs w:val="28"/>
          <w:lang w:val="en-US" w:eastAsia="zh-CN"/>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202</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年</w:t>
      </w:r>
      <w:r>
        <w:rPr>
          <w:rFonts w:hint="eastAsia" w:ascii="仿宋_GB2312" w:cs="仿宋_GB2312"/>
          <w:sz w:val="28"/>
          <w:szCs w:val="28"/>
          <w:lang w:val="en-US" w:eastAsia="zh-CN"/>
        </w:rPr>
        <w:t>4</w:t>
      </w:r>
      <w:r>
        <w:rPr>
          <w:rFonts w:hint="eastAsia" w:ascii="仿宋_GB2312" w:eastAsia="仿宋_GB2312" w:cs="仿宋_GB2312"/>
          <w:sz w:val="28"/>
          <w:szCs w:val="28"/>
        </w:rPr>
        <w:t>月</w:t>
      </w:r>
      <w:r>
        <w:rPr>
          <w:rFonts w:hint="eastAsia" w:ascii="仿宋_GB2312" w:cs="仿宋_GB2312"/>
          <w:sz w:val="28"/>
          <w:szCs w:val="28"/>
          <w:lang w:val="en-US" w:eastAsia="zh-CN"/>
        </w:rPr>
        <w:t>21</w:t>
      </w:r>
      <w:r>
        <w:rPr>
          <w:rFonts w:hint="eastAsia" w:ascii="仿宋_GB2312" w:eastAsia="仿宋_GB2312" w:cs="仿宋_GB2312"/>
          <w:sz w:val="28"/>
          <w:szCs w:val="28"/>
        </w:rPr>
        <w:t>日印发</w:t>
      </w:r>
      <w:r>
        <w:rPr>
          <w:rFonts w:ascii="仿宋_GB2312" w:eastAsia="仿宋_GB2312" w:cs="仿宋_GB2312"/>
          <w:sz w:val="28"/>
          <w:szCs w:val="28"/>
        </w:rPr>
        <w:t xml:space="preserve">  </w:t>
      </w: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70CD">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BEAF52">
                          <w:pPr>
                            <w:pStyle w:val="8"/>
                            <w:ind w:left="0" w:leftChars="0" w:firstLine="0" w:firstLineChars="0"/>
                            <w:jc w:val="both"/>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5BEAF52">
                    <w:pPr>
                      <w:pStyle w:val="8"/>
                      <w:ind w:left="0" w:leftChars="0" w:firstLine="0" w:firstLineChars="0"/>
                      <w:jc w:val="both"/>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1DBA5"/>
    <w:multiLevelType w:val="singleLevel"/>
    <w:tmpl w:val="9C11DBA5"/>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
    <w:nsid w:val="FDEEEAFD"/>
    <w:multiLevelType w:val="singleLevel"/>
    <w:tmpl w:val="FDEEEAFD"/>
    <w:lvl w:ilvl="0" w:tentative="0">
      <w:start w:val="5"/>
      <w:numFmt w:val="chineseCounting"/>
      <w:suff w:val="space"/>
      <w:lvlText w:val="第%1章"/>
      <w:lvlJc w:val="left"/>
      <w:rPr>
        <w:rFonts w:hint="eastAsia"/>
      </w:rPr>
    </w:lvl>
  </w:abstractNum>
  <w:abstractNum w:abstractNumId="2">
    <w:nsid w:val="1372248D"/>
    <w:multiLevelType w:val="singleLevel"/>
    <w:tmpl w:val="1372248D"/>
    <w:lvl w:ilvl="0" w:tentative="0">
      <w:start w:val="1"/>
      <w:numFmt w:val="decimal"/>
      <w:suff w:val="nothing"/>
      <w:lvlText w:val="%1."/>
      <w:lvlJc w:val="left"/>
      <w:pPr>
        <w:ind w:left="0" w:firstLine="640"/>
      </w:pPr>
      <w:rPr>
        <w:rFonts w:hint="default" w:ascii="仿宋_GB2312" w:hAnsi="仿宋_GB2312" w:eastAsia="仿宋_GB2312" w:cs="仿宋_GB2312"/>
        <w:sz w:val="32"/>
        <w:szCs w:val="32"/>
      </w:rPr>
    </w:lvl>
  </w:abstractNum>
  <w:abstractNum w:abstractNumId="3">
    <w:nsid w:val="590A4508"/>
    <w:multiLevelType w:val="singleLevel"/>
    <w:tmpl w:val="590A4508"/>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Yjc3ZjI5ZGU2ZTMzZTJmMGI4Mzg2ZjU5Mzc2YjEifQ=="/>
  </w:docVars>
  <w:rsids>
    <w:rsidRoot w:val="737D70B3"/>
    <w:rsid w:val="00053C7B"/>
    <w:rsid w:val="00106B30"/>
    <w:rsid w:val="00381297"/>
    <w:rsid w:val="00903CB3"/>
    <w:rsid w:val="00B46918"/>
    <w:rsid w:val="00DA62D0"/>
    <w:rsid w:val="010F3B4F"/>
    <w:rsid w:val="01192C1F"/>
    <w:rsid w:val="01DA7892"/>
    <w:rsid w:val="02385327"/>
    <w:rsid w:val="027C3466"/>
    <w:rsid w:val="02FF4575"/>
    <w:rsid w:val="037819BF"/>
    <w:rsid w:val="05595CE0"/>
    <w:rsid w:val="05B11678"/>
    <w:rsid w:val="067176CC"/>
    <w:rsid w:val="06F10041"/>
    <w:rsid w:val="07054781"/>
    <w:rsid w:val="075524D7"/>
    <w:rsid w:val="080812F8"/>
    <w:rsid w:val="083B791F"/>
    <w:rsid w:val="08892439"/>
    <w:rsid w:val="08A41020"/>
    <w:rsid w:val="08BA41D9"/>
    <w:rsid w:val="08F17FDE"/>
    <w:rsid w:val="0958005D"/>
    <w:rsid w:val="096B7D90"/>
    <w:rsid w:val="09CA1704"/>
    <w:rsid w:val="09FC6C3A"/>
    <w:rsid w:val="0A24345E"/>
    <w:rsid w:val="0A2C7620"/>
    <w:rsid w:val="0AA57682"/>
    <w:rsid w:val="0B925524"/>
    <w:rsid w:val="0BB21CA6"/>
    <w:rsid w:val="0C2912D0"/>
    <w:rsid w:val="0CB87790"/>
    <w:rsid w:val="0CC82084"/>
    <w:rsid w:val="0CDF4D1D"/>
    <w:rsid w:val="0D6E06FC"/>
    <w:rsid w:val="0D815DD4"/>
    <w:rsid w:val="0DB93594"/>
    <w:rsid w:val="0DD028B8"/>
    <w:rsid w:val="0DF04D08"/>
    <w:rsid w:val="0E56100F"/>
    <w:rsid w:val="0FB1431D"/>
    <w:rsid w:val="0FEE58F8"/>
    <w:rsid w:val="0FFC5BE6"/>
    <w:rsid w:val="106C2D6C"/>
    <w:rsid w:val="10A73DA4"/>
    <w:rsid w:val="116A2B65"/>
    <w:rsid w:val="11845E93"/>
    <w:rsid w:val="11E11A43"/>
    <w:rsid w:val="12F26E2C"/>
    <w:rsid w:val="136B7EF6"/>
    <w:rsid w:val="13A120A7"/>
    <w:rsid w:val="13A45690"/>
    <w:rsid w:val="13C609E5"/>
    <w:rsid w:val="14B720DC"/>
    <w:rsid w:val="1550479D"/>
    <w:rsid w:val="15B973D5"/>
    <w:rsid w:val="167D1103"/>
    <w:rsid w:val="16A45912"/>
    <w:rsid w:val="16AC4D55"/>
    <w:rsid w:val="1754206E"/>
    <w:rsid w:val="17BF5E77"/>
    <w:rsid w:val="18075128"/>
    <w:rsid w:val="19375EE1"/>
    <w:rsid w:val="193957B5"/>
    <w:rsid w:val="193E726F"/>
    <w:rsid w:val="194D74B2"/>
    <w:rsid w:val="19CD227C"/>
    <w:rsid w:val="19D52CE8"/>
    <w:rsid w:val="1A344F86"/>
    <w:rsid w:val="1DC835AB"/>
    <w:rsid w:val="1DE9337A"/>
    <w:rsid w:val="1E0F6A55"/>
    <w:rsid w:val="1E193E07"/>
    <w:rsid w:val="1E8E0351"/>
    <w:rsid w:val="1ED52813"/>
    <w:rsid w:val="1EF503D0"/>
    <w:rsid w:val="1F6F0182"/>
    <w:rsid w:val="1FFB2346"/>
    <w:rsid w:val="20140D2A"/>
    <w:rsid w:val="20484530"/>
    <w:rsid w:val="206C2914"/>
    <w:rsid w:val="20EE1616"/>
    <w:rsid w:val="21902632"/>
    <w:rsid w:val="22434104"/>
    <w:rsid w:val="22BD7457"/>
    <w:rsid w:val="23F01166"/>
    <w:rsid w:val="2464770C"/>
    <w:rsid w:val="24AB1FD4"/>
    <w:rsid w:val="24EF7670"/>
    <w:rsid w:val="24F66C50"/>
    <w:rsid w:val="25401C79"/>
    <w:rsid w:val="25D97FF7"/>
    <w:rsid w:val="269313B5"/>
    <w:rsid w:val="27166C4D"/>
    <w:rsid w:val="276A50BF"/>
    <w:rsid w:val="282F24C9"/>
    <w:rsid w:val="2A420952"/>
    <w:rsid w:val="2B845156"/>
    <w:rsid w:val="2BC85227"/>
    <w:rsid w:val="2C0B73FC"/>
    <w:rsid w:val="2C33078A"/>
    <w:rsid w:val="2C555600"/>
    <w:rsid w:val="2DBE22D5"/>
    <w:rsid w:val="2E3C7AF8"/>
    <w:rsid w:val="2E9E92C1"/>
    <w:rsid w:val="2EEE0998"/>
    <w:rsid w:val="2F7FA9FE"/>
    <w:rsid w:val="2FAB0E7A"/>
    <w:rsid w:val="2FC05482"/>
    <w:rsid w:val="2FE801F3"/>
    <w:rsid w:val="302F5983"/>
    <w:rsid w:val="30474804"/>
    <w:rsid w:val="30FE1366"/>
    <w:rsid w:val="317C228B"/>
    <w:rsid w:val="31D67BED"/>
    <w:rsid w:val="326E42CA"/>
    <w:rsid w:val="343A1261"/>
    <w:rsid w:val="351078BA"/>
    <w:rsid w:val="35245113"/>
    <w:rsid w:val="35511814"/>
    <w:rsid w:val="35C44201"/>
    <w:rsid w:val="35F42D38"/>
    <w:rsid w:val="36D05553"/>
    <w:rsid w:val="370A389F"/>
    <w:rsid w:val="37405B09"/>
    <w:rsid w:val="380017A1"/>
    <w:rsid w:val="38207E14"/>
    <w:rsid w:val="382471D8"/>
    <w:rsid w:val="38D64977"/>
    <w:rsid w:val="3918551E"/>
    <w:rsid w:val="39641F82"/>
    <w:rsid w:val="39B80896"/>
    <w:rsid w:val="3A0948D8"/>
    <w:rsid w:val="3A396F6B"/>
    <w:rsid w:val="3A561988"/>
    <w:rsid w:val="3AAF547F"/>
    <w:rsid w:val="3AF26768"/>
    <w:rsid w:val="3B4E6954"/>
    <w:rsid w:val="3C110A70"/>
    <w:rsid w:val="3C7E02AA"/>
    <w:rsid w:val="3CCD6091"/>
    <w:rsid w:val="3D251A29"/>
    <w:rsid w:val="3D453E79"/>
    <w:rsid w:val="3D7D3613"/>
    <w:rsid w:val="3D9F7A2D"/>
    <w:rsid w:val="3DAD5673"/>
    <w:rsid w:val="3F4D5267"/>
    <w:rsid w:val="404049D9"/>
    <w:rsid w:val="405173AA"/>
    <w:rsid w:val="41313092"/>
    <w:rsid w:val="4187224F"/>
    <w:rsid w:val="42152399"/>
    <w:rsid w:val="424D3EFC"/>
    <w:rsid w:val="42EA174A"/>
    <w:rsid w:val="435117C9"/>
    <w:rsid w:val="43842C31"/>
    <w:rsid w:val="43DD4E0B"/>
    <w:rsid w:val="441C3B1E"/>
    <w:rsid w:val="44BE2E8F"/>
    <w:rsid w:val="450A7E73"/>
    <w:rsid w:val="453941BC"/>
    <w:rsid w:val="45F4468E"/>
    <w:rsid w:val="46DD15C6"/>
    <w:rsid w:val="471548BC"/>
    <w:rsid w:val="473E02B7"/>
    <w:rsid w:val="477E6905"/>
    <w:rsid w:val="47BE65C5"/>
    <w:rsid w:val="488561C1"/>
    <w:rsid w:val="4907204B"/>
    <w:rsid w:val="4A0A358F"/>
    <w:rsid w:val="4A976C7F"/>
    <w:rsid w:val="4DFD274F"/>
    <w:rsid w:val="4E18182F"/>
    <w:rsid w:val="4E9D35EE"/>
    <w:rsid w:val="4EBB21ED"/>
    <w:rsid w:val="4F277882"/>
    <w:rsid w:val="4F6F5B6A"/>
    <w:rsid w:val="4FCFBF5B"/>
    <w:rsid w:val="4FE45773"/>
    <w:rsid w:val="50F97B1E"/>
    <w:rsid w:val="51A64D1C"/>
    <w:rsid w:val="51CA06C8"/>
    <w:rsid w:val="51CB2747"/>
    <w:rsid w:val="52017834"/>
    <w:rsid w:val="52164A6D"/>
    <w:rsid w:val="526607F5"/>
    <w:rsid w:val="52780E4F"/>
    <w:rsid w:val="52BD3CB7"/>
    <w:rsid w:val="52DA2A4B"/>
    <w:rsid w:val="538708F0"/>
    <w:rsid w:val="53BC2C8F"/>
    <w:rsid w:val="53DB0C3B"/>
    <w:rsid w:val="549C486F"/>
    <w:rsid w:val="54C53DC5"/>
    <w:rsid w:val="557430F6"/>
    <w:rsid w:val="55784C58"/>
    <w:rsid w:val="55D77233"/>
    <w:rsid w:val="5647080A"/>
    <w:rsid w:val="56BA410D"/>
    <w:rsid w:val="56CD6F61"/>
    <w:rsid w:val="5757D113"/>
    <w:rsid w:val="585479B9"/>
    <w:rsid w:val="58906498"/>
    <w:rsid w:val="59213594"/>
    <w:rsid w:val="59F667CF"/>
    <w:rsid w:val="5B515455"/>
    <w:rsid w:val="5B5B0B68"/>
    <w:rsid w:val="5CF70B75"/>
    <w:rsid w:val="5D9D0C8E"/>
    <w:rsid w:val="5DD94976"/>
    <w:rsid w:val="5DFE5C52"/>
    <w:rsid w:val="5E6D4B86"/>
    <w:rsid w:val="5E810C58"/>
    <w:rsid w:val="5EBA426F"/>
    <w:rsid w:val="5EDE52A8"/>
    <w:rsid w:val="5FBFAE89"/>
    <w:rsid w:val="5FFFBACA"/>
    <w:rsid w:val="60A10554"/>
    <w:rsid w:val="60F953DF"/>
    <w:rsid w:val="61735F10"/>
    <w:rsid w:val="61970898"/>
    <w:rsid w:val="62031A89"/>
    <w:rsid w:val="629565FE"/>
    <w:rsid w:val="63640C4D"/>
    <w:rsid w:val="637F7835"/>
    <w:rsid w:val="63B3128D"/>
    <w:rsid w:val="640F0BB9"/>
    <w:rsid w:val="64EE2900"/>
    <w:rsid w:val="66185E4A"/>
    <w:rsid w:val="66807B4C"/>
    <w:rsid w:val="68D649B3"/>
    <w:rsid w:val="694A2963"/>
    <w:rsid w:val="69AF2410"/>
    <w:rsid w:val="69C2222A"/>
    <w:rsid w:val="69DB153D"/>
    <w:rsid w:val="6A5471A4"/>
    <w:rsid w:val="6A5D1F52"/>
    <w:rsid w:val="6A6652AB"/>
    <w:rsid w:val="6ABE6E95"/>
    <w:rsid w:val="6B405AFC"/>
    <w:rsid w:val="6B5F1566"/>
    <w:rsid w:val="6B741C4A"/>
    <w:rsid w:val="6BE10EF0"/>
    <w:rsid w:val="6C007319"/>
    <w:rsid w:val="6CA97C85"/>
    <w:rsid w:val="6E162B44"/>
    <w:rsid w:val="6E427865"/>
    <w:rsid w:val="6E9C74ED"/>
    <w:rsid w:val="6E9F2B3A"/>
    <w:rsid w:val="6F7B40F5"/>
    <w:rsid w:val="6F7D53DC"/>
    <w:rsid w:val="6FDF6E59"/>
    <w:rsid w:val="6FFC304E"/>
    <w:rsid w:val="70231548"/>
    <w:rsid w:val="709A1E7C"/>
    <w:rsid w:val="718B7B75"/>
    <w:rsid w:val="730078DD"/>
    <w:rsid w:val="731C0BFD"/>
    <w:rsid w:val="737D70B3"/>
    <w:rsid w:val="73DC65DE"/>
    <w:rsid w:val="74346672"/>
    <w:rsid w:val="74A470FC"/>
    <w:rsid w:val="7588685B"/>
    <w:rsid w:val="75AE0A2F"/>
    <w:rsid w:val="75D752AF"/>
    <w:rsid w:val="769211D6"/>
    <w:rsid w:val="76A63A36"/>
    <w:rsid w:val="76B9D6AD"/>
    <w:rsid w:val="76C75323"/>
    <w:rsid w:val="76DFAFF4"/>
    <w:rsid w:val="770340F6"/>
    <w:rsid w:val="77505319"/>
    <w:rsid w:val="775B5BCC"/>
    <w:rsid w:val="776D4D4E"/>
    <w:rsid w:val="778154D2"/>
    <w:rsid w:val="77DF86EF"/>
    <w:rsid w:val="78104AA8"/>
    <w:rsid w:val="78DF646F"/>
    <w:rsid w:val="78F1A0AA"/>
    <w:rsid w:val="79A4194C"/>
    <w:rsid w:val="79CE4C1B"/>
    <w:rsid w:val="7A9E7133"/>
    <w:rsid w:val="7AEF152B"/>
    <w:rsid w:val="7AF1296F"/>
    <w:rsid w:val="7B3351A0"/>
    <w:rsid w:val="7BBE29FB"/>
    <w:rsid w:val="7C6E3E58"/>
    <w:rsid w:val="7CDF7C7E"/>
    <w:rsid w:val="7CF44407"/>
    <w:rsid w:val="7DB67EA0"/>
    <w:rsid w:val="7DD32800"/>
    <w:rsid w:val="7DFD1D6A"/>
    <w:rsid w:val="7E447259"/>
    <w:rsid w:val="7E644A39"/>
    <w:rsid w:val="7F3FB68B"/>
    <w:rsid w:val="7F7D3464"/>
    <w:rsid w:val="7F9BE108"/>
    <w:rsid w:val="7FE26D2A"/>
    <w:rsid w:val="9FDA092F"/>
    <w:rsid w:val="AEFDDE5C"/>
    <w:rsid w:val="AF37D135"/>
    <w:rsid w:val="BCFB222F"/>
    <w:rsid w:val="BFDF9138"/>
    <w:rsid w:val="D746B0D0"/>
    <w:rsid w:val="DAF677F2"/>
    <w:rsid w:val="EBF983CC"/>
    <w:rsid w:val="F5FB9B05"/>
    <w:rsid w:val="F6FBB1A3"/>
    <w:rsid w:val="FCF96897"/>
    <w:rsid w:val="FFDDAE02"/>
    <w:rsid w:val="FFEF9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5">
    <w:name w:val="heading 1"/>
    <w:next w:val="1"/>
    <w:qFormat/>
    <w:uiPriority w:val="0"/>
    <w:pPr>
      <w:keepNext/>
      <w:keepLines/>
      <w:widowControl w:val="0"/>
      <w:suppressAutoHyphens/>
      <w:spacing w:line="600" w:lineRule="exact"/>
      <w:jc w:val="center"/>
      <w:outlineLvl w:val="0"/>
    </w:pPr>
    <w:rPr>
      <w:rFonts w:ascii="Times New Roman" w:hAnsi="Times New Roman" w:eastAsia="方正小标宋简体" w:cs="Times New Roman"/>
      <w:kern w:val="44"/>
      <w:sz w:val="4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Autospacing="1" w:after="100" w:afterAutospacing="1"/>
      <w:ind w:left="1548" w:firstLine="420" w:firstLineChars="100"/>
    </w:pPr>
    <w:rPr>
      <w:kern w:val="0"/>
      <w:sz w:val="20"/>
      <w:szCs w:val="20"/>
    </w:r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6">
    <w:name w:val="annotation text"/>
    <w:basedOn w:val="1"/>
    <w:qFormat/>
    <w:uiPriority w:val="0"/>
    <w:pPr>
      <w:jc w:val="left"/>
    </w:pPr>
  </w:style>
  <w:style w:type="paragraph" w:styleId="7">
    <w:name w:val="Plain Text"/>
    <w:basedOn w:val="1"/>
    <w:next w:val="1"/>
    <w:qFormat/>
    <w:uiPriority w:val="99"/>
    <w:pPr>
      <w:tabs>
        <w:tab w:val="left" w:pos="8610"/>
      </w:tabs>
    </w:pPr>
    <w:rPr>
      <w:rFonts w:ascii="宋体" w:hAnsi="Courier New" w:cs="宋体"/>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heading"/>
    <w:basedOn w:val="1"/>
    <w:next w:val="11"/>
    <w:qFormat/>
    <w:uiPriority w:val="0"/>
    <w:pPr>
      <w:suppressAutoHyphens/>
    </w:pPr>
    <w:rPr>
      <w:rFonts w:ascii="Arial" w:hAnsi="Arial" w:eastAsia="仿宋_GB2312"/>
      <w:b/>
      <w:sz w:val="32"/>
    </w:rPr>
  </w:style>
  <w:style w:type="paragraph" w:styleId="11">
    <w:name w:val="index 1"/>
    <w:basedOn w:val="1"/>
    <w:next w:val="1"/>
    <w:qFormat/>
    <w:uiPriority w:val="0"/>
    <w:pPr>
      <w:suppressAutoHyphens/>
    </w:pPr>
    <w:rPr>
      <w:rFonts w:ascii="仿宋_GB2312" w:hAnsi="仿宋_GB2312" w:eastAsia="仿宋_GB2312"/>
      <w:sz w:val="32"/>
    </w:rPr>
  </w:style>
  <w:style w:type="paragraph" w:styleId="12">
    <w:name w:val="toc 2"/>
    <w:basedOn w:val="1"/>
    <w:next w:val="1"/>
    <w:unhideWhenUsed/>
    <w:qFormat/>
    <w:uiPriority w:val="39"/>
    <w:pPr>
      <w:ind w:right="-316" w:rightChars="-100" w:firstLine="790" w:firstLineChars="250"/>
    </w:pPr>
  </w:style>
  <w:style w:type="paragraph" w:styleId="13">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3505</Words>
  <Characters>3685</Characters>
  <Lines>30</Lines>
  <Paragraphs>8</Paragraphs>
  <TotalTime>23</TotalTime>
  <ScaleCrop>false</ScaleCrop>
  <LinksUpToDate>false</LinksUpToDate>
  <CharactersWithSpaces>3740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2024-12-17T09:16:00Z</dcterms:created>
  <dc:creator>kk</dc:creator>
  <cp:lastModifiedBy>Ellen</cp:lastModifiedBy>
  <cp:lastPrinted>2025-04-21T02:22:02Z</cp:lastPrinted>
  <dcterms:modified xsi:type="dcterms:W3CDTF">2025-04-21T02:36:52Z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05540B43BE8F41B8AC978F0BF9E46347_13</vt:lpwstr>
  </property>
  <property fmtid="{D5CDD505-2E9C-101B-9397-08002B2CF9AE}" pid="4" name="KSOTemplateDocerSaveRecord">
    <vt:lpwstr>eyJoZGlkIjoiZTYwYjc3ZjI5ZGU2ZTMzZTJmMGI4Mzg2ZjU5Mzc2YjEiLCJ1c2VySWQiOiIzMjkxMzk0NjYifQ==</vt:lpwstr>
  </property>
</Properties>
</file>