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3120" cy="27247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00245" cy="2861945"/>
            <wp:effectExtent l="0" t="0" r="14605" b="1460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0240" cy="2839085"/>
            <wp:effectExtent l="0" t="0" r="16510" b="1841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 w:eastAsia="等线"/>
          <w:sz w:val="28"/>
          <w:szCs w:val="28"/>
          <w:lang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18660" cy="2410460"/>
            <wp:effectExtent l="0" t="0" r="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 w:eastAsia="等线"/>
          <w:sz w:val="28"/>
          <w:szCs w:val="28"/>
          <w:lang w:eastAsia="zh-CN"/>
        </w:rPr>
      </w:pPr>
      <w:r>
        <w:rPr>
          <w:rFonts w:hint="eastAsia" w:eastAsia="等线"/>
          <w:sz w:val="28"/>
          <w:szCs w:val="28"/>
          <w:shd w:val="clear" w:color="FFFFFF" w:fill="D9D9D9"/>
          <w:lang w:eastAsia="zh-CN"/>
        </w:rPr>
        <w:drawing>
          <wp:inline distT="0" distB="0" distL="114300" distR="114300">
            <wp:extent cx="4594225" cy="2287270"/>
            <wp:effectExtent l="0" t="0" r="15875" b="1778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left"/>
        <w:rPr>
          <w:rFonts w:hint="eastAsia"/>
          <w:sz w:val="21"/>
          <w:szCs w:val="21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7028E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1263669"/>
    <w:rsid w:val="014545C7"/>
    <w:rsid w:val="02127914"/>
    <w:rsid w:val="022A2E24"/>
    <w:rsid w:val="022E5173"/>
    <w:rsid w:val="025649A5"/>
    <w:rsid w:val="0292339B"/>
    <w:rsid w:val="02951E37"/>
    <w:rsid w:val="02EE116F"/>
    <w:rsid w:val="046A2A3A"/>
    <w:rsid w:val="04763EE5"/>
    <w:rsid w:val="04941628"/>
    <w:rsid w:val="04A57852"/>
    <w:rsid w:val="0553134C"/>
    <w:rsid w:val="06852CA1"/>
    <w:rsid w:val="06A136B9"/>
    <w:rsid w:val="07902BE5"/>
    <w:rsid w:val="07C12FA2"/>
    <w:rsid w:val="080C108F"/>
    <w:rsid w:val="0856750D"/>
    <w:rsid w:val="08B33DFB"/>
    <w:rsid w:val="09315C8F"/>
    <w:rsid w:val="0A0A0842"/>
    <w:rsid w:val="0A341EAF"/>
    <w:rsid w:val="0A4E0BFB"/>
    <w:rsid w:val="0A60637E"/>
    <w:rsid w:val="0A620AA0"/>
    <w:rsid w:val="0A7D57DC"/>
    <w:rsid w:val="0B9257DC"/>
    <w:rsid w:val="0BEE3714"/>
    <w:rsid w:val="0C7071D1"/>
    <w:rsid w:val="0E050526"/>
    <w:rsid w:val="0ED202B1"/>
    <w:rsid w:val="0EFD2620"/>
    <w:rsid w:val="0F4E1845"/>
    <w:rsid w:val="0F853FF2"/>
    <w:rsid w:val="10032A4F"/>
    <w:rsid w:val="10093DA5"/>
    <w:rsid w:val="101210C7"/>
    <w:rsid w:val="10BA3D2C"/>
    <w:rsid w:val="111E587A"/>
    <w:rsid w:val="116326B4"/>
    <w:rsid w:val="11904057"/>
    <w:rsid w:val="11F560A5"/>
    <w:rsid w:val="127503FE"/>
    <w:rsid w:val="12F952F5"/>
    <w:rsid w:val="14190E02"/>
    <w:rsid w:val="1433222A"/>
    <w:rsid w:val="14BC0B84"/>
    <w:rsid w:val="150222E5"/>
    <w:rsid w:val="1509518E"/>
    <w:rsid w:val="15691286"/>
    <w:rsid w:val="15F65D9C"/>
    <w:rsid w:val="175B7696"/>
    <w:rsid w:val="179A3525"/>
    <w:rsid w:val="183B3728"/>
    <w:rsid w:val="19466F86"/>
    <w:rsid w:val="19594902"/>
    <w:rsid w:val="1A6730C3"/>
    <w:rsid w:val="1B124EBF"/>
    <w:rsid w:val="1B9E2D48"/>
    <w:rsid w:val="1C286AFB"/>
    <w:rsid w:val="1C811EF5"/>
    <w:rsid w:val="1D887195"/>
    <w:rsid w:val="1DC40A44"/>
    <w:rsid w:val="1EBD29E4"/>
    <w:rsid w:val="1F110DE9"/>
    <w:rsid w:val="1F9E650F"/>
    <w:rsid w:val="20291DCE"/>
    <w:rsid w:val="20320ECE"/>
    <w:rsid w:val="203C6D40"/>
    <w:rsid w:val="207866A7"/>
    <w:rsid w:val="20A1516F"/>
    <w:rsid w:val="20F01C8B"/>
    <w:rsid w:val="21380090"/>
    <w:rsid w:val="220666F6"/>
    <w:rsid w:val="22DA21F5"/>
    <w:rsid w:val="22DB32CE"/>
    <w:rsid w:val="23435939"/>
    <w:rsid w:val="23483364"/>
    <w:rsid w:val="24C51723"/>
    <w:rsid w:val="24D301A8"/>
    <w:rsid w:val="253B7AD9"/>
    <w:rsid w:val="25A4135B"/>
    <w:rsid w:val="25BC52A4"/>
    <w:rsid w:val="2605477F"/>
    <w:rsid w:val="26834C02"/>
    <w:rsid w:val="270B6413"/>
    <w:rsid w:val="27716887"/>
    <w:rsid w:val="27A24E6D"/>
    <w:rsid w:val="281021BF"/>
    <w:rsid w:val="28AE4C74"/>
    <w:rsid w:val="2933310F"/>
    <w:rsid w:val="295C2DFA"/>
    <w:rsid w:val="29D932AC"/>
    <w:rsid w:val="2A31544E"/>
    <w:rsid w:val="2A7725E1"/>
    <w:rsid w:val="2A8152CE"/>
    <w:rsid w:val="2AF05EF0"/>
    <w:rsid w:val="2BC41F18"/>
    <w:rsid w:val="2BE772F2"/>
    <w:rsid w:val="2BF021E0"/>
    <w:rsid w:val="2BF84027"/>
    <w:rsid w:val="2C3002AC"/>
    <w:rsid w:val="2C7A5B1E"/>
    <w:rsid w:val="2D112D9D"/>
    <w:rsid w:val="2D2055F4"/>
    <w:rsid w:val="2D6B7DC1"/>
    <w:rsid w:val="2DA33045"/>
    <w:rsid w:val="2DD27272"/>
    <w:rsid w:val="2DDC5888"/>
    <w:rsid w:val="2EE50BEB"/>
    <w:rsid w:val="2EFF1945"/>
    <w:rsid w:val="31A16699"/>
    <w:rsid w:val="31AB417C"/>
    <w:rsid w:val="32987F69"/>
    <w:rsid w:val="32CB3626"/>
    <w:rsid w:val="330D68FA"/>
    <w:rsid w:val="34271086"/>
    <w:rsid w:val="348D3665"/>
    <w:rsid w:val="356C62E3"/>
    <w:rsid w:val="36A119FB"/>
    <w:rsid w:val="37196326"/>
    <w:rsid w:val="371A55A6"/>
    <w:rsid w:val="379C259E"/>
    <w:rsid w:val="37A87DA9"/>
    <w:rsid w:val="39853F9F"/>
    <w:rsid w:val="3AA83779"/>
    <w:rsid w:val="3B05703D"/>
    <w:rsid w:val="3B0954D1"/>
    <w:rsid w:val="3B5A188F"/>
    <w:rsid w:val="3B844695"/>
    <w:rsid w:val="3CFD5A3B"/>
    <w:rsid w:val="3DBD3597"/>
    <w:rsid w:val="3DF87614"/>
    <w:rsid w:val="3E1D47C5"/>
    <w:rsid w:val="3E55136B"/>
    <w:rsid w:val="3E5D3D11"/>
    <w:rsid w:val="400E0809"/>
    <w:rsid w:val="405E5422"/>
    <w:rsid w:val="4092099C"/>
    <w:rsid w:val="40F969C5"/>
    <w:rsid w:val="4151103E"/>
    <w:rsid w:val="41BB2D74"/>
    <w:rsid w:val="430304CD"/>
    <w:rsid w:val="44550EDF"/>
    <w:rsid w:val="447D1FF7"/>
    <w:rsid w:val="44A11272"/>
    <w:rsid w:val="459E2E2D"/>
    <w:rsid w:val="45AC16F1"/>
    <w:rsid w:val="45C06BDC"/>
    <w:rsid w:val="46624EAD"/>
    <w:rsid w:val="46847091"/>
    <w:rsid w:val="46F52C78"/>
    <w:rsid w:val="47CC5D51"/>
    <w:rsid w:val="48344318"/>
    <w:rsid w:val="48C8384B"/>
    <w:rsid w:val="49635229"/>
    <w:rsid w:val="49692F0B"/>
    <w:rsid w:val="4982773D"/>
    <w:rsid w:val="49D310E0"/>
    <w:rsid w:val="49F277BC"/>
    <w:rsid w:val="4A24259F"/>
    <w:rsid w:val="4B222F02"/>
    <w:rsid w:val="4BB72916"/>
    <w:rsid w:val="4BFC353A"/>
    <w:rsid w:val="4C486DAE"/>
    <w:rsid w:val="4CD71DA0"/>
    <w:rsid w:val="4CFB26C0"/>
    <w:rsid w:val="4D673B78"/>
    <w:rsid w:val="4D73608C"/>
    <w:rsid w:val="4DE414C1"/>
    <w:rsid w:val="4E40110C"/>
    <w:rsid w:val="4E583347"/>
    <w:rsid w:val="4EF7020E"/>
    <w:rsid w:val="4F3B7EBF"/>
    <w:rsid w:val="4F8B4779"/>
    <w:rsid w:val="50492604"/>
    <w:rsid w:val="51355E94"/>
    <w:rsid w:val="516867E6"/>
    <w:rsid w:val="51A056CA"/>
    <w:rsid w:val="51E42798"/>
    <w:rsid w:val="550D21E9"/>
    <w:rsid w:val="553E5415"/>
    <w:rsid w:val="5557338A"/>
    <w:rsid w:val="55D10DC5"/>
    <w:rsid w:val="567231CD"/>
    <w:rsid w:val="56760D9B"/>
    <w:rsid w:val="574E0C66"/>
    <w:rsid w:val="578D0486"/>
    <w:rsid w:val="57924F82"/>
    <w:rsid w:val="579D56C7"/>
    <w:rsid w:val="57A0051F"/>
    <w:rsid w:val="583F4939"/>
    <w:rsid w:val="58AC1914"/>
    <w:rsid w:val="58FA1B64"/>
    <w:rsid w:val="593718A4"/>
    <w:rsid w:val="59417793"/>
    <w:rsid w:val="596C12DB"/>
    <w:rsid w:val="598A0AE0"/>
    <w:rsid w:val="599C4DA1"/>
    <w:rsid w:val="59B87950"/>
    <w:rsid w:val="59E16894"/>
    <w:rsid w:val="5A8A4574"/>
    <w:rsid w:val="5AB65D43"/>
    <w:rsid w:val="5B3F0C51"/>
    <w:rsid w:val="5B825349"/>
    <w:rsid w:val="5C001DC8"/>
    <w:rsid w:val="5D1C654D"/>
    <w:rsid w:val="5D780ABD"/>
    <w:rsid w:val="5DA23000"/>
    <w:rsid w:val="5DA828D6"/>
    <w:rsid w:val="5DB372EA"/>
    <w:rsid w:val="5E087FFD"/>
    <w:rsid w:val="5E4E45F0"/>
    <w:rsid w:val="5E941E66"/>
    <w:rsid w:val="5E9535C5"/>
    <w:rsid w:val="5EA80F26"/>
    <w:rsid w:val="5EE949D8"/>
    <w:rsid w:val="5EF32B74"/>
    <w:rsid w:val="60334B84"/>
    <w:rsid w:val="60607231"/>
    <w:rsid w:val="608B7025"/>
    <w:rsid w:val="625473BB"/>
    <w:rsid w:val="62773E5F"/>
    <w:rsid w:val="62BC7575"/>
    <w:rsid w:val="62C07E61"/>
    <w:rsid w:val="63A07E28"/>
    <w:rsid w:val="643F4B46"/>
    <w:rsid w:val="648B248A"/>
    <w:rsid w:val="6528013E"/>
    <w:rsid w:val="657F0D27"/>
    <w:rsid w:val="66DC5F5F"/>
    <w:rsid w:val="67D02E98"/>
    <w:rsid w:val="68A0435A"/>
    <w:rsid w:val="68A25C7C"/>
    <w:rsid w:val="69CA6506"/>
    <w:rsid w:val="69E912AF"/>
    <w:rsid w:val="69FE185E"/>
    <w:rsid w:val="6A2E3D63"/>
    <w:rsid w:val="6A967A77"/>
    <w:rsid w:val="6CBC6878"/>
    <w:rsid w:val="6CC11D64"/>
    <w:rsid w:val="6CD40DBF"/>
    <w:rsid w:val="6E143DC8"/>
    <w:rsid w:val="6E804461"/>
    <w:rsid w:val="6FBB68FE"/>
    <w:rsid w:val="709506E1"/>
    <w:rsid w:val="71276104"/>
    <w:rsid w:val="71775AB0"/>
    <w:rsid w:val="72195ED6"/>
    <w:rsid w:val="72A41658"/>
    <w:rsid w:val="72FC49FE"/>
    <w:rsid w:val="734B0AAB"/>
    <w:rsid w:val="736C1D08"/>
    <w:rsid w:val="73E15A39"/>
    <w:rsid w:val="742B195A"/>
    <w:rsid w:val="750F25EE"/>
    <w:rsid w:val="75125EDB"/>
    <w:rsid w:val="7599445F"/>
    <w:rsid w:val="75F47512"/>
    <w:rsid w:val="765E328F"/>
    <w:rsid w:val="769F2138"/>
    <w:rsid w:val="77090698"/>
    <w:rsid w:val="77610BA7"/>
    <w:rsid w:val="77BF7EE1"/>
    <w:rsid w:val="77C8635A"/>
    <w:rsid w:val="78520E0E"/>
    <w:rsid w:val="790A567E"/>
    <w:rsid w:val="7A02252F"/>
    <w:rsid w:val="7AD258DE"/>
    <w:rsid w:val="7C2E33C0"/>
    <w:rsid w:val="7C9F25F3"/>
    <w:rsid w:val="7D081745"/>
    <w:rsid w:val="7D945CD3"/>
    <w:rsid w:val="7E3E411D"/>
    <w:rsid w:val="7E474901"/>
    <w:rsid w:val="7EE95410"/>
    <w:rsid w:val="7F1D2D77"/>
    <w:rsid w:val="7F51623B"/>
    <w:rsid w:val="7F5C4F19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258.2</c:v>
                </c:pt>
                <c:pt idx="1" c:formatCode="General">
                  <c:v>419.3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7.5</c:v>
                </c:pt>
                <c:pt idx="1">
                  <c:v>11.3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50000"/>
                </a:schemeClr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117.7</c:v>
                </c:pt>
                <c:pt idx="1">
                  <c:v>107.3</c:v>
                </c:pt>
                <c:pt idx="2">
                  <c:v>103.7</c:v>
                </c:pt>
                <c:pt idx="3">
                  <c:v>96.8</c:v>
                </c:pt>
                <c:pt idx="4">
                  <c:v>89.6</c:v>
                </c:pt>
                <c:pt idx="5">
                  <c:v>84.2</c:v>
                </c:pt>
                <c:pt idx="6">
                  <c:v>83</c:v>
                </c:pt>
                <c:pt idx="7">
                  <c:v>81</c:v>
                </c:pt>
                <c:pt idx="8">
                  <c:v>79.7</c:v>
                </c:pt>
                <c:pt idx="9">
                  <c:v>74.7</c:v>
                </c:pt>
                <c:pt idx="10">
                  <c:v>72.4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  <c:pt idx="1">
                  <c:v>-3.1</c:v>
                </c:pt>
                <c:pt idx="2">
                  <c:v>-0.2</c:v>
                </c:pt>
                <c:pt idx="3">
                  <c:v>2.9</c:v>
                </c:pt>
                <c:pt idx="4">
                  <c:v>3.7</c:v>
                </c:pt>
                <c:pt idx="5">
                  <c:v>3.4</c:v>
                </c:pt>
                <c:pt idx="6">
                  <c:v>2.6</c:v>
                </c:pt>
                <c:pt idx="7">
                  <c:v>1.6</c:v>
                </c:pt>
                <c:pt idx="8">
                  <c:v>1.8</c:v>
                </c:pt>
                <c:pt idx="9">
                  <c:v>1.5</c:v>
                </c:pt>
                <c:pt idx="10">
                  <c:v>2.1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15.1</c:v>
                </c:pt>
                <c:pt idx="1">
                  <c:v>17.8</c:v>
                </c:pt>
                <c:pt idx="2">
                  <c:v>18.8</c:v>
                </c:pt>
                <c:pt idx="3">
                  <c:v>21.1</c:v>
                </c:pt>
                <c:pt idx="4">
                  <c:v>25.4</c:v>
                </c:pt>
                <c:pt idx="5" c:formatCode="0.0_ ">
                  <c:v>30</c:v>
                </c:pt>
                <c:pt idx="6">
                  <c:v>33.2</c:v>
                </c:pt>
                <c:pt idx="7">
                  <c:v>37.2</c:v>
                </c:pt>
                <c:pt idx="8">
                  <c:v>42.3</c:v>
                </c:pt>
                <c:pt idx="9">
                  <c:v>48.9</c:v>
                </c:pt>
                <c:pt idx="10">
                  <c:v>52.9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5.8</c:v>
                </c:pt>
                <c:pt idx="1" c:formatCode="General">
                  <c:v>5.7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36</c:v>
                </c:pt>
                <c:pt idx="1" c:formatCode="General">
                  <c:v>13.5</c:v>
                </c:pt>
                <c:pt idx="2" c:formatCode="General">
                  <c:v>21.6</c:v>
                </c:pt>
                <c:pt idx="3" c:formatCode="General">
                  <c:v>23.3</c:v>
                </c:pt>
                <c:pt idx="4" c:formatCode="General">
                  <c:v>18.7</c:v>
                </c:pt>
                <c:pt idx="5" c:formatCode="General">
                  <c:v>19.1</c:v>
                </c:pt>
                <c:pt idx="6" c:formatCode="General">
                  <c:v>24.3</c:v>
                </c:pt>
                <c:pt idx="7" c:formatCode="General">
                  <c:v>15.7</c:v>
                </c:pt>
                <c:pt idx="8" c:formatCode="General">
                  <c:v>14.1</c:v>
                </c:pt>
                <c:pt idx="9" c:formatCode="General">
                  <c:v>3.9</c:v>
                </c:pt>
                <c:pt idx="10" c:formatCode="General">
                  <c:v>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  <c:pt idx="1">
                  <c:v>11.6</c:v>
                </c:pt>
                <c:pt idx="2">
                  <c:v>7.7</c:v>
                </c:pt>
                <c:pt idx="3">
                  <c:v>7.8</c:v>
                </c:pt>
                <c:pt idx="4">
                  <c:v>-3.5</c:v>
                </c:pt>
                <c:pt idx="5">
                  <c:v>-8.9</c:v>
                </c:pt>
                <c:pt idx="6">
                  <c:v>-13.4</c:v>
                </c:pt>
                <c:pt idx="7">
                  <c:v>-7.2</c:v>
                </c:pt>
                <c:pt idx="8">
                  <c:v>-7.2</c:v>
                </c:pt>
                <c:pt idx="9" c:formatCode="0.0_ ">
                  <c:v>-1</c:v>
                </c:pt>
                <c:pt idx="10">
                  <c:v>-0.5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9050" cap="flat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905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9.6</c:v>
                </c:pt>
                <c:pt idx="1" c:formatCode="0.0_ ">
                  <c:v>4</c:v>
                </c:pt>
                <c:pt idx="2">
                  <c:v>3.7</c:v>
                </c:pt>
                <c:pt idx="3">
                  <c:v>1.8</c:v>
                </c:pt>
                <c:pt idx="4">
                  <c:v>1.9</c:v>
                </c:pt>
                <c:pt idx="5">
                  <c:v>2.8</c:v>
                </c:pt>
                <c:pt idx="6">
                  <c:v>5.2</c:v>
                </c:pt>
                <c:pt idx="7">
                  <c:v>4.3</c:v>
                </c:pt>
                <c:pt idx="8">
                  <c:v>2.9</c:v>
                </c:pt>
                <c:pt idx="9" c:formatCode="0.0_ ">
                  <c:v>4</c:v>
                </c:pt>
                <c:pt idx="10" c:formatCode="0.0_ 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22252010723861"/>
          <c:y val="0.155313956068338"/>
          <c:w val="0.878848596020883"/>
          <c:h val="0.63678721988018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12</c:v>
                </c:pt>
                <c:pt idx="1">
                  <c:v>18.9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27.5</c:v>
                </c:pt>
                <c:pt idx="1">
                  <c:v>-9.7</c:v>
                </c:pt>
                <c:pt idx="2">
                  <c:v>-1</c:v>
                </c:pt>
                <c:pt idx="3">
                  <c:v>2.1</c:v>
                </c:pt>
                <c:pt idx="4">
                  <c:v>-0.5</c:v>
                </c:pt>
                <c:pt idx="5">
                  <c:v>4.4</c:v>
                </c:pt>
                <c:pt idx="6">
                  <c:v>7.5</c:v>
                </c:pt>
                <c:pt idx="7">
                  <c:v>5.6</c:v>
                </c:pt>
                <c:pt idx="8">
                  <c:v>8</c:v>
                </c:pt>
                <c:pt idx="9">
                  <c:v>1</c:v>
                </c:pt>
                <c:pt idx="10">
                  <c:v>-2.5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  <c:pt idx="1">
                  <c:v>14.2</c:v>
                </c:pt>
                <c:pt idx="2">
                  <c:v>11.9</c:v>
                </c:pt>
                <c:pt idx="3">
                  <c:v>9.4</c:v>
                </c:pt>
                <c:pt idx="4">
                  <c:v>-2.2</c:v>
                </c:pt>
                <c:pt idx="5">
                  <c:v>-6.1</c:v>
                </c:pt>
                <c:pt idx="6">
                  <c:v>-8.4</c:v>
                </c:pt>
                <c:pt idx="7">
                  <c:v>-4.5</c:v>
                </c:pt>
                <c:pt idx="8">
                  <c:v>-7.3</c:v>
                </c:pt>
                <c:pt idx="9">
                  <c:v>-6.8</c:v>
                </c:pt>
                <c:pt idx="10">
                  <c:v>-8.8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chemeClr val="accent5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14.4</c:v>
                </c:pt>
                <c:pt idx="1">
                  <c:v>2.6</c:v>
                </c:pt>
                <c:pt idx="2">
                  <c:v>-4.2</c:v>
                </c:pt>
                <c:pt idx="3">
                  <c:v>-9.3</c:v>
                </c:pt>
                <c:pt idx="4">
                  <c:v>-11.7</c:v>
                </c:pt>
                <c:pt idx="5">
                  <c:v>-12.4</c:v>
                </c:pt>
                <c:pt idx="6">
                  <c:v>-12.6</c:v>
                </c:pt>
                <c:pt idx="7">
                  <c:v>-15.4</c:v>
                </c:pt>
                <c:pt idx="8">
                  <c:v>-14.5</c:v>
                </c:pt>
                <c:pt idx="9">
                  <c:v>-8.9</c:v>
                </c:pt>
                <c:pt idx="10">
                  <c:v>-5.4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社会消费品零售总额（累计）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6799544419134"/>
          <c:y val="0.149854618653545"/>
          <c:w val="0.851765375854214"/>
          <c:h val="0.574904942965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2026年（亿元）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87.2</c:v>
                </c:pt>
                <c:pt idx="1">
                  <c:v>133.9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8"/>
        <c:overlap val="10"/>
        <c:axId val="732903777"/>
        <c:axId val="85375660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-4.3</c:v>
                </c:pt>
                <c:pt idx="1">
                  <c:v>0.9</c:v>
                </c:pt>
                <c:pt idx="2">
                  <c:v>2.2</c:v>
                </c:pt>
                <c:pt idx="3">
                  <c:v>4.7</c:v>
                </c:pt>
                <c:pt idx="4">
                  <c:v>3.2</c:v>
                </c:pt>
                <c:pt idx="5">
                  <c:v>1.5</c:v>
                </c:pt>
                <c:pt idx="6">
                  <c:v>1.6</c:v>
                </c:pt>
                <c:pt idx="7">
                  <c:v>1.2</c:v>
                </c:pt>
                <c:pt idx="8" c:formatCode="0.0_ ">
                  <c:v>2</c:v>
                </c:pt>
                <c:pt idx="9" c:formatCode="0.0_ ">
                  <c:v>3.8</c:v>
                </c:pt>
                <c:pt idx="10" c:formatCode="0.0_ ">
                  <c:v>4.4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9.2</c:v>
                </c:pt>
                <c:pt idx="1">
                  <c:v>7.8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0.0_ </c:formatCode>
                <c:ptCount val="11"/>
                <c:pt idx="0">
                  <c:v>6.9</c:v>
                </c:pt>
                <c:pt idx="1">
                  <c:v>8.1</c:v>
                </c:pt>
                <c:pt idx="2">
                  <c:v>6.9</c:v>
                </c:pt>
                <c:pt idx="3">
                  <c:v>5</c:v>
                </c:pt>
                <c:pt idx="4">
                  <c:v>2.5</c:v>
                </c:pt>
                <c:pt idx="5">
                  <c:v>3.5</c:v>
                </c:pt>
                <c:pt idx="6">
                  <c:v>4.2</c:v>
                </c:pt>
                <c:pt idx="7">
                  <c:v>5.2</c:v>
                </c:pt>
                <c:pt idx="8">
                  <c:v>6.5</c:v>
                </c:pt>
                <c:pt idx="9">
                  <c:v>8.6</c:v>
                </c:pt>
                <c:pt idx="10">
                  <c:v>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0.0_ </c:formatCode>
                <c:ptCount val="11"/>
                <c:pt idx="0">
                  <c:v>2.2</c:v>
                </c:pt>
                <c:pt idx="1">
                  <c:v>-1.5</c:v>
                </c:pt>
                <c:pt idx="2">
                  <c:v>-1.1</c:v>
                </c:pt>
                <c:pt idx="3">
                  <c:v>1</c:v>
                </c:pt>
                <c:pt idx="4">
                  <c:v>-0.3</c:v>
                </c:pt>
                <c:pt idx="5">
                  <c:v>-0.4</c:v>
                </c:pt>
                <c:pt idx="6">
                  <c:v>-0.8</c:v>
                </c:pt>
                <c:pt idx="7">
                  <c:v>-2</c:v>
                </c:pt>
                <c:pt idx="8">
                  <c:v>-1.9</c:v>
                </c:pt>
                <c:pt idx="9">
                  <c:v>-4.2</c:v>
                </c:pt>
                <c:pt idx="10">
                  <c:v>-4.1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33912241"/>
        <c:axId val="842928170"/>
      </c:lineChart>
      <c:catAx>
        <c:axId val="7329037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3756604"/>
        <c:crosses val="autoZero"/>
        <c:auto val="1"/>
        <c:lblAlgn val="ctr"/>
        <c:lblOffset val="100"/>
        <c:noMultiLvlLbl val="0"/>
      </c:catAx>
      <c:valAx>
        <c:axId val="8537566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2903777"/>
        <c:crosses val="autoZero"/>
        <c:crossBetween val="between"/>
      </c:valAx>
      <c:catAx>
        <c:axId val="93391224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928170"/>
        <c:crosses val="autoZero"/>
        <c:auto val="1"/>
        <c:lblAlgn val="ctr"/>
        <c:lblOffset val="100"/>
        <c:noMultiLvlLbl val="0"/>
      </c:catAx>
      <c:valAx>
        <c:axId val="84292817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391224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200" b="1">
                <a:solidFill>
                  <a:schemeClr val="tx1"/>
                </a:solidFill>
              </a:rPr>
              <a:t>全区居民人均可支配收入及增速</a:t>
            </a:r>
            <a:endParaRPr sz="1200" b="1">
              <a:solidFill>
                <a:schemeClr val="tx1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2026年（元）</c:v>
                </c:pt>
              </c:strCache>
            </c:strRef>
          </c:tx>
          <c:spPr>
            <a:gradFill>
              <a:gsLst>
                <a:gs pos="57000">
                  <a:srgbClr val="7B32B2">
                    <a:alpha val="53000"/>
                  </a:srgbClr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17505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2025年（元）</c:v>
                </c:pt>
              </c:strCache>
            </c:strRef>
          </c:tx>
          <c:spPr>
            <a:gradFill>
              <a:gsLst>
                <a:gs pos="46000">
                  <a:srgbClr val="14CD68"/>
                </a:gs>
                <a:gs pos="100000">
                  <a:srgbClr val="035C7D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16670</c:v>
                </c:pt>
                <c:pt idx="1">
                  <c:v>31518</c:v>
                </c:pt>
                <c:pt idx="2">
                  <c:v>47176</c:v>
                </c:pt>
                <c:pt idx="3">
                  <c:v>60965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122046"/>
        <c:axId val="675822499"/>
      </c:bar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Sheet1!$A$2:$A$5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Sheet1!$D$2:$D$5</c:f>
              <c:numCache>
                <c:formatCode>0.0_ </c:formatCode>
                <c:ptCount val="4"/>
                <c:pt idx="0">
                  <c:v>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4"/>
              </a:solidFill>
              <a:prstDash val="solid"/>
              <a:round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Sheet1!$A$2:$A$5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5.5</c:v>
                </c:pt>
                <c:pt idx="1">
                  <c:v>6.3</c:v>
                </c:pt>
                <c:pt idx="2">
                  <c:v>5.7</c:v>
                </c:pt>
                <c:pt idx="3">
                  <c:v>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391976040"/>
        <c:axId val="377063868"/>
      </c:lineChart>
      <c:catAx>
        <c:axId val="891220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75822499"/>
        <c:crosses val="autoZero"/>
        <c:auto val="1"/>
        <c:lblAlgn val="ctr"/>
        <c:lblOffset val="100"/>
        <c:noMultiLvlLbl val="0"/>
      </c:catAx>
      <c:valAx>
        <c:axId val="6758224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9122046"/>
        <c:crosses val="autoZero"/>
        <c:crossBetween val="between"/>
      </c:valAx>
      <c:catAx>
        <c:axId val="39197604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77063868"/>
        <c:crosses val="autoZero"/>
        <c:auto val="1"/>
        <c:lblAlgn val="ctr"/>
        <c:lblOffset val="100"/>
        <c:noMultiLvlLbl val="0"/>
      </c:catAx>
      <c:valAx>
        <c:axId val="377063868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91976040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>
          <a:solidFill>
            <a:schemeClr val="tx1"/>
          </a:solidFill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cap="all" spc="15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sz="1200">
                <a:ln>
                  <a:noFill/>
                </a:ln>
                <a:solidFill>
                  <a:sysClr val="windowText" lastClr="000000"/>
                </a:solidFill>
              </a:rPr>
              <a:t>一般公共预算收入（累计）</a:t>
            </a:r>
            <a:endParaRPr sz="1200">
              <a:ln>
                <a:noFill/>
              </a:ln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2026年（亿元）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0" scaled="0"/>
            </a:grad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19.4</c:v>
                </c:pt>
                <c:pt idx="1">
                  <c:v>26.2</c:v>
                </c:pt>
                <c:pt idx="2">
                  <c:v>36.4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421212775"/>
        <c:axId val="581375999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Sheet1!$A$2:$A$13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0.5</c:v>
                </c:pt>
                <c:pt idx="1">
                  <c:v>0.6</c:v>
                </c:pt>
                <c:pt idx="2" c:formatCode="0.0_ ">
                  <c:v>3</c:v>
                </c:pt>
                <c:pt idx="3">
                  <c:v>4.6</c:v>
                </c:pt>
                <c:pt idx="4">
                  <c:v>3.3</c:v>
                </c:pt>
                <c:pt idx="5">
                  <c:v>0.3</c:v>
                </c:pt>
                <c:pt idx="6">
                  <c:v>1.2</c:v>
                </c:pt>
                <c:pt idx="7">
                  <c:v>0.1</c:v>
                </c:pt>
                <c:pt idx="8">
                  <c:v>2.5</c:v>
                </c:pt>
                <c:pt idx="9">
                  <c:v>3.2</c:v>
                </c:pt>
                <c:pt idx="10">
                  <c:v>2.8</c:v>
                </c:pt>
                <c:pt idx="11">
                  <c:v>3.1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Sheet1!$E$1</c:f>
              <c:strCache>
                <c:ptCount val="1"/>
                <c:pt idx="0">
                  <c:v>2026年增速（%）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50819672131148"/>
                  <c:y val="-0.033742331288343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59016393442623"/>
                  <c:y val="-0.006134969325153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19672131147541"/>
                  <c:y val="-0.018404907975460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66.7</c:v>
                </c:pt>
                <c:pt idx="1" c:formatCode="0.0_ ">
                  <c:v>28</c:v>
                </c:pt>
                <c:pt idx="2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07436100"/>
        <c:axId val="930202190"/>
      </c:lineChart>
      <c:catAx>
        <c:axId val="50743610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0202190"/>
        <c:crosses val="autoZero"/>
        <c:auto val="1"/>
        <c:lblAlgn val="ctr"/>
        <c:lblOffset val="100"/>
        <c:noMultiLvlLbl val="0"/>
      </c:catAx>
      <c:valAx>
        <c:axId val="93020219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7436100"/>
        <c:crosses val="autoZero"/>
        <c:crossBetween val="between"/>
      </c:valAx>
      <c:catAx>
        <c:axId val="421212775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81375999"/>
        <c:crosses val="autoZero"/>
        <c:auto val="1"/>
        <c:lblAlgn val="ctr"/>
        <c:lblOffset val="100"/>
        <c:noMultiLvlLbl val="0"/>
      </c:catAx>
      <c:valAx>
        <c:axId val="581375999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1212775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noFill/>
      <a:prstDash val="solid"/>
      <a:round/>
    </a:ln>
    <a:effectLst/>
  </c:spPr>
  <c:txPr>
    <a:bodyPr/>
    <a:lstStyle/>
    <a:p>
      <a:pPr>
        <a:defRPr lang="zh-CN">
          <a:ln>
            <a:noFill/>
          </a:ln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2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15875" cap="flat" cmpd="sng" algn="ctr">
        <a:solidFill>
          <a:schemeClr val="tx1">
            <a:lumMod val="65000"/>
            <a:lumOff val="3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4</TotalTime>
  <ScaleCrop>false</ScaleCrop>
  <LinksUpToDate>false</LinksUpToDate>
  <CharactersWithSpaces>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admin</cp:lastModifiedBy>
  <dcterms:modified xsi:type="dcterms:W3CDTF">2026-04-22T09:14:45Z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179D673A067849FDB83DBE9D2A0B9D9F</vt:lpwstr>
  </property>
</Properties>
</file>