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keepNext w:val="0"/>
        <w:keepLines w:val="0"/>
        <w:widowControl/>
        <w:suppressLineNumbers w:val="0"/>
        <w:spacing w:before="0" w:beforeAutospacing="0" w:after="0" w:afterAutospacing="0"/>
        <w:ind w:left="0" w:right="0" w:firstLine="0"/>
        <w:jc w:val="center"/>
        <w:rPr>
          <w:rFonts w:hint="eastAsia" w:ascii="黑体" w:hAnsi="黑体" w:eastAsia="黑体" w:cs="黑体"/>
          <w:b w:val="0"/>
          <w:bCs w:val="0"/>
          <w:color w:val="auto"/>
          <w:kern w:val="2"/>
          <w:sz w:val="40"/>
          <w:szCs w:val="40"/>
          <w:lang w:val="en-US" w:eastAsia="zh-CN" w:bidi="ar-SA"/>
        </w:rPr>
      </w:pPr>
      <w:r>
        <w:rPr>
          <w:rFonts w:hint="eastAsia" w:ascii="黑体" w:hAnsi="黑体" w:eastAsia="黑体" w:cs="黑体"/>
          <w:b w:val="0"/>
          <w:bCs w:val="0"/>
          <w:color w:val="auto"/>
          <w:kern w:val="2"/>
          <w:sz w:val="40"/>
          <w:szCs w:val="40"/>
          <w:lang w:val="en-US" w:eastAsia="zh-CN" w:bidi="ar-SA"/>
        </w:rPr>
        <w:t>北京市通州区人民政府备案登记的行政规范性文件目录（2025年5月份）</w:t>
      </w:r>
    </w:p>
    <w:p>
      <w:pPr>
        <w:pStyle w:val="2"/>
        <w:rPr>
          <w:rFonts w:hint="eastAsia" w:ascii="黑体" w:hAnsi="黑体" w:eastAsia="黑体" w:cs="黑体"/>
          <w:b w:val="0"/>
          <w:bCs w:val="0"/>
          <w:color w:val="auto"/>
          <w:sz w:val="40"/>
          <w:szCs w:val="40"/>
        </w:rPr>
      </w:pPr>
    </w:p>
    <w:tbl>
      <w:tblPr>
        <w:tblStyle w:val="11"/>
        <w:tblW w:w="9570" w:type="dxa"/>
        <w:tblInd w:w="-5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5"/>
        <w:gridCol w:w="4560"/>
        <w:gridCol w:w="1905"/>
        <w:gridCol w:w="21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trPr>
        <w:tc>
          <w:tcPr>
            <w:tcW w:w="1005"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序号</w:t>
            </w:r>
          </w:p>
        </w:tc>
        <w:tc>
          <w:tcPr>
            <w:tcW w:w="4560"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文件名称</w:t>
            </w:r>
          </w:p>
        </w:tc>
        <w:tc>
          <w:tcPr>
            <w:tcW w:w="1905"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文号</w:t>
            </w:r>
          </w:p>
        </w:tc>
        <w:tc>
          <w:tcPr>
            <w:tcW w:w="2100"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发文单位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5" w:hRule="atLeast"/>
        </w:trPr>
        <w:tc>
          <w:tcPr>
            <w:tcW w:w="1005"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1</w:t>
            </w:r>
          </w:p>
        </w:tc>
        <w:tc>
          <w:tcPr>
            <w:tcW w:w="4560" w:type="dxa"/>
          </w:tcPr>
          <w:p>
            <w:pPr>
              <w:keepNext w:val="0"/>
              <w:keepLines w:val="0"/>
              <w:widowControl/>
              <w:suppressLineNumbers w:val="0"/>
              <w:jc w:val="left"/>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i w:val="0"/>
                <w:caps w:val="0"/>
                <w:color w:val="000000"/>
                <w:spacing w:val="0"/>
                <w:kern w:val="0"/>
                <w:sz w:val="32"/>
                <w:szCs w:val="32"/>
                <w:shd w:val="clear" w:fill="FFFFFF"/>
                <w:lang w:val="en-US" w:eastAsia="zh-CN" w:bidi="ar"/>
              </w:rPr>
              <w:t>关于废止《北京市通州区台湖镇人民政府关于生产经营单位安全生产条件普查动态管理办法》台政发[2015]40号文件的决定</w:t>
            </w:r>
          </w:p>
        </w:tc>
        <w:tc>
          <w:tcPr>
            <w:tcW w:w="1905" w:type="dxa"/>
          </w:tcPr>
          <w:p>
            <w:pPr>
              <w:keepNext w:val="0"/>
              <w:keepLines w:val="0"/>
              <w:widowControl/>
              <w:suppressLineNumbers w:val="0"/>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i w:val="0"/>
                <w:caps w:val="0"/>
                <w:color w:val="000000"/>
                <w:spacing w:val="0"/>
                <w:kern w:val="0"/>
                <w:sz w:val="32"/>
                <w:szCs w:val="32"/>
                <w:shd w:val="clear" w:fill="FFFFFF"/>
                <w:lang w:val="en-US" w:eastAsia="zh-CN" w:bidi="ar"/>
              </w:rPr>
              <w:t>台政发〔2025〕12号</w:t>
            </w:r>
          </w:p>
        </w:tc>
        <w:tc>
          <w:tcPr>
            <w:tcW w:w="2100" w:type="dxa"/>
          </w:tcPr>
          <w:p>
            <w:pPr>
              <w:keepNext w:val="0"/>
              <w:keepLines w:val="0"/>
              <w:widowControl/>
              <w:suppressLineNumbers w:val="0"/>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i w:val="0"/>
                <w:caps w:val="0"/>
                <w:color w:val="000000"/>
                <w:spacing w:val="0"/>
                <w:kern w:val="0"/>
                <w:sz w:val="32"/>
                <w:szCs w:val="32"/>
                <w:shd w:val="clear" w:fill="FFFFFF"/>
                <w:lang w:val="en-US" w:eastAsia="zh-CN" w:bidi="ar"/>
              </w:rPr>
              <w:t>通州区台湖镇人民政府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9" w:hRule="atLeast"/>
        </w:trPr>
        <w:tc>
          <w:tcPr>
            <w:tcW w:w="1005"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2</w:t>
            </w:r>
          </w:p>
        </w:tc>
        <w:tc>
          <w:tcPr>
            <w:tcW w:w="4560" w:type="dxa"/>
          </w:tcPr>
          <w:p>
            <w:pPr>
              <w:keepNext w:val="0"/>
              <w:keepLines w:val="0"/>
              <w:widowControl/>
              <w:suppressLineNumbers w:val="0"/>
              <w:jc w:val="left"/>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i w:val="0"/>
                <w:caps w:val="0"/>
                <w:color w:val="000000"/>
                <w:spacing w:val="0"/>
                <w:kern w:val="0"/>
                <w:sz w:val="32"/>
                <w:szCs w:val="32"/>
                <w:shd w:val="clear" w:fill="FFFFFF"/>
                <w:lang w:val="en-US" w:eastAsia="zh-CN" w:bidi="ar"/>
              </w:rPr>
              <w:t>北京市通州区农业农村局关于废止部分行政规范性文件的通知</w:t>
            </w:r>
          </w:p>
        </w:tc>
        <w:tc>
          <w:tcPr>
            <w:tcW w:w="1905" w:type="dxa"/>
          </w:tcPr>
          <w:p>
            <w:pPr>
              <w:keepNext w:val="0"/>
              <w:keepLines w:val="0"/>
              <w:widowControl/>
              <w:suppressLineNumbers w:val="0"/>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i w:val="0"/>
                <w:caps w:val="0"/>
                <w:color w:val="000000"/>
                <w:spacing w:val="0"/>
                <w:kern w:val="0"/>
                <w:sz w:val="32"/>
                <w:szCs w:val="32"/>
                <w:shd w:val="clear" w:fill="FFFFFF"/>
                <w:lang w:val="en-US" w:eastAsia="zh-CN" w:bidi="ar"/>
              </w:rPr>
              <w:t>通农发〔2025〕4号</w:t>
            </w:r>
          </w:p>
        </w:tc>
        <w:tc>
          <w:tcPr>
            <w:tcW w:w="2100" w:type="dxa"/>
          </w:tcPr>
          <w:p>
            <w:pPr>
              <w:keepNext w:val="0"/>
              <w:keepLines w:val="0"/>
              <w:widowControl/>
              <w:suppressLineNumbers w:val="0"/>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i w:val="0"/>
                <w:caps w:val="0"/>
                <w:color w:val="000000"/>
                <w:spacing w:val="0"/>
                <w:kern w:val="0"/>
                <w:sz w:val="32"/>
                <w:szCs w:val="32"/>
                <w:shd w:val="clear" w:fill="FFFFFF"/>
                <w:lang w:val="en-US" w:eastAsia="zh-CN" w:bidi="ar"/>
              </w:rPr>
              <w:t>通州区农业农村局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0" w:hRule="atLeast"/>
        </w:trPr>
        <w:tc>
          <w:tcPr>
            <w:tcW w:w="1005"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3</w:t>
            </w:r>
          </w:p>
        </w:tc>
        <w:tc>
          <w:tcPr>
            <w:tcW w:w="4560" w:type="dxa"/>
          </w:tcPr>
          <w:p>
            <w:pPr>
              <w:keepNext w:val="0"/>
              <w:keepLines w:val="0"/>
              <w:widowControl/>
              <w:suppressLineNumbers w:val="0"/>
              <w:jc w:val="left"/>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i w:val="0"/>
                <w:caps w:val="0"/>
                <w:color w:val="000000"/>
                <w:spacing w:val="0"/>
                <w:kern w:val="0"/>
                <w:sz w:val="32"/>
                <w:szCs w:val="32"/>
                <w:shd w:val="clear" w:fill="FFFFFF"/>
                <w:lang w:val="en-US" w:eastAsia="zh-CN" w:bidi="ar"/>
              </w:rPr>
              <w:t>北京市通州区住房和城乡建设委员会关于印发《关于北京城市副中心促进智能建造产业发展的实施细则（修订版）》的通知</w:t>
            </w:r>
          </w:p>
        </w:tc>
        <w:tc>
          <w:tcPr>
            <w:tcW w:w="1905" w:type="dxa"/>
          </w:tcPr>
          <w:p>
            <w:pPr>
              <w:keepNext w:val="0"/>
              <w:keepLines w:val="0"/>
              <w:widowControl/>
              <w:suppressLineNumbers w:val="0"/>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i w:val="0"/>
                <w:caps w:val="0"/>
                <w:color w:val="000000"/>
                <w:spacing w:val="0"/>
                <w:kern w:val="0"/>
                <w:sz w:val="32"/>
                <w:szCs w:val="32"/>
                <w:shd w:val="clear" w:fill="FFFFFF"/>
                <w:lang w:val="en-US" w:eastAsia="zh-CN" w:bidi="ar"/>
              </w:rPr>
              <w:t>通住建委发〔2025〕6号</w:t>
            </w:r>
          </w:p>
        </w:tc>
        <w:tc>
          <w:tcPr>
            <w:tcW w:w="2100" w:type="dxa"/>
          </w:tcPr>
          <w:p>
            <w:pPr>
              <w:keepNext w:val="0"/>
              <w:keepLines w:val="0"/>
              <w:widowControl/>
              <w:suppressLineNumbers w:val="0"/>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i w:val="0"/>
                <w:caps w:val="0"/>
                <w:color w:val="000000"/>
                <w:spacing w:val="0"/>
                <w:kern w:val="0"/>
                <w:sz w:val="32"/>
                <w:szCs w:val="32"/>
                <w:shd w:val="clear" w:fill="FFFFFF"/>
                <w:lang w:val="en-US" w:eastAsia="zh-CN" w:bidi="ar"/>
              </w:rPr>
              <w:t>通州区住房城乡建设委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5" w:hRule="atLeast"/>
        </w:trPr>
        <w:tc>
          <w:tcPr>
            <w:tcW w:w="1005"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4</w:t>
            </w:r>
          </w:p>
        </w:tc>
        <w:tc>
          <w:tcPr>
            <w:tcW w:w="4560" w:type="dxa"/>
          </w:tcPr>
          <w:p>
            <w:pPr>
              <w:keepNext w:val="0"/>
              <w:keepLines w:val="0"/>
              <w:widowControl/>
              <w:suppressLineNumbers w:val="0"/>
              <w:jc w:val="left"/>
              <w:rPr>
                <w:rFonts w:hint="eastAsia" w:ascii="仿宋_GB2312" w:hAnsi="仿宋_GB2312" w:eastAsia="仿宋_GB2312" w:cs="仿宋_GB2312"/>
                <w:i w:val="0"/>
                <w:caps w:val="0"/>
                <w:color w:val="000000"/>
                <w:spacing w:val="0"/>
                <w:kern w:val="0"/>
                <w:sz w:val="32"/>
                <w:szCs w:val="32"/>
                <w:shd w:val="clear" w:fill="FFFFFF"/>
                <w:lang w:val="en-US" w:eastAsia="zh-CN" w:bidi="ar"/>
              </w:rPr>
            </w:pPr>
            <w:r>
              <w:rPr>
                <w:rFonts w:hint="eastAsia" w:ascii="仿宋_GB2312" w:hAnsi="仿宋_GB2312" w:eastAsia="仿宋_GB2312" w:cs="仿宋_GB2312"/>
                <w:i w:val="0"/>
                <w:caps w:val="0"/>
                <w:color w:val="000000"/>
                <w:spacing w:val="0"/>
                <w:kern w:val="0"/>
                <w:sz w:val="32"/>
                <w:szCs w:val="32"/>
                <w:shd w:val="clear" w:fill="FFFFFF"/>
                <w:lang w:val="en-US" w:eastAsia="zh-CN" w:bidi="ar"/>
              </w:rPr>
              <w:t>北京市通州区住房和城乡建设委员会关于印发《关于北京城市副中心建筑业高质量发展的实施细则（修订版）》的通知</w:t>
            </w:r>
          </w:p>
        </w:tc>
        <w:tc>
          <w:tcPr>
            <w:tcW w:w="1905" w:type="dxa"/>
          </w:tcPr>
          <w:p>
            <w:pPr>
              <w:keepNext w:val="0"/>
              <w:keepLines w:val="0"/>
              <w:widowControl/>
              <w:suppressLineNumbers w:val="0"/>
              <w:jc w:val="center"/>
              <w:rPr>
                <w:rFonts w:hint="eastAsia" w:ascii="仿宋_GB2312" w:hAnsi="仿宋_GB2312" w:eastAsia="仿宋_GB2312" w:cs="仿宋_GB2312"/>
                <w:i w:val="0"/>
                <w:caps w:val="0"/>
                <w:color w:val="000000"/>
                <w:spacing w:val="0"/>
                <w:kern w:val="0"/>
                <w:sz w:val="32"/>
                <w:szCs w:val="32"/>
                <w:shd w:val="clear" w:fill="FFFFFF"/>
                <w:lang w:val="en-US" w:eastAsia="zh-CN" w:bidi="ar"/>
              </w:rPr>
            </w:pPr>
            <w:r>
              <w:rPr>
                <w:rFonts w:hint="eastAsia" w:ascii="仿宋_GB2312" w:hAnsi="仿宋_GB2312" w:eastAsia="仿宋_GB2312" w:cs="仿宋_GB2312"/>
                <w:i w:val="0"/>
                <w:caps w:val="0"/>
                <w:color w:val="000000"/>
                <w:spacing w:val="0"/>
                <w:kern w:val="0"/>
                <w:sz w:val="32"/>
                <w:szCs w:val="32"/>
                <w:shd w:val="clear" w:fill="FFFFFF"/>
                <w:lang w:val="en-US" w:eastAsia="zh-CN" w:bidi="ar"/>
              </w:rPr>
              <w:t>通住建委发〔2025〕5号</w:t>
            </w:r>
          </w:p>
        </w:tc>
        <w:tc>
          <w:tcPr>
            <w:tcW w:w="2100" w:type="dxa"/>
          </w:tcPr>
          <w:p>
            <w:pPr>
              <w:keepNext w:val="0"/>
              <w:keepLines w:val="0"/>
              <w:widowControl/>
              <w:suppressLineNumbers w:val="0"/>
              <w:jc w:val="center"/>
              <w:rPr>
                <w:rFonts w:hint="eastAsia" w:ascii="仿宋_GB2312" w:hAnsi="仿宋_GB2312" w:eastAsia="仿宋_GB2312" w:cs="仿宋_GB2312"/>
                <w:i w:val="0"/>
                <w:caps w:val="0"/>
                <w:color w:val="000000"/>
                <w:spacing w:val="0"/>
                <w:kern w:val="0"/>
                <w:sz w:val="32"/>
                <w:szCs w:val="32"/>
                <w:shd w:val="clear" w:fill="FFFFFF"/>
                <w:lang w:val="en-US" w:eastAsia="zh-CN" w:bidi="ar"/>
              </w:rPr>
            </w:pPr>
            <w:r>
              <w:rPr>
                <w:rFonts w:hint="eastAsia" w:ascii="仿宋_GB2312" w:hAnsi="仿宋_GB2312" w:eastAsia="仿宋_GB2312" w:cs="仿宋_GB2312"/>
                <w:i w:val="0"/>
                <w:caps w:val="0"/>
                <w:color w:val="000000"/>
                <w:spacing w:val="0"/>
                <w:kern w:val="0"/>
                <w:sz w:val="32"/>
                <w:szCs w:val="32"/>
                <w:shd w:val="clear" w:fill="FFFFFF"/>
                <w:lang w:val="en-US" w:eastAsia="zh-CN" w:bidi="ar"/>
              </w:rPr>
              <w:t>通州区住房城</w:t>
            </w:r>
            <w:bookmarkStart w:id="0" w:name="_GoBack"/>
            <w:bookmarkEnd w:id="0"/>
            <w:r>
              <w:rPr>
                <w:rFonts w:hint="eastAsia" w:ascii="仿宋_GB2312" w:hAnsi="仿宋_GB2312" w:eastAsia="仿宋_GB2312" w:cs="仿宋_GB2312"/>
                <w:i w:val="0"/>
                <w:caps w:val="0"/>
                <w:color w:val="000000"/>
                <w:spacing w:val="0"/>
                <w:kern w:val="0"/>
                <w:sz w:val="32"/>
                <w:szCs w:val="32"/>
                <w:shd w:val="clear" w:fill="FFFFFF"/>
                <w:lang w:val="en-US" w:eastAsia="zh-CN" w:bidi="ar"/>
              </w:rPr>
              <w:t>乡建设委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0" w:hRule="atLeast"/>
        </w:trPr>
        <w:tc>
          <w:tcPr>
            <w:tcW w:w="1005"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5</w:t>
            </w:r>
          </w:p>
        </w:tc>
        <w:tc>
          <w:tcPr>
            <w:tcW w:w="4560" w:type="dxa"/>
          </w:tcPr>
          <w:p>
            <w:pPr>
              <w:keepNext w:val="0"/>
              <w:keepLines w:val="0"/>
              <w:widowControl/>
              <w:suppressLineNumbers w:val="0"/>
              <w:jc w:val="left"/>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i w:val="0"/>
                <w:caps w:val="0"/>
                <w:color w:val="000000"/>
                <w:spacing w:val="0"/>
                <w:kern w:val="0"/>
                <w:sz w:val="32"/>
                <w:szCs w:val="32"/>
                <w:shd w:val="clear" w:fill="FFFFFF"/>
                <w:lang w:val="en-US" w:eastAsia="zh-CN" w:bidi="ar"/>
              </w:rPr>
              <w:t>北京市通州区教育委员会关于印发《2025年通州区非本市户籍适龄儿童少年接受义务教育材料审核实施细则》的通知</w:t>
            </w:r>
          </w:p>
        </w:tc>
        <w:tc>
          <w:tcPr>
            <w:tcW w:w="1905" w:type="dxa"/>
          </w:tcPr>
          <w:p>
            <w:pPr>
              <w:keepNext w:val="0"/>
              <w:keepLines w:val="0"/>
              <w:widowControl/>
              <w:suppressLineNumbers w:val="0"/>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i w:val="0"/>
                <w:caps w:val="0"/>
                <w:color w:val="000000"/>
                <w:spacing w:val="0"/>
                <w:kern w:val="0"/>
                <w:sz w:val="32"/>
                <w:szCs w:val="32"/>
                <w:shd w:val="clear" w:fill="FFFFFF"/>
                <w:lang w:val="en-US" w:eastAsia="zh-CN" w:bidi="ar"/>
              </w:rPr>
              <w:t>通教发〔2025〕11号</w:t>
            </w:r>
          </w:p>
        </w:tc>
        <w:tc>
          <w:tcPr>
            <w:tcW w:w="2100"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通州区教委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5"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6</w:t>
            </w:r>
          </w:p>
        </w:tc>
        <w:tc>
          <w:tcPr>
            <w:tcW w:w="4560" w:type="dxa"/>
          </w:tcPr>
          <w:p>
            <w:pPr>
              <w:keepNext w:val="0"/>
              <w:keepLines w:val="0"/>
              <w:widowControl/>
              <w:suppressLineNumbers w:val="0"/>
              <w:jc w:val="left"/>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i w:val="0"/>
                <w:caps w:val="0"/>
                <w:color w:val="000000"/>
                <w:spacing w:val="0"/>
                <w:kern w:val="0"/>
                <w:sz w:val="32"/>
                <w:szCs w:val="32"/>
                <w:shd w:val="clear" w:fill="FFFFFF"/>
                <w:lang w:val="en-US" w:eastAsia="zh-CN" w:bidi="ar"/>
              </w:rPr>
              <w:t>北京市通州区教育委员会关于印发《2025年通州区义务教育阶段入学工作实施细则》的通知</w:t>
            </w:r>
          </w:p>
        </w:tc>
        <w:tc>
          <w:tcPr>
            <w:tcW w:w="1905" w:type="dxa"/>
          </w:tcPr>
          <w:p>
            <w:pPr>
              <w:keepNext w:val="0"/>
              <w:keepLines w:val="0"/>
              <w:widowControl/>
              <w:suppressLineNumbers w:val="0"/>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i w:val="0"/>
                <w:caps w:val="0"/>
                <w:color w:val="000000"/>
                <w:spacing w:val="0"/>
                <w:kern w:val="0"/>
                <w:sz w:val="32"/>
                <w:szCs w:val="32"/>
                <w:shd w:val="clear" w:fill="FFFFFF"/>
                <w:lang w:val="en-US" w:eastAsia="zh-CN" w:bidi="ar"/>
              </w:rPr>
              <w:t>通教发〔2025〕10号</w:t>
            </w:r>
          </w:p>
        </w:tc>
        <w:tc>
          <w:tcPr>
            <w:tcW w:w="2100"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通州区教委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05" w:type="dxa"/>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7</w:t>
            </w:r>
          </w:p>
        </w:tc>
        <w:tc>
          <w:tcPr>
            <w:tcW w:w="4560" w:type="dxa"/>
          </w:tcPr>
          <w:p>
            <w:pPr>
              <w:keepNext w:val="0"/>
              <w:keepLines w:val="0"/>
              <w:widowControl/>
              <w:suppressLineNumbers w:val="0"/>
              <w:jc w:val="left"/>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i w:val="0"/>
                <w:caps w:val="0"/>
                <w:color w:val="000000"/>
                <w:spacing w:val="0"/>
                <w:kern w:val="0"/>
                <w:sz w:val="32"/>
                <w:szCs w:val="32"/>
                <w:shd w:val="clear" w:fill="FFFFFF"/>
                <w:lang w:val="en-US" w:eastAsia="zh-CN" w:bidi="ar"/>
              </w:rPr>
              <w:t>关于废止《通州区退役士兵参加短期职业技能培训工作暂行办法》的通知</w:t>
            </w:r>
          </w:p>
        </w:tc>
        <w:tc>
          <w:tcPr>
            <w:tcW w:w="1905" w:type="dxa"/>
          </w:tcPr>
          <w:p>
            <w:pPr>
              <w:keepNext w:val="0"/>
              <w:keepLines w:val="0"/>
              <w:widowControl/>
              <w:suppressLineNumbers w:val="0"/>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i w:val="0"/>
                <w:caps w:val="0"/>
                <w:color w:val="000000"/>
                <w:spacing w:val="0"/>
                <w:kern w:val="0"/>
                <w:sz w:val="32"/>
                <w:szCs w:val="32"/>
                <w:shd w:val="clear" w:fill="FFFFFF"/>
                <w:lang w:val="en-US" w:eastAsia="zh-CN" w:bidi="ar"/>
              </w:rPr>
              <w:t>通退役军人局文〔2025〕11号</w:t>
            </w:r>
          </w:p>
        </w:tc>
        <w:tc>
          <w:tcPr>
            <w:tcW w:w="2100" w:type="dxa"/>
          </w:tcPr>
          <w:p>
            <w:pPr>
              <w:keepNext w:val="0"/>
              <w:keepLines w:val="0"/>
              <w:widowControl/>
              <w:suppressLineNumbers w:val="0"/>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i w:val="0"/>
                <w:caps w:val="0"/>
                <w:color w:val="000000"/>
                <w:spacing w:val="0"/>
                <w:kern w:val="0"/>
                <w:sz w:val="32"/>
                <w:szCs w:val="32"/>
                <w:shd w:val="clear" w:fill="FFFFFF"/>
                <w:lang w:val="en-US" w:eastAsia="zh-CN" w:bidi="ar"/>
              </w:rPr>
              <w:t>通州区退役军人事务局</w:t>
            </w:r>
          </w:p>
        </w:tc>
      </w:tr>
    </w:tbl>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b w:val="0"/>
          <w:bCs w:val="0"/>
          <w:sz w:val="32"/>
          <w:szCs w:val="32"/>
          <w:lang w:val="en-US" w:eastAsia="zh-CN"/>
        </w:rPr>
      </w:pPr>
    </w:p>
    <w:sectPr>
      <w:footerReference r:id="rId3" w:type="default"/>
      <w:pgSz w:w="11906" w:h="16838"/>
      <w:pgMar w:top="1440" w:right="1803" w:bottom="1440" w:left="1803" w:header="851" w:footer="992" w:gutter="0"/>
      <w:pgNumType w:fmt="decimal"/>
      <w:cols w:space="72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Verdana">
    <w:altName w:val="DejaVu Sans"/>
    <w:panose1 w:val="020B0604030504040204"/>
    <w:charset w:val="00"/>
    <w:family w:val="swiss"/>
    <w:pitch w:val="default"/>
    <w:sig w:usb0="00000000" w:usb1="00000000" w:usb2="00000010" w:usb3="00000000" w:csb0="2000019F" w:csb1="00000000"/>
  </w:font>
  <w:font w:name="仿宋">
    <w:panose1 w:val="02010609060101010101"/>
    <w:charset w:val="86"/>
    <w:family w:val="auto"/>
    <w:pitch w:val="default"/>
    <w:sig w:usb0="800002BF" w:usb1="38CF7CFA" w:usb2="00000016" w:usb3="00000000" w:csb0="00040001" w:csb1="00000000"/>
  </w:font>
  <w:font w:name="DejaVu Sans">
    <w:panose1 w:val="020B0603030804020204"/>
    <w:charset w:val="00"/>
    <w:family w:val="auto"/>
    <w:pitch w:val="default"/>
    <w:sig w:usb0="E7006EFF" w:usb1="D200FDFF" w:usb2="0A246029" w:usb3="0400200C" w:csb0="600001FF" w:csb1="DFFF0000"/>
  </w:font>
  <w:font w:name="Microsoft YaHei">
    <w:altName w:val="黑体"/>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txbx>
                      <w:txbxContent>
                        <w:p>
                          <w:pPr>
                            <w:pStyle w:val="7"/>
                          </w:pPr>
                          <w:r>
                            <w:fldChar w:fldCharType="begin"/>
                          </w:r>
                          <w:r>
                            <w:instrText xml:space="preserve"> PAGE  \* MERGEFORMAT </w:instrText>
                          </w:r>
                          <w:r>
                            <w:fldChar w:fldCharType="separate"/>
                          </w:r>
                          <w:r>
                            <w:t>21</w:t>
                          </w:r>
                          <w:r>
                            <w:fldChar w:fldCharType="end"/>
                          </w:r>
                        </w:p>
                      </w:txbxContent>
                    </wps:txbx>
                    <wps:bodyPr vert="horz" wrap="none" lIns="0" tIns="0" rIns="0" bIns="0" anchor="t" anchorCtr="false" upright="false">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FgAAAGRycy9QSwECFAAUAAAACACHTuJAs0lY7tAAAAAFAQAA&#10;DwAAAAAAAAABACAAAAA4AAAAZHJzL2Rvd25yZXYueG1sUEsBAhQAFAAAAAgAh07iQABEFOvSAQAA&#10;hAMAAA4AAAAAAAAAAQAgAAAANQEAAGRycy9lMm9Eb2MueG1sUEsFBgAAAAAGAAYAWQEAAHkFAAAA&#10;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21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cumentProtection w:enforcement="0"/>
  <w:defaultTabStop w:val="420"/>
  <w:hyphenationZone w:val="36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EDB0B63"/>
    <w:rsid w:val="004E64AF"/>
    <w:rsid w:val="008E6A68"/>
    <w:rsid w:val="01534994"/>
    <w:rsid w:val="01D00465"/>
    <w:rsid w:val="01FE47D3"/>
    <w:rsid w:val="06565EE9"/>
    <w:rsid w:val="06F044B2"/>
    <w:rsid w:val="0C2B46BA"/>
    <w:rsid w:val="0C8165E0"/>
    <w:rsid w:val="0D813BD8"/>
    <w:rsid w:val="0E102ABC"/>
    <w:rsid w:val="10642567"/>
    <w:rsid w:val="10B844D4"/>
    <w:rsid w:val="11C41792"/>
    <w:rsid w:val="1210175E"/>
    <w:rsid w:val="13705B52"/>
    <w:rsid w:val="159E3DDC"/>
    <w:rsid w:val="172420D5"/>
    <w:rsid w:val="18317390"/>
    <w:rsid w:val="191810FF"/>
    <w:rsid w:val="192A5EA0"/>
    <w:rsid w:val="1C9E55FB"/>
    <w:rsid w:val="1CE87219"/>
    <w:rsid w:val="1EA60A5E"/>
    <w:rsid w:val="20063FBB"/>
    <w:rsid w:val="216E59ED"/>
    <w:rsid w:val="21B81667"/>
    <w:rsid w:val="238804D4"/>
    <w:rsid w:val="23DD13F6"/>
    <w:rsid w:val="25EE6A0C"/>
    <w:rsid w:val="25FC52D5"/>
    <w:rsid w:val="289154F8"/>
    <w:rsid w:val="29F9716F"/>
    <w:rsid w:val="2A996C08"/>
    <w:rsid w:val="2C365DDC"/>
    <w:rsid w:val="2C394128"/>
    <w:rsid w:val="2CA7770E"/>
    <w:rsid w:val="2CBD1298"/>
    <w:rsid w:val="2CBF8107"/>
    <w:rsid w:val="2D354B24"/>
    <w:rsid w:val="2D3A0D2B"/>
    <w:rsid w:val="2DFF6A18"/>
    <w:rsid w:val="2EB70209"/>
    <w:rsid w:val="2FD523EE"/>
    <w:rsid w:val="30EB3688"/>
    <w:rsid w:val="30FF2B40"/>
    <w:rsid w:val="331B57FA"/>
    <w:rsid w:val="35D339CB"/>
    <w:rsid w:val="36167ADA"/>
    <w:rsid w:val="36664A62"/>
    <w:rsid w:val="380906E9"/>
    <w:rsid w:val="381036F8"/>
    <w:rsid w:val="38643D5E"/>
    <w:rsid w:val="39257C24"/>
    <w:rsid w:val="3CB8274A"/>
    <w:rsid w:val="3E3D3552"/>
    <w:rsid w:val="3FB402A5"/>
    <w:rsid w:val="3FF79B31"/>
    <w:rsid w:val="4072592F"/>
    <w:rsid w:val="419A6FCA"/>
    <w:rsid w:val="4256784B"/>
    <w:rsid w:val="42C24864"/>
    <w:rsid w:val="4342115E"/>
    <w:rsid w:val="434B417C"/>
    <w:rsid w:val="43A9333A"/>
    <w:rsid w:val="448E1CCC"/>
    <w:rsid w:val="45AF0E6B"/>
    <w:rsid w:val="474C5080"/>
    <w:rsid w:val="4BA31FDB"/>
    <w:rsid w:val="4BEC27F7"/>
    <w:rsid w:val="4BFF9656"/>
    <w:rsid w:val="4CFB7AFE"/>
    <w:rsid w:val="4D493227"/>
    <w:rsid w:val="4D8116F4"/>
    <w:rsid w:val="4D866B4B"/>
    <w:rsid w:val="4E5A1F47"/>
    <w:rsid w:val="4E792590"/>
    <w:rsid w:val="4EA04AB2"/>
    <w:rsid w:val="4EE76C02"/>
    <w:rsid w:val="4F0C6219"/>
    <w:rsid w:val="4F32794A"/>
    <w:rsid w:val="4FA160D3"/>
    <w:rsid w:val="51582917"/>
    <w:rsid w:val="515F72AB"/>
    <w:rsid w:val="51915A94"/>
    <w:rsid w:val="51DC15D3"/>
    <w:rsid w:val="51F218DB"/>
    <w:rsid w:val="537B9DA3"/>
    <w:rsid w:val="54CA5783"/>
    <w:rsid w:val="55941F5F"/>
    <w:rsid w:val="58AD79C7"/>
    <w:rsid w:val="59AE770C"/>
    <w:rsid w:val="5A3715E5"/>
    <w:rsid w:val="5A474F5C"/>
    <w:rsid w:val="5A8B42B6"/>
    <w:rsid w:val="5BBE5F55"/>
    <w:rsid w:val="5BFF30DD"/>
    <w:rsid w:val="5DDF52D1"/>
    <w:rsid w:val="5E791EE0"/>
    <w:rsid w:val="5EDB0B63"/>
    <w:rsid w:val="5F9F33EB"/>
    <w:rsid w:val="61927397"/>
    <w:rsid w:val="62B3385D"/>
    <w:rsid w:val="655647C6"/>
    <w:rsid w:val="67982537"/>
    <w:rsid w:val="6798258D"/>
    <w:rsid w:val="68F85CCE"/>
    <w:rsid w:val="69454BAB"/>
    <w:rsid w:val="6ABA0C32"/>
    <w:rsid w:val="6AC7B1A3"/>
    <w:rsid w:val="6B77FB6F"/>
    <w:rsid w:val="6E7D1FE0"/>
    <w:rsid w:val="6EE9A86C"/>
    <w:rsid w:val="6F463287"/>
    <w:rsid w:val="6F4806EB"/>
    <w:rsid w:val="6FD43E60"/>
    <w:rsid w:val="70611CF2"/>
    <w:rsid w:val="70B52F98"/>
    <w:rsid w:val="727D1A92"/>
    <w:rsid w:val="72F3B85D"/>
    <w:rsid w:val="733350AD"/>
    <w:rsid w:val="74F41102"/>
    <w:rsid w:val="75060C15"/>
    <w:rsid w:val="753D64FD"/>
    <w:rsid w:val="763E871D"/>
    <w:rsid w:val="76FD544C"/>
    <w:rsid w:val="78FFD207"/>
    <w:rsid w:val="7917589B"/>
    <w:rsid w:val="799C5814"/>
    <w:rsid w:val="79EBFCAD"/>
    <w:rsid w:val="7B5254E4"/>
    <w:rsid w:val="7BBD97BD"/>
    <w:rsid w:val="7BFE4A5B"/>
    <w:rsid w:val="7BFFEC6B"/>
    <w:rsid w:val="7C881672"/>
    <w:rsid w:val="7DB23D50"/>
    <w:rsid w:val="7DBF4FBB"/>
    <w:rsid w:val="7DCD9330"/>
    <w:rsid w:val="7DD758A1"/>
    <w:rsid w:val="7E562264"/>
    <w:rsid w:val="7E5EB5A1"/>
    <w:rsid w:val="7F2773F9"/>
    <w:rsid w:val="7F3909BD"/>
    <w:rsid w:val="7F6A260D"/>
    <w:rsid w:val="7F7C49BA"/>
    <w:rsid w:val="7F9B2643"/>
    <w:rsid w:val="7FBF70D0"/>
    <w:rsid w:val="7FF719AD"/>
    <w:rsid w:val="9BDBFBB0"/>
    <w:rsid w:val="9BFD2FEF"/>
    <w:rsid w:val="AFDDEFDC"/>
    <w:rsid w:val="B2DFF942"/>
    <w:rsid w:val="B5FC34C6"/>
    <w:rsid w:val="B5FF8AC6"/>
    <w:rsid w:val="BAEFCA12"/>
    <w:rsid w:val="BBCF314C"/>
    <w:rsid w:val="BD5D8A02"/>
    <w:rsid w:val="D4CEDA1A"/>
    <w:rsid w:val="D5A31DC0"/>
    <w:rsid w:val="D7FF1616"/>
    <w:rsid w:val="DFEAA56F"/>
    <w:rsid w:val="E6922BE3"/>
    <w:rsid w:val="E7FB6EFD"/>
    <w:rsid w:val="EB5BB730"/>
    <w:rsid w:val="ECBBBCB5"/>
    <w:rsid w:val="EDBF5005"/>
    <w:rsid w:val="EDFF835A"/>
    <w:rsid w:val="EEBB59E1"/>
    <w:rsid w:val="EFCF022D"/>
    <w:rsid w:val="F37B3AB2"/>
    <w:rsid w:val="F6FF4047"/>
    <w:rsid w:val="F7E365DE"/>
    <w:rsid w:val="FA5A168B"/>
    <w:rsid w:val="FD3F40DC"/>
    <w:rsid w:val="FE3354DA"/>
    <w:rsid w:val="FEF8056D"/>
    <w:rsid w:val="FEF82787"/>
    <w:rsid w:val="FEFD3F0E"/>
    <w:rsid w:val="FFBDEA55"/>
    <w:rsid w:val="FFDD5EAA"/>
    <w:rsid w:val="FFEE069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2"/>
    <w:basedOn w:val="1"/>
    <w:next w:val="1"/>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toc 3"/>
    <w:basedOn w:val="1"/>
    <w:next w:val="1"/>
    <w:qFormat/>
    <w:uiPriority w:val="0"/>
    <w:pPr>
      <w:ind w:left="840" w:leftChars="400"/>
    </w:pPr>
  </w:style>
  <w:style w:type="paragraph" w:styleId="5">
    <w:name w:val="Normal Indent"/>
    <w:basedOn w:val="1"/>
    <w:next w:val="1"/>
    <w:qFormat/>
    <w:uiPriority w:val="0"/>
    <w:pPr>
      <w:ind w:firstLine="200" w:firstLineChars="200"/>
    </w:pPr>
  </w:style>
  <w:style w:type="paragraph" w:styleId="6">
    <w:name w:val="Body Text"/>
    <w:basedOn w:val="1"/>
    <w:next w:val="1"/>
    <w:qFormat/>
    <w:uiPriority w:val="0"/>
    <w:pPr>
      <w:spacing w:before="0" w:after="140" w:line="276" w:lineRule="auto"/>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spacing w:before="100" w:beforeAutospacing="1" w:after="100" w:afterAutospacing="1"/>
      <w:ind w:left="0" w:right="0"/>
      <w:jc w:val="left"/>
    </w:pPr>
    <w:rPr>
      <w:kern w:val="0"/>
      <w:sz w:val="24"/>
      <w:lang w:val="en-US" w:eastAsia="zh-CN" w:bidi="ar"/>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Hyperlink"/>
    <w:basedOn w:val="12"/>
    <w:qFormat/>
    <w:uiPriority w:val="0"/>
    <w:rPr>
      <w:color w:val="0000FF"/>
      <w:u w:val="single"/>
    </w:rPr>
  </w:style>
  <w:style w:type="character" w:customStyle="1" w:styleId="15">
    <w:name w:val="font81"/>
    <w:basedOn w:val="12"/>
    <w:qFormat/>
    <w:uiPriority w:val="0"/>
    <w:rPr>
      <w:rFonts w:hint="eastAsia" w:ascii="宋体" w:hAnsi="宋体" w:eastAsia="宋体" w:cs="宋体"/>
      <w:color w:val="000000"/>
      <w:sz w:val="20"/>
      <w:szCs w:val="20"/>
      <w:u w:val="none"/>
    </w:rPr>
  </w:style>
  <w:style w:type="character" w:customStyle="1" w:styleId="16">
    <w:name w:val="font11"/>
    <w:basedOn w:val="12"/>
    <w:qFormat/>
    <w:uiPriority w:val="0"/>
    <w:rPr>
      <w:rFonts w:hint="eastAsia" w:ascii="仿宋_GB2312" w:eastAsia="仿宋_GB2312" w:cs="仿宋_GB2312"/>
      <w:color w:val="000000"/>
      <w:sz w:val="24"/>
      <w:szCs w:val="24"/>
      <w:u w:val="none"/>
    </w:rPr>
  </w:style>
  <w:style w:type="character" w:customStyle="1" w:styleId="17">
    <w:name w:val="font61"/>
    <w:basedOn w:val="12"/>
    <w:qFormat/>
    <w:uiPriority w:val="0"/>
    <w:rPr>
      <w:rFonts w:hint="eastAsia" w:ascii="仿宋_GB2312" w:eastAsia="仿宋_GB2312" w:cs="仿宋_GB2312"/>
      <w:color w:val="000000"/>
      <w:sz w:val="24"/>
      <w:szCs w:val="24"/>
      <w:u w:val="none"/>
    </w:rPr>
  </w:style>
  <w:style w:type="character" w:customStyle="1" w:styleId="18">
    <w:name w:val="font71"/>
    <w:basedOn w:val="12"/>
    <w:qFormat/>
    <w:uiPriority w:val="0"/>
    <w:rPr>
      <w:rFonts w:hint="eastAsia" w:ascii="宋体" w:hAnsi="宋体" w:eastAsia="宋体" w:cs="宋体"/>
      <w:color w:val="FF0000"/>
      <w:sz w:val="20"/>
      <w:szCs w:val="20"/>
      <w:u w:val="none"/>
    </w:rPr>
  </w:style>
  <w:style w:type="paragraph" w:customStyle="1" w:styleId="19">
    <w:name w:val="表格"/>
    <w:basedOn w:val="1"/>
    <w:qFormat/>
    <w:uiPriority w:val="0"/>
    <w:pPr>
      <w:autoSpaceDN w:val="0"/>
      <w:jc w:val="center"/>
    </w:pPr>
    <w:rPr>
      <w:rFonts w:ascii="Verdana" w:hAnsi="Verdana" w:eastAsia="仿宋_GB2312" w:cs="Times New Roman"/>
      <w:bCs/>
      <w:sz w:val="24"/>
      <w:szCs w:val="21"/>
      <w:lang w:eastAsia="en-US"/>
    </w:rPr>
  </w:style>
  <w:style w:type="paragraph" w:customStyle="1" w:styleId="20">
    <w:name w:val="首行缩进"/>
    <w:basedOn w:val="1"/>
    <w:qFormat/>
    <w:uiPriority w:val="0"/>
    <w:pPr>
      <w:ind w:firstLine="480"/>
    </w:pPr>
    <w:rPr>
      <w:szCs w:val="20"/>
      <w:lang w:val="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Office_11.8.2.10489_F1E327BC-269C-435d-A152-05C5408002CA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2024-03-16T11:08:00Z</dcterms:created>
  <dc:creator>user</dc:creator>
  <cp:lastModifiedBy>user</cp:lastModifiedBy>
  <cp:lastPrinted>2024-04-02T17:59:00Z</cp:lastPrinted>
  <dcterms:modified xsi:type="dcterms:W3CDTF">2026-04-01T11:29:57Z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2052-11.8.2.10489</vt:lpwstr>
  </property>
</Properties>
</file>