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both"/>
        <w:textAlignment w:val="auto"/>
        <w:rPr>
          <w:rFonts w:hint="eastAsia" w:ascii="方正小标宋简体" w:hAnsi="方正小标宋简体" w:eastAsia="方正小标宋简体" w:cs="方正小标宋简体"/>
          <w:sz w:val="44"/>
          <w:szCs w:val="44"/>
          <w:highlight w:val="none"/>
        </w:rPr>
      </w:pPr>
      <w:bookmarkStart w:id="0" w:name="_GoBack"/>
      <w:r>
        <w:rPr>
          <w:rFonts w:hint="eastAsia" w:ascii="方正小标宋简体" w:hAnsi="方正小标宋简体" w:eastAsia="方正小标宋简体" w:cs="方正小标宋简体"/>
          <w:sz w:val="44"/>
          <w:szCs w:val="44"/>
          <w:highlight w:val="none"/>
          <w:lang w:val="en-US" w:eastAsia="zh-CN"/>
        </w:rPr>
        <w:t>北京市通州区潞城镇</w:t>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年政府信息公开</w:t>
      </w:r>
    </w:p>
    <w:p>
      <w:pPr>
        <w:spacing w:line="560" w:lineRule="exact"/>
        <w:jc w:val="center"/>
        <w:rPr>
          <w:sz w:val="44"/>
          <w:szCs w:val="44"/>
        </w:rPr>
      </w:pPr>
      <w:r>
        <w:rPr>
          <w:rFonts w:hint="eastAsia" w:ascii="方正小标宋简体" w:hAnsi="方正小标宋简体" w:eastAsia="方正小标宋简体" w:cs="方正小标宋简体"/>
          <w:sz w:val="44"/>
          <w:szCs w:val="44"/>
          <w:highlight w:val="none"/>
        </w:rPr>
        <w:t>工作年度报告</w:t>
      </w:r>
      <w:r>
        <w:rPr>
          <w:rFonts w:hint="eastAsia" w:ascii="微软雅黑" w:hAnsi="微软雅黑" w:eastAsia="微软雅黑" w:cs="宋体"/>
          <w:color w:val="404040"/>
          <w:kern w:val="0"/>
          <w:sz w:val="24"/>
          <w:highlight w:val="none"/>
        </w:rPr>
        <w:t>　</w:t>
      </w:r>
      <w:bookmarkEnd w:id="0"/>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ascii="黑体" w:hAnsi="黑体" w:eastAsia="黑体" w:cs="宋体"/>
          <w:spacing w:val="8"/>
          <w:kern w:val="0"/>
          <w:sz w:val="32"/>
          <w:szCs w:val="32"/>
        </w:rPr>
        <w:t>一、总体情况</w:t>
      </w:r>
    </w:p>
    <w:p>
      <w:pPr>
        <w:widowControl/>
        <w:numPr>
          <w:ilvl w:val="0"/>
          <w:numId w:val="1"/>
        </w:numPr>
        <w:spacing w:line="560" w:lineRule="exact"/>
        <w:ind w:firstLine="672" w:firstLineChars="200"/>
        <w:jc w:val="left"/>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加强组织领导。成立政务信息公开工作领导小组，对负责相关工作人员进行培训，定期对工作进行梳理，及时准确公开政务信息，着力提升政务工作的质量和实效。</w:t>
      </w:r>
    </w:p>
    <w:p>
      <w:pPr>
        <w:widowControl/>
        <w:numPr>
          <w:ilvl w:val="0"/>
          <w:numId w:val="1"/>
        </w:numPr>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主动公开情况</w:t>
      </w:r>
    </w:p>
    <w:p>
      <w:pPr>
        <w:ind w:firstLine="640" w:firstLineChars="200"/>
        <w:rPr>
          <w:rFonts w:ascii="仿宋_GB2312" w:hAnsi="仿宋" w:eastAsia="仿宋_GB2312"/>
          <w:sz w:val="32"/>
          <w:szCs w:val="32"/>
        </w:rPr>
      </w:pPr>
      <w:r>
        <w:rPr>
          <w:rFonts w:hint="eastAsia" w:ascii="仿宋_GB2312" w:hAnsi="仿宋" w:eastAsia="仿宋_GB2312"/>
          <w:sz w:val="32"/>
          <w:szCs w:val="32"/>
        </w:rPr>
        <w:t>充分发挥政府网站在信息公开中的平台作用，按</w:t>
      </w:r>
      <w:r>
        <w:rPr>
          <w:rFonts w:hint="eastAsia" w:ascii="仿宋_GB2312" w:hAnsi="仿宋" w:eastAsia="仿宋_GB2312" w:cs="Times New Roman"/>
          <w:sz w:val="32"/>
          <w:szCs w:val="32"/>
        </w:rPr>
        <w:t>照《政府信息公开条例》规</w:t>
      </w:r>
      <w:r>
        <w:rPr>
          <w:rFonts w:hint="eastAsia" w:ascii="仿宋_GB2312" w:hAnsi="仿宋" w:eastAsia="仿宋_GB2312"/>
          <w:sz w:val="32"/>
          <w:szCs w:val="32"/>
        </w:rPr>
        <w:t>定，逐项公开相关内容，根据反馈意见及时对内容进行整改；协调各部门梳理《职责清单》，并按照时效主动公开相关内容，202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年在</w:t>
      </w:r>
      <w:r>
        <w:rPr>
          <w:rFonts w:hint="eastAsia" w:ascii="仿宋_GB2312" w:hAnsi="仿宋" w:eastAsia="仿宋_GB2312"/>
          <w:sz w:val="32"/>
          <w:szCs w:val="32"/>
          <w:lang w:eastAsia="zh-CN"/>
        </w:rPr>
        <w:t>区</w:t>
      </w:r>
      <w:r>
        <w:rPr>
          <w:rFonts w:hint="eastAsia" w:ascii="仿宋_GB2312" w:hAnsi="仿宋" w:eastAsia="仿宋_GB2312"/>
          <w:sz w:val="32"/>
          <w:szCs w:val="32"/>
        </w:rPr>
        <w:t>政府网站主动公开信息</w:t>
      </w:r>
      <w:r>
        <w:rPr>
          <w:rFonts w:hint="eastAsia" w:ascii="仿宋_GB2312" w:hAnsi="仿宋" w:eastAsia="仿宋_GB2312"/>
          <w:sz w:val="32"/>
          <w:szCs w:val="32"/>
          <w:lang w:val="en-US" w:eastAsia="zh-CN"/>
        </w:rPr>
        <w:t xml:space="preserve"> 53</w:t>
      </w:r>
      <w:r>
        <w:rPr>
          <w:rFonts w:hint="eastAsia" w:ascii="仿宋_GB2312" w:hAnsi="仿宋" w:eastAsia="仿宋_GB2312"/>
          <w:sz w:val="32"/>
          <w:szCs w:val="32"/>
        </w:rPr>
        <w:t>条，使政府工作更加公开、透明，为群众提供更加便捷的在线服务。</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w:t>
      </w:r>
      <w:r>
        <w:rPr>
          <w:rFonts w:hint="eastAsia" w:ascii="仿宋_GB2312" w:hAnsi="宋体" w:eastAsia="仿宋_GB2312" w:cs="宋体"/>
          <w:spacing w:val="8"/>
          <w:kern w:val="0"/>
          <w:sz w:val="32"/>
          <w:szCs w:val="32"/>
          <w:lang w:val="en-US" w:eastAsia="zh-CN"/>
        </w:rPr>
        <w:t>三</w:t>
      </w:r>
      <w:r>
        <w:rPr>
          <w:rFonts w:hint="eastAsia" w:ascii="仿宋_GB2312" w:hAnsi="宋体" w:eastAsia="仿宋_GB2312" w:cs="宋体"/>
          <w:spacing w:val="8"/>
          <w:kern w:val="0"/>
          <w:sz w:val="32"/>
          <w:szCs w:val="32"/>
        </w:rPr>
        <w:t>）依申请公开情况</w:t>
      </w:r>
    </w:p>
    <w:p>
      <w:pPr>
        <w:ind w:firstLine="640" w:firstLineChars="200"/>
        <w:rPr>
          <w:rFonts w:hint="eastAsia"/>
        </w:rPr>
      </w:pPr>
      <w:r>
        <w:rPr>
          <w:rFonts w:hint="eastAsia" w:ascii="仿宋_GB2312" w:hAnsi="仿宋" w:eastAsia="仿宋_GB2312"/>
          <w:sz w:val="32"/>
          <w:szCs w:val="32"/>
          <w:lang w:val="en-US" w:eastAsia="zh-CN"/>
        </w:rPr>
        <w:t>潞城</w:t>
      </w:r>
      <w:r>
        <w:rPr>
          <w:rFonts w:hint="eastAsia" w:ascii="仿宋_GB2312" w:hAnsi="仿宋" w:eastAsia="仿宋_GB2312"/>
          <w:sz w:val="32"/>
          <w:szCs w:val="32"/>
        </w:rPr>
        <w:t>镇20</w:t>
      </w:r>
      <w:r>
        <w:rPr>
          <w:rFonts w:hint="eastAsia" w:ascii="仿宋_GB2312" w:hAnsi="仿宋" w:eastAsia="仿宋_GB2312"/>
          <w:sz w:val="32"/>
          <w:szCs w:val="32"/>
          <w:lang w:val="en-US" w:eastAsia="zh-CN"/>
        </w:rPr>
        <w:t>24</w:t>
      </w:r>
      <w:r>
        <w:rPr>
          <w:rFonts w:hint="eastAsia" w:ascii="仿宋_GB2312" w:hAnsi="仿宋" w:eastAsia="仿宋_GB2312"/>
          <w:sz w:val="32"/>
          <w:szCs w:val="32"/>
        </w:rPr>
        <w:t>年度收到依申请公开</w:t>
      </w:r>
      <w:r>
        <w:rPr>
          <w:rFonts w:hint="eastAsia" w:ascii="仿宋_GB2312" w:hAnsi="仿宋" w:eastAsia="仿宋_GB2312"/>
          <w:sz w:val="32"/>
          <w:szCs w:val="32"/>
          <w:lang w:val="en-US" w:eastAsia="zh-CN"/>
        </w:rPr>
        <w:t>30</w:t>
      </w:r>
      <w:r>
        <w:rPr>
          <w:rFonts w:hint="eastAsia" w:ascii="仿宋_GB2312" w:hAnsi="仿宋" w:eastAsia="仿宋_GB2312"/>
          <w:sz w:val="32"/>
          <w:szCs w:val="32"/>
        </w:rPr>
        <w:t>件，其中：当面申请</w:t>
      </w:r>
      <w:r>
        <w:rPr>
          <w:rFonts w:hint="eastAsia" w:ascii="仿宋_GB2312" w:hAnsi="仿宋" w:eastAsia="仿宋_GB2312"/>
          <w:sz w:val="32"/>
          <w:szCs w:val="32"/>
          <w:lang w:val="en-US" w:eastAsia="zh-CN"/>
        </w:rPr>
        <w:t>12</w:t>
      </w:r>
      <w:r>
        <w:rPr>
          <w:rFonts w:hint="eastAsia" w:ascii="仿宋_GB2312" w:hAnsi="仿宋" w:eastAsia="仿宋_GB2312"/>
          <w:sz w:val="32"/>
          <w:szCs w:val="32"/>
        </w:rPr>
        <w:t>件，邮寄</w:t>
      </w:r>
      <w:r>
        <w:rPr>
          <w:rFonts w:hint="eastAsia" w:ascii="仿宋_GB2312" w:hAnsi="仿宋" w:eastAsia="仿宋_GB2312"/>
          <w:sz w:val="32"/>
          <w:szCs w:val="32"/>
          <w:lang w:val="en-US" w:eastAsia="zh-CN"/>
        </w:rPr>
        <w:t>13</w:t>
      </w:r>
      <w:r>
        <w:rPr>
          <w:rFonts w:hint="eastAsia" w:ascii="仿宋_GB2312" w:hAnsi="仿宋" w:eastAsia="仿宋_GB2312"/>
          <w:sz w:val="32"/>
          <w:szCs w:val="32"/>
        </w:rPr>
        <w:t>件,电子邮箱</w:t>
      </w:r>
      <w:r>
        <w:rPr>
          <w:rFonts w:hint="eastAsia" w:ascii="仿宋_GB2312" w:hAnsi="仿宋" w:eastAsia="仿宋_GB2312"/>
          <w:sz w:val="32"/>
          <w:szCs w:val="32"/>
          <w:lang w:val="en-US" w:eastAsia="zh-CN"/>
        </w:rPr>
        <w:t>5</w:t>
      </w:r>
      <w:r>
        <w:rPr>
          <w:rFonts w:hint="eastAsia" w:ascii="仿宋_GB2312" w:hAnsi="仿宋" w:eastAsia="仿宋_GB2312"/>
          <w:sz w:val="32"/>
          <w:szCs w:val="32"/>
        </w:rPr>
        <w:t>件；已全部答复</w:t>
      </w:r>
      <w:r>
        <w:rPr>
          <w:rFonts w:hint="eastAsia" w:ascii="仿宋_GB2312" w:hAnsi="仿宋" w:eastAsia="仿宋_GB2312"/>
          <w:sz w:val="32"/>
          <w:szCs w:val="32"/>
          <w:lang w:val="en-US" w:eastAsia="zh-CN"/>
        </w:rPr>
        <w:t>24</w:t>
      </w:r>
      <w:r>
        <w:rPr>
          <w:rFonts w:hint="eastAsia" w:ascii="仿宋_GB2312" w:hAnsi="仿宋" w:eastAsia="仿宋_GB2312"/>
          <w:sz w:val="32"/>
          <w:szCs w:val="32"/>
        </w:rPr>
        <w:t>件，正在办理中</w:t>
      </w:r>
      <w:r>
        <w:rPr>
          <w:rFonts w:hint="eastAsia" w:ascii="仿宋_GB2312" w:hAnsi="仿宋" w:eastAsia="仿宋_GB2312"/>
          <w:sz w:val="32"/>
          <w:szCs w:val="32"/>
          <w:lang w:val="en-US" w:eastAsia="zh-CN"/>
        </w:rPr>
        <w:t>6</w:t>
      </w:r>
      <w:r>
        <w:rPr>
          <w:rFonts w:hint="eastAsia" w:ascii="仿宋_GB2312" w:hAnsi="仿宋" w:eastAsia="仿宋_GB2312"/>
          <w:sz w:val="32"/>
          <w:szCs w:val="32"/>
        </w:rPr>
        <w:t>件；申请行政复议</w:t>
      </w:r>
      <w:r>
        <w:rPr>
          <w:rFonts w:hint="eastAsia" w:ascii="仿宋_GB2312" w:hAnsi="仿宋" w:eastAsia="仿宋_GB2312"/>
          <w:sz w:val="32"/>
          <w:szCs w:val="32"/>
          <w:lang w:val="en-US" w:eastAsia="zh-CN"/>
        </w:rPr>
        <w:t>5</w:t>
      </w:r>
      <w:r>
        <w:rPr>
          <w:rFonts w:hint="eastAsia" w:ascii="仿宋_GB2312" w:hAnsi="仿宋" w:eastAsia="仿宋_GB2312"/>
          <w:sz w:val="32"/>
          <w:szCs w:val="32"/>
        </w:rPr>
        <w:t>件，</w:t>
      </w:r>
      <w:r>
        <w:rPr>
          <w:rFonts w:hint="eastAsia" w:ascii="仿宋_GB2312" w:hAnsi="仿宋" w:eastAsia="仿宋_GB2312"/>
          <w:sz w:val="32"/>
          <w:szCs w:val="32"/>
          <w:lang w:val="en-US" w:eastAsia="zh-CN"/>
        </w:rPr>
        <w:t>行政</w:t>
      </w:r>
      <w:r>
        <w:rPr>
          <w:rFonts w:hint="eastAsia" w:ascii="仿宋_GB2312" w:hAnsi="仿宋" w:eastAsia="仿宋_GB2312"/>
          <w:sz w:val="32"/>
          <w:szCs w:val="32"/>
        </w:rPr>
        <w:t>复议</w:t>
      </w:r>
      <w:r>
        <w:rPr>
          <w:rFonts w:hint="eastAsia" w:ascii="仿宋_GB2312" w:hAnsi="仿宋" w:eastAsia="仿宋_GB2312"/>
          <w:sz w:val="32"/>
          <w:szCs w:val="32"/>
          <w:lang w:val="en-US" w:eastAsia="zh-CN"/>
        </w:rPr>
        <w:t>结果维持1件</w:t>
      </w:r>
      <w:r>
        <w:rPr>
          <w:rFonts w:hint="eastAsia" w:ascii="仿宋_GB2312" w:hAnsi="仿宋" w:eastAsia="仿宋_GB2312"/>
          <w:sz w:val="32"/>
          <w:szCs w:val="32"/>
        </w:rPr>
        <w:t>，</w:t>
      </w:r>
      <w:r>
        <w:rPr>
          <w:rFonts w:hint="eastAsia" w:ascii="仿宋_GB2312" w:hAnsi="仿宋" w:eastAsia="仿宋_GB2312"/>
          <w:sz w:val="32"/>
          <w:szCs w:val="32"/>
          <w:lang w:val="en-US" w:eastAsia="zh-CN"/>
        </w:rPr>
        <w:t>结果纠正2件，尚未审结2件，</w:t>
      </w:r>
      <w:r>
        <w:rPr>
          <w:rFonts w:hint="eastAsia" w:ascii="仿宋_GB2312" w:hAnsi="仿宋" w:eastAsia="仿宋_GB2312"/>
          <w:sz w:val="32"/>
          <w:szCs w:val="32"/>
        </w:rPr>
        <w:t>诉讼</w:t>
      </w:r>
      <w:r>
        <w:rPr>
          <w:rFonts w:hint="eastAsia" w:ascii="仿宋_GB2312" w:hAnsi="仿宋" w:eastAsia="仿宋_GB2312"/>
          <w:sz w:val="32"/>
          <w:szCs w:val="32"/>
          <w:lang w:val="en-US" w:eastAsia="zh-CN"/>
        </w:rPr>
        <w:t>0件</w:t>
      </w:r>
      <w:r>
        <w:rPr>
          <w:rFonts w:hint="eastAsia" w:ascii="仿宋_GB2312" w:hAnsi="仿宋" w:eastAsia="仿宋_GB2312"/>
          <w:sz w:val="32"/>
          <w:szCs w:val="32"/>
        </w:rPr>
        <w:t>。</w:t>
      </w:r>
    </w:p>
    <w:p>
      <w:pPr>
        <w:pStyle w:val="2"/>
        <w:rPr>
          <w:rFonts w:hint="eastAsia"/>
        </w:rPr>
      </w:pP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2"/>
        <w:spacing w:line="560" w:lineRule="exact"/>
        <w:rPr>
          <w:rFonts w:hint="eastAsia"/>
        </w:rPr>
      </w:pPr>
    </w:p>
    <w:tbl>
      <w:tblPr>
        <w:tblStyle w:val="8"/>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hint="eastAsia" w:ascii="宋体" w:hAnsi="宋体" w:cs="宋体"/>
                <w:color w:val="000000"/>
                <w:kern w:val="0"/>
                <w:sz w:val="20"/>
                <w:szCs w:val="20"/>
                <w:lang w:val="en-US" w:eastAsia="zh-CN" w:bidi="ar"/>
              </w:rPr>
              <w:t>2421</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r>
    </w:tbl>
    <w:p>
      <w:pPr>
        <w:pStyle w:val="2"/>
        <w:spacing w:line="560" w:lineRule="exact"/>
        <w:rPr>
          <w:rFonts w:hint="eastAsia"/>
        </w:rPr>
      </w:pPr>
    </w:p>
    <w:p>
      <w:pPr>
        <w:pStyle w:val="2"/>
        <w:spacing w:line="560" w:lineRule="exact"/>
        <w:rPr>
          <w:rFonts w:hint="eastAsia"/>
        </w:rPr>
      </w:pPr>
    </w:p>
    <w:p>
      <w:pPr>
        <w:numPr>
          <w:ilvl w:val="0"/>
          <w:numId w:val="2"/>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7"/>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7"/>
        <w:gridCol w:w="943"/>
        <w:gridCol w:w="3216"/>
        <w:gridCol w:w="691"/>
        <w:gridCol w:w="688"/>
        <w:gridCol w:w="688"/>
        <w:gridCol w:w="688"/>
        <w:gridCol w:w="688"/>
        <w:gridCol w:w="688"/>
        <w:gridCol w:w="69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spacing w:line="560" w:lineRule="exact"/>
              <w:rPr>
                <w:rFonts w:hint="eastAsia" w:ascii="宋体"/>
                <w:sz w:val="24"/>
              </w:rPr>
            </w:pPr>
          </w:p>
        </w:tc>
        <w:tc>
          <w:tcPr>
            <w:tcW w:w="714"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自然人</w:t>
            </w:r>
          </w:p>
        </w:tc>
        <w:tc>
          <w:tcPr>
            <w:tcW w:w="357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法人或其他组织</w:t>
            </w:r>
          </w:p>
        </w:tc>
        <w:tc>
          <w:tcPr>
            <w:tcW w:w="714" w:type="dxa"/>
            <w:vMerge w:val="restart"/>
            <w:tcBorders>
              <w:top w:val="single" w:color="auto" w:sz="8" w:space="0"/>
              <w:left w:val="single" w:color="auto" w:sz="0" w:space="0"/>
              <w:bottom w:val="outset"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spacing w:line="560" w:lineRule="exact"/>
              <w:rPr>
                <w:rFonts w:hint="eastAsia" w:ascii="宋体"/>
                <w:sz w:val="24"/>
              </w:rPr>
            </w:pPr>
          </w:p>
        </w:tc>
        <w:tc>
          <w:tcPr>
            <w:tcW w:w="714"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spacing w:line="560" w:lineRule="exact"/>
              <w:rPr>
                <w:rFonts w:hint="eastAsia" w:ascii="宋体"/>
                <w:sz w:val="24"/>
              </w:rPr>
            </w:pPr>
          </w:p>
        </w:tc>
        <w:tc>
          <w:tcPr>
            <w:tcW w:w="714"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商业</w:t>
            </w:r>
          </w:p>
          <w:p>
            <w:pPr>
              <w:widowControl/>
              <w:spacing w:line="560" w:lineRule="exact"/>
              <w:jc w:val="center"/>
            </w:pPr>
            <w:r>
              <w:rPr>
                <w:rFonts w:hint="eastAsia" w:ascii="宋体" w:hAnsi="宋体" w:cs="宋体"/>
                <w:kern w:val="0"/>
                <w:sz w:val="20"/>
                <w:szCs w:val="20"/>
                <w:lang w:bidi="ar"/>
              </w:rPr>
              <w:t>企业</w:t>
            </w:r>
          </w:p>
        </w:tc>
        <w:tc>
          <w:tcPr>
            <w:tcW w:w="714"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科研</w:t>
            </w:r>
          </w:p>
          <w:p>
            <w:pPr>
              <w:widowControl/>
              <w:spacing w:line="560" w:lineRule="exact"/>
              <w:jc w:val="center"/>
            </w:pPr>
            <w:r>
              <w:rPr>
                <w:rFonts w:hint="eastAsia" w:ascii="宋体" w:hAnsi="宋体" w:cs="宋体"/>
                <w:kern w:val="0"/>
                <w:sz w:val="20"/>
                <w:szCs w:val="20"/>
                <w:lang w:bidi="ar"/>
              </w:rPr>
              <w:t>机构</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社会公益组织</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法律服务机构</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其他</w:t>
            </w:r>
          </w:p>
        </w:tc>
        <w:tc>
          <w:tcPr>
            <w:tcW w:w="714" w:type="dxa"/>
            <w:vMerge w:val="continue"/>
            <w:tcBorders>
              <w:top w:val="single" w:color="auto" w:sz="8" w:space="0"/>
              <w:left w:val="single" w:color="auto" w:sz="0" w:space="0"/>
              <w:bottom w:val="outset" w:color="auto" w:sz="8" w:space="0"/>
              <w:right w:val="single" w:color="auto" w:sz="8" w:space="0"/>
            </w:tcBorders>
            <w:shd w:val="clear" w:color="auto" w:fill="9BC2E6"/>
            <w:noWrap w:val="0"/>
            <w:tcMar>
              <w:left w:w="57" w:type="dxa"/>
              <w:right w:w="57" w:type="dxa"/>
            </w:tcMar>
            <w:vAlign w:val="center"/>
          </w:tcPr>
          <w:p>
            <w:pPr>
              <w:spacing w:line="560" w:lineRule="exact"/>
              <w:rPr>
                <w:rFonts w:hint="eastAsia"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一、本年新收政府信息公开申请数量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hint="eastAsia" w:ascii="Calibri" w:hAnsi="Calibri" w:cs="Calibri"/>
                <w:kern w:val="0"/>
                <w:sz w:val="20"/>
                <w:szCs w:val="20"/>
                <w:lang w:val="en-US" w:eastAsia="zh-CN" w:bidi="ar"/>
              </w:rPr>
              <w:t>29</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30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二、上年结转政府信息公开申请数量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hint="eastAsia"/>
                <w:lang w:val="en-US" w:eastAsia="zh-CN"/>
              </w:rPr>
              <w:t>4</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三、本年度办理结果</w:t>
            </w: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（一）予以公开</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5</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hint="eastAsia" w:ascii="Calibri" w:hAnsi="Calibri" w:cs="Calibri"/>
                <w:kern w:val="0"/>
                <w:sz w:val="20"/>
                <w:szCs w:val="20"/>
                <w:lang w:val="en-US" w:eastAsia="zh-CN" w:bidi="ar"/>
              </w:rPr>
              <w:t>12</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default" w:eastAsiaTheme="minorEastAsia"/>
                <w:lang w:val="en-US" w:eastAsia="zh-CN"/>
              </w:rPr>
            </w:pPr>
            <w:r>
              <w:rPr>
                <w:rFonts w:hint="eastAsia" w:ascii="Calibri" w:hAnsi="Calibri" w:cs="Calibri"/>
                <w:kern w:val="0"/>
                <w:sz w:val="20"/>
                <w:szCs w:val="20"/>
                <w:lang w:val="en-US" w:eastAsia="zh-CN" w:bidi="ar"/>
              </w:rPr>
              <w:t>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59"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（三）不予公开</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1.属于国家秘密</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eastAsia="zh-CN"/>
              </w:rPr>
            </w:pPr>
            <w:r>
              <w:rPr>
                <w:rFonts w:hint="eastAsia" w:ascii="Calibri" w:hAnsi="Calibri"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lang w:val="en-US" w:eastAsia="zh-CN"/>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59"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2.其他法律行政法规禁止公开</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59"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3.危及“三安全一稳定”</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59"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4.保护第三方合法权益</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default"/>
                <w:lang w:val="en-US"/>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default"/>
                <w:lang w:val="en-US"/>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59"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5.属于三类内部事务信息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59"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406" w:type="dxa"/>
            <w:tcBorders>
              <w:top w:val="nil"/>
              <w:left w:val="nil"/>
              <w:bottom w:val="single" w:color="auto" w:sz="4"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6.属于四类过程性信息</w:t>
            </w:r>
          </w:p>
        </w:tc>
        <w:tc>
          <w:tcPr>
            <w:tcW w:w="714"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59"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406" w:type="dxa"/>
            <w:tcBorders>
              <w:top w:val="single" w:color="auto" w:sz="4" w:space="0"/>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7.属于行政执法案卷</w:t>
            </w:r>
          </w:p>
        </w:tc>
        <w:tc>
          <w:tcPr>
            <w:tcW w:w="714"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59"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8.属于行政查询事项</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59"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（四）无法提供</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1.本机关不掌握相关政府信息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8</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59"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2.没有现成信息需要另行制作</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59"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3.补正后申请内容仍不明确</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59"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（五）不予处理</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1.信访举报投诉类申请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59"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2.重复申请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59"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3.要求提供公开出版物</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59"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4.无正当理由大量反复申请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27" w:hRule="atLeast"/>
          <w:jc w:val="center"/>
        </w:trPr>
        <w:tc>
          <w:tcPr>
            <w:tcW w:w="785"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59"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406" w:type="dxa"/>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pPr>
            <w:r>
              <w:rPr>
                <w:rFonts w:hint="eastAsia" w:ascii="宋体" w:hAnsi="宋体" w:cs="宋体"/>
                <w:kern w:val="0"/>
                <w:sz w:val="20"/>
                <w:szCs w:val="20"/>
                <w:lang w:bidi="ar"/>
              </w:rPr>
              <w:t>5.要求行政机关确认或重新出具已获取信息</w:t>
            </w:r>
          </w:p>
        </w:tc>
        <w:tc>
          <w:tcPr>
            <w:tcW w:w="714"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714"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714"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714"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59" w:type="dxa"/>
            <w:vMerge w:val="restart"/>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（六）其他处理</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pPr>
            <w:r>
              <w:rPr>
                <w:rFonts w:hint="eastAsia" w:ascii="宋体" w:hAnsi="宋体" w:cs="宋体"/>
                <w:kern w:val="0"/>
                <w:sz w:val="20"/>
                <w:szCs w:val="20"/>
                <w:lang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ascii="Calibri" w:hAnsi="Calibri" w:cs="Calibri"/>
                <w:kern w:val="0"/>
                <w:sz w:val="20"/>
                <w:szCs w:val="20"/>
                <w:lang w:bidi="ar"/>
              </w:rPr>
            </w:pPr>
            <w:r>
              <w:rPr>
                <w:rFonts w:ascii="Calibri" w:hAnsi="Calibri" w:cs="Calibri"/>
                <w:kern w:val="0"/>
                <w:sz w:val="20"/>
                <w:szCs w:val="20"/>
                <w:lang w:bidi="ar"/>
              </w:rPr>
              <w:t> </w:t>
            </w:r>
          </w:p>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59" w:type="dxa"/>
            <w:vMerge w:val="continue"/>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pPr>
            <w:r>
              <w:rPr>
                <w:rFonts w:hint="eastAsia" w:ascii="宋体" w:hAnsi="宋体" w:cs="宋体"/>
                <w:kern w:val="0"/>
                <w:sz w:val="20"/>
                <w:szCs w:val="20"/>
                <w:lang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Calibri" w:hAnsi="Calibri" w:cs="Calibri"/>
                <w:kern w:val="0"/>
                <w:sz w:val="20"/>
                <w:szCs w:val="20"/>
                <w:lang w:val="en-US" w:eastAsia="zh-CN" w:bidi="ar"/>
              </w:rPr>
            </w:pPr>
          </w:p>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59" w:type="dxa"/>
            <w:vMerge w:val="continue"/>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3.其他</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1</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785"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（七）总计</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27</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lang w:val="en-US" w:eastAsia="zh-CN"/>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28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四、结转下年度继续办理</w:t>
            </w:r>
          </w:p>
        </w:tc>
        <w:tc>
          <w:tcPr>
            <w:tcW w:w="0" w:type="auto"/>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6</w:t>
            </w:r>
          </w:p>
        </w:tc>
        <w:tc>
          <w:tcPr>
            <w:tcW w:w="0" w:type="auto"/>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6</w:t>
            </w:r>
          </w:p>
        </w:tc>
      </w:tr>
    </w:tbl>
    <w:p>
      <w:pPr>
        <w:pStyle w:val="2"/>
        <w:spacing w:line="560" w:lineRule="exact"/>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spacing w:line="560" w:lineRule="exact"/>
        <w:jc w:val="cente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1</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2</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2</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5</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Theme="minorEastAsia"/>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Theme="minorEastAsia"/>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Theme="minorEastAsia"/>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Theme="minorEastAsia"/>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Theme="minorEastAsia"/>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Theme="minorEastAsia"/>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Theme="minorEastAsia"/>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Theme="minorEastAsia"/>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r>
    </w:tbl>
    <w:p>
      <w:pPr>
        <w:widowControl/>
        <w:spacing w:line="560" w:lineRule="exact"/>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pStyle w:val="2"/>
        <w:numPr>
          <w:ilvl w:val="0"/>
          <w:numId w:val="0"/>
        </w:numPr>
        <w:ind w:leftChars="200"/>
        <w:rPr>
          <w:rFonts w:hint="default" w:eastAsia="宋体"/>
          <w:lang w:val="en-US" w:eastAsia="zh-CN"/>
        </w:rPr>
      </w:pPr>
      <w:r>
        <w:rPr>
          <w:rFonts w:hint="eastAsia" w:ascii="仿宋_GB2312" w:hAnsi="宋体" w:eastAsia="仿宋_GB2312" w:cs="宋体"/>
          <w:spacing w:val="8"/>
          <w:kern w:val="0"/>
          <w:sz w:val="32"/>
          <w:szCs w:val="32"/>
          <w:lang w:val="en-US" w:eastAsia="zh-CN" w:bidi="ar-SA"/>
        </w:rPr>
        <w:t>（一）主要问题</w:t>
      </w:r>
    </w:p>
    <w:p>
      <w:pPr>
        <w:pStyle w:val="2"/>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一是主动公开</w:t>
      </w:r>
      <w:r>
        <w:rPr>
          <w:rFonts w:hint="eastAsia" w:ascii="仿宋_GB2312" w:hAnsi="Times New Roman" w:eastAsia="仿宋_GB2312" w:cs="Times New Roman"/>
          <w:sz w:val="32"/>
          <w:szCs w:val="32"/>
          <w:lang w:eastAsia="zh-CN"/>
        </w:rPr>
        <w:t>内容不够丰富。政府信息与公众的需求还存在一定距离，</w:t>
      </w:r>
      <w:r>
        <w:rPr>
          <w:rFonts w:hint="eastAsia" w:ascii="仿宋_GB2312" w:hAnsi="Times New Roman" w:eastAsia="仿宋_GB2312" w:cs="Times New Roman"/>
          <w:sz w:val="32"/>
          <w:szCs w:val="32"/>
          <w:lang w:val="en-US" w:eastAsia="zh-CN"/>
        </w:rPr>
        <w:t>与群众期待仍有差距。</w:t>
      </w:r>
    </w:p>
    <w:p>
      <w:pPr>
        <w:pStyle w:val="2"/>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二是依申请公开答复不够充分。有时答复口径存在出入，导致答复不够清晰、准确。</w:t>
      </w:r>
    </w:p>
    <w:p>
      <w:pPr>
        <w:pStyle w:val="2"/>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二）改进情况</w:t>
      </w:r>
    </w:p>
    <w:p>
      <w:pPr>
        <w:pStyle w:val="2"/>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一是</w:t>
      </w:r>
      <w:r>
        <w:rPr>
          <w:rFonts w:hint="eastAsia" w:ascii="仿宋_GB2312" w:hAnsi="Times New Roman" w:eastAsia="仿宋_GB2312" w:cs="Times New Roman"/>
          <w:sz w:val="32"/>
          <w:szCs w:val="32"/>
          <w:lang w:eastAsia="zh-CN"/>
        </w:rPr>
        <w:t>加强对公众关注度高的政府信息的梳理，</w:t>
      </w:r>
      <w:r>
        <w:rPr>
          <w:rFonts w:hint="eastAsia" w:ascii="仿宋_GB2312" w:hAnsi="Times New Roman" w:eastAsia="仿宋_GB2312" w:cs="Times New Roman"/>
          <w:sz w:val="32"/>
          <w:szCs w:val="32"/>
          <w:lang w:val="en-US" w:eastAsia="zh-CN"/>
        </w:rPr>
        <w:t>重点关注百姓文体生活方面信息需求，丰富公开内容。</w:t>
      </w:r>
    </w:p>
    <w:p>
      <w:pPr>
        <w:widowControl/>
        <w:spacing w:line="560" w:lineRule="exact"/>
        <w:ind w:firstLine="675"/>
        <w:jc w:val="left"/>
        <w:rPr>
          <w:rFonts w:hint="default" w:ascii="仿宋_GB2312" w:hAnsi="Times New Roman" w:eastAsia="仿宋_GB2312" w:cs="Times New Roman"/>
          <w:sz w:val="32"/>
          <w:szCs w:val="32"/>
          <w:lang w:val="en-US" w:eastAsia="zh-CN"/>
        </w:rPr>
      </w:pPr>
      <w:r>
        <w:rPr>
          <w:rFonts w:hint="eastAsia" w:ascii="仿宋_GB2312" w:hAnsi="Times New Roman" w:eastAsia="仿宋_GB2312"/>
          <w:sz w:val="32"/>
          <w:szCs w:val="32"/>
          <w:lang w:val="en-US" w:eastAsia="zh-CN"/>
        </w:rPr>
        <w:t>二</w:t>
      </w:r>
      <w:r>
        <w:rPr>
          <w:rFonts w:hint="eastAsia" w:ascii="仿宋_GB2312" w:hAnsi="Times New Roman" w:eastAsia="仿宋_GB2312" w:cs="Times New Roman"/>
          <w:sz w:val="32"/>
          <w:szCs w:val="32"/>
          <w:lang w:val="en-US" w:eastAsia="zh-CN"/>
        </w:rPr>
        <w:t>是加强工作人员的培训，定期学习解读《政府信息公开条例》，提高工作人员对政府信息公开工作的重视程度和业务水平和科室之间对接内容的准确性，答复内容更细化、更清晰。</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spacing w:line="540" w:lineRule="exact"/>
        <w:ind w:firstLine="629"/>
        <w:rPr>
          <w:rFonts w:hint="eastAsia" w:ascii="仿宋_GB2312" w:hAnsi="Times New Roman" w:eastAsia="仿宋_GB2312"/>
          <w:sz w:val="32"/>
          <w:szCs w:val="32"/>
        </w:rPr>
      </w:pPr>
      <w:r>
        <w:rPr>
          <w:rFonts w:ascii="宋体" w:hAnsi="宋体" w:cs="宋体"/>
          <w:spacing w:val="8"/>
          <w:kern w:val="0"/>
          <w:sz w:val="32"/>
          <w:szCs w:val="32"/>
        </w:rPr>
        <w:t>　　</w:t>
      </w:r>
      <w:r>
        <w:rPr>
          <w:rFonts w:hint="eastAsia" w:ascii="仿宋_GB2312" w:hAnsi="Times New Roman" w:eastAsia="仿宋_GB2312"/>
          <w:sz w:val="32"/>
          <w:szCs w:val="32"/>
        </w:rPr>
        <w:t>根据《政府信息公开信息处理费管理办法》(国办函〔2020〕109号)，202</w:t>
      </w:r>
      <w:r>
        <w:rPr>
          <w:rFonts w:hint="eastAsia" w:ascii="仿宋_GB2312" w:hAnsi="Times New Roman" w:eastAsia="仿宋_GB2312"/>
          <w:sz w:val="32"/>
          <w:szCs w:val="32"/>
          <w:lang w:val="en-US" w:eastAsia="zh-CN"/>
        </w:rPr>
        <w:t>4</w:t>
      </w:r>
      <w:r>
        <w:rPr>
          <w:rFonts w:hint="eastAsia" w:ascii="仿宋_GB2312" w:hAnsi="Times New Roman" w:eastAsia="仿宋_GB2312"/>
          <w:sz w:val="32"/>
          <w:szCs w:val="32"/>
        </w:rPr>
        <w:t>年度</w:t>
      </w:r>
      <w:r>
        <w:rPr>
          <w:rFonts w:hint="eastAsia" w:ascii="仿宋_GB2312" w:hAnsi="Times New Roman" w:eastAsia="仿宋_GB2312"/>
          <w:sz w:val="32"/>
          <w:szCs w:val="32"/>
          <w:lang w:val="en-US" w:eastAsia="zh-CN"/>
        </w:rPr>
        <w:t>潞城</w:t>
      </w:r>
      <w:r>
        <w:rPr>
          <w:rFonts w:hint="eastAsia" w:ascii="仿宋_GB2312" w:hAnsi="Times New Roman" w:eastAsia="仿宋_GB2312"/>
          <w:sz w:val="32"/>
          <w:szCs w:val="32"/>
        </w:rPr>
        <w:t>镇人民政府收取信息处理费情况为：发出收费通知的件数为0件，总金额为0元，实际收取的总金额为0元。</w:t>
      </w:r>
    </w:p>
    <w:p>
      <w:pPr>
        <w:spacing w:line="540" w:lineRule="exact"/>
      </w:pPr>
      <w:r>
        <w:rPr>
          <w:rFonts w:hint="eastAsia" w:ascii="仿宋_GB2312" w:hAnsi="Times New Roman" w:eastAsia="仿宋_GB2312"/>
          <w:sz w:val="32"/>
          <w:szCs w:val="32"/>
        </w:rPr>
        <w:t>北京市通州区人民政府网站网址为http://www.bjtzh.gov.cn/，如需了解更多政府信息，请登录查询。</w:t>
      </w:r>
    </w:p>
    <w:p>
      <w:pPr>
        <w:pStyle w:val="2"/>
        <w:spacing w:line="560" w:lineRule="exact"/>
        <w:rPr>
          <w:rFonts w:hint="eastAsia"/>
        </w:rPr>
      </w:pPr>
    </w:p>
    <w:p>
      <w:pPr>
        <w:pStyle w:val="2"/>
        <w:spacing w:line="560" w:lineRule="exact"/>
        <w:rPr>
          <w:rFonts w:hint="eastAsia"/>
        </w:rPr>
      </w:pPr>
    </w:p>
    <w:p>
      <w:pPr>
        <w:pStyle w:val="2"/>
        <w:spacing w:line="560" w:lineRule="exact"/>
        <w:rPr>
          <w:rFonts w:hint="eastAsia"/>
        </w:rPr>
      </w:pP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pPr>
        <w:pStyle w:val="2"/>
        <w:jc w:val="both"/>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abstractNum w:abstractNumId="1">
    <w:nsid w:val="69575774"/>
    <w:multiLevelType w:val="singleLevel"/>
    <w:tmpl w:val="6957577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jZTdjODNhNmU5MGMyNTg1ODJiZThhMzlkZWE3YmIifQ=="/>
  </w:docVars>
  <w:rsids>
    <w:rsidRoot w:val="30807B4B"/>
    <w:rsid w:val="00442DB0"/>
    <w:rsid w:val="041F4640"/>
    <w:rsid w:val="05D85E3B"/>
    <w:rsid w:val="05E4647C"/>
    <w:rsid w:val="0ABA6173"/>
    <w:rsid w:val="0AE80091"/>
    <w:rsid w:val="0B9064BE"/>
    <w:rsid w:val="0C082AAD"/>
    <w:rsid w:val="0CC11C92"/>
    <w:rsid w:val="0E36675F"/>
    <w:rsid w:val="0F071AFE"/>
    <w:rsid w:val="11205883"/>
    <w:rsid w:val="13002EED"/>
    <w:rsid w:val="134E798B"/>
    <w:rsid w:val="14A80DA5"/>
    <w:rsid w:val="17D26A70"/>
    <w:rsid w:val="1A7D285E"/>
    <w:rsid w:val="1B2C1A76"/>
    <w:rsid w:val="1B543C65"/>
    <w:rsid w:val="1DBF0083"/>
    <w:rsid w:val="1F996766"/>
    <w:rsid w:val="1FFB0140"/>
    <w:rsid w:val="24010760"/>
    <w:rsid w:val="25315F52"/>
    <w:rsid w:val="26913541"/>
    <w:rsid w:val="299920BB"/>
    <w:rsid w:val="2BEB3657"/>
    <w:rsid w:val="2CE40508"/>
    <w:rsid w:val="2D47153F"/>
    <w:rsid w:val="2D862FF9"/>
    <w:rsid w:val="2ED871E9"/>
    <w:rsid w:val="30807B4B"/>
    <w:rsid w:val="31413674"/>
    <w:rsid w:val="318DF538"/>
    <w:rsid w:val="3221404A"/>
    <w:rsid w:val="327FC6D4"/>
    <w:rsid w:val="332871CB"/>
    <w:rsid w:val="33BD4470"/>
    <w:rsid w:val="34817233"/>
    <w:rsid w:val="385E5017"/>
    <w:rsid w:val="3967423C"/>
    <w:rsid w:val="39F209D1"/>
    <w:rsid w:val="3B546DFA"/>
    <w:rsid w:val="3BA64029"/>
    <w:rsid w:val="3BE8322F"/>
    <w:rsid w:val="3BF015BF"/>
    <w:rsid w:val="3C246C86"/>
    <w:rsid w:val="3F177636"/>
    <w:rsid w:val="3FB5178A"/>
    <w:rsid w:val="3FD15EAF"/>
    <w:rsid w:val="40DD0B8E"/>
    <w:rsid w:val="44F55CE1"/>
    <w:rsid w:val="486F26F2"/>
    <w:rsid w:val="488E7D6F"/>
    <w:rsid w:val="4A751FBB"/>
    <w:rsid w:val="4B7A615D"/>
    <w:rsid w:val="4CF21E21"/>
    <w:rsid w:val="4CF54579"/>
    <w:rsid w:val="4E767533"/>
    <w:rsid w:val="52305BB2"/>
    <w:rsid w:val="535D2A8E"/>
    <w:rsid w:val="537A699B"/>
    <w:rsid w:val="53A771E4"/>
    <w:rsid w:val="53D538D6"/>
    <w:rsid w:val="54FB6504"/>
    <w:rsid w:val="566E25A6"/>
    <w:rsid w:val="56980686"/>
    <w:rsid w:val="584339B6"/>
    <w:rsid w:val="5B45742E"/>
    <w:rsid w:val="5B885BB0"/>
    <w:rsid w:val="5E0C38E2"/>
    <w:rsid w:val="5F0C50B4"/>
    <w:rsid w:val="628544F4"/>
    <w:rsid w:val="63941218"/>
    <w:rsid w:val="661750EF"/>
    <w:rsid w:val="67201D7D"/>
    <w:rsid w:val="67384093"/>
    <w:rsid w:val="691875C8"/>
    <w:rsid w:val="6BA240C1"/>
    <w:rsid w:val="6C660F51"/>
    <w:rsid w:val="6C7926D4"/>
    <w:rsid w:val="6D5D5120"/>
    <w:rsid w:val="6D677B57"/>
    <w:rsid w:val="6DAF5EC3"/>
    <w:rsid w:val="6DE128CD"/>
    <w:rsid w:val="6EA91C0A"/>
    <w:rsid w:val="6EAD309C"/>
    <w:rsid w:val="6FE850EB"/>
    <w:rsid w:val="74550C88"/>
    <w:rsid w:val="75432B9D"/>
    <w:rsid w:val="782567A5"/>
    <w:rsid w:val="79333E39"/>
    <w:rsid w:val="7BDB1E9F"/>
    <w:rsid w:val="7C55591F"/>
    <w:rsid w:val="7ECB27F6"/>
    <w:rsid w:val="7FFA135B"/>
    <w:rsid w:val="B79B2EF7"/>
    <w:rsid w:val="BAEBDFCE"/>
    <w:rsid w:val="EA7E8771"/>
    <w:rsid w:val="EB0BB7E6"/>
    <w:rsid w:val="EFB63E58"/>
    <w:rsid w:val="FDEA7CF5"/>
    <w:rsid w:val="FFDE8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ody Text"/>
    <w:basedOn w:val="1"/>
    <w:qFormat/>
    <w:uiPriority w:val="0"/>
    <w:rPr>
      <w:rFonts w:eastAsia="宋体"/>
      <w:bCs/>
      <w:color w:val="auto"/>
      <w:szCs w:val="24"/>
    </w:rPr>
  </w:style>
  <w:style w:type="paragraph" w:styleId="4">
    <w:name w:val="toc 3"/>
    <w:basedOn w:val="1"/>
    <w:next w:val="1"/>
    <w:semiHidden/>
    <w:unhideWhenUsed/>
    <w:qFormat/>
    <w:uiPriority w:val="39"/>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10">
    <w:name w:val="Hyperlink"/>
    <w:basedOn w:val="9"/>
    <w:qFormat/>
    <w:uiPriority w:val="0"/>
    <w:rPr>
      <w:color w:val="333333"/>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1068</Words>
  <Characters>1115</Characters>
  <Lines>0</Lines>
  <Paragraphs>0</Paragraphs>
  <TotalTime>8</TotalTime>
  <ScaleCrop>false</ScaleCrop>
  <LinksUpToDate>false</LinksUpToDate>
  <CharactersWithSpaces>1164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2020-12-16T15:14:00Z</dcterms:created>
  <dc:creator>HS</dc:creator>
  <cp:lastModifiedBy>user</cp:lastModifiedBy>
  <cp:lastPrinted>2025-01-08T17:26:00Z</cp:lastPrinted>
  <dcterms:modified xsi:type="dcterms:W3CDTF">2025-01-15T16:12:13Z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FE31FDA3AF9A44E7908C228B7DFF7827_13</vt:lpwstr>
  </property>
  <property fmtid="{D5CDD505-2E9C-101B-9397-08002B2CF9AE}" pid="4" name="KSOTemplateDocerSaveRecord">
    <vt:lpwstr>eyJoZGlkIjoiZWRmM2Y4MmQ1ODlmNjg2ZmFkNDdmZTZmYjllYjk4OTEiLCJ1c2VySWQiOiIyNjQ2MzUyNDEifQ==</vt:lpwstr>
  </property>
</Properties>
</file>