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bookmarkStart w:id="0" w:name="_GoBack"/>
      <w:r>
        <w:rPr>
          <w:rFonts w:hint="eastAsia" w:ascii="方正小标宋简体" w:hAnsi="方正小标宋简体" w:eastAsia="方正小标宋简体" w:cs="方正小标宋简体"/>
          <w:sz w:val="44"/>
          <w:szCs w:val="44"/>
          <w:highlight w:val="none"/>
          <w:lang w:eastAsia="zh-CN"/>
        </w:rPr>
        <w:t>北京市通州区审计局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p>
    <w:bookmarkEnd w:id="0"/>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年，通州区审计局</w:t>
      </w:r>
      <w:r>
        <w:rPr>
          <w:rFonts w:hint="eastAsia" w:ascii="仿宋_GB2312" w:hAnsi="宋体" w:eastAsia="仿宋_GB2312" w:cs="宋体"/>
          <w:spacing w:val="8"/>
          <w:kern w:val="0"/>
          <w:sz w:val="32"/>
          <w:szCs w:val="32"/>
          <w:lang w:val="en-US" w:eastAsia="zh-CN"/>
        </w:rPr>
        <w:t>信息公开工作坚持以习近平新时代中国特色社会主义思想为指导，全面贯彻党的二十大和二十届三中全会精神，认真学习贯彻《政府信息公开条例》，</w:t>
      </w:r>
      <w:r>
        <w:rPr>
          <w:rFonts w:hint="eastAsia" w:ascii="仿宋_GB2312" w:hAnsi="宋体" w:eastAsia="仿宋_GB2312" w:cs="宋体"/>
          <w:spacing w:val="8"/>
          <w:kern w:val="0"/>
          <w:sz w:val="32"/>
          <w:szCs w:val="32"/>
        </w:rPr>
        <w:t>全面落实</w:t>
      </w:r>
      <w:r>
        <w:rPr>
          <w:rFonts w:hint="eastAsia" w:ascii="仿宋_GB2312" w:hAnsi="宋体" w:eastAsia="仿宋_GB2312" w:cs="宋体"/>
          <w:spacing w:val="8"/>
          <w:kern w:val="0"/>
          <w:sz w:val="32"/>
          <w:szCs w:val="32"/>
          <w:lang w:eastAsia="zh-CN"/>
        </w:rPr>
        <w:t>政府信息公开工作</w:t>
      </w:r>
      <w:r>
        <w:rPr>
          <w:rFonts w:hint="eastAsia" w:ascii="仿宋_GB2312" w:hAnsi="宋体" w:eastAsia="仿宋_GB2312" w:cs="宋体"/>
          <w:spacing w:val="8"/>
          <w:kern w:val="0"/>
          <w:sz w:val="32"/>
          <w:szCs w:val="32"/>
        </w:rPr>
        <w:t>各项要求，扎实推进政府信息和政务公开工作</w:t>
      </w:r>
      <w:r>
        <w:rPr>
          <w:rFonts w:hint="eastAsia" w:ascii="仿宋_GB2312" w:hAnsi="宋体" w:eastAsia="仿宋_GB2312" w:cs="宋体"/>
          <w:spacing w:val="8"/>
          <w:kern w:val="0"/>
          <w:sz w:val="32"/>
          <w:szCs w:val="32"/>
          <w:lang w:eastAsia="zh-CN"/>
        </w:rPr>
        <w:t>落实落地</w:t>
      </w:r>
      <w:r>
        <w:rPr>
          <w:rFonts w:hint="eastAsia" w:ascii="仿宋_GB2312" w:hAnsi="宋体" w:eastAsia="仿宋_GB2312" w:cs="宋体"/>
          <w:spacing w:val="8"/>
          <w:kern w:val="0"/>
          <w:sz w:val="32"/>
          <w:szCs w:val="32"/>
        </w:rPr>
        <w:t>。</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仿宋_GB2312" w:eastAsia="仿宋_GB2312" w:cs="仿宋_GB2312"/>
          <w:sz w:val="32"/>
          <w:szCs w:val="32"/>
          <w:lang w:val="en-US" w:eastAsia="zh-CN"/>
        </w:rPr>
        <w:t>（一）主动公开。通州区审计局发布各类信息按照严把审批程序，明确发布范围，严审信息内容，注重信息实效的原则，实现信息公开的常态化、精细化、规范化。2024年</w:t>
      </w:r>
      <w:r>
        <w:rPr>
          <w:rFonts w:hint="eastAsia" w:ascii="仿宋_GB2312" w:hAnsi="宋体" w:eastAsia="仿宋_GB2312" w:cs="宋体"/>
          <w:spacing w:val="8"/>
          <w:kern w:val="0"/>
          <w:sz w:val="32"/>
          <w:szCs w:val="32"/>
          <w:lang w:val="en-US" w:eastAsia="zh-CN"/>
        </w:rPr>
        <w:t>在北京市通州区人民政府网站、北京市审计局网站、“北京审计”公众号等平台</w:t>
      </w:r>
      <w:r>
        <w:rPr>
          <w:rFonts w:hint="eastAsia" w:ascii="仿宋_GB2312" w:hAnsi="宋体" w:eastAsia="仿宋_GB2312" w:cs="宋体"/>
          <w:spacing w:val="8"/>
          <w:kern w:val="0"/>
          <w:sz w:val="32"/>
          <w:szCs w:val="32"/>
        </w:rPr>
        <w:t>主动公开</w:t>
      </w:r>
      <w:r>
        <w:rPr>
          <w:rFonts w:hint="eastAsia" w:ascii="仿宋_GB2312" w:hAnsi="宋体" w:eastAsia="仿宋_GB2312" w:cs="宋体"/>
          <w:spacing w:val="8"/>
          <w:kern w:val="0"/>
          <w:sz w:val="32"/>
          <w:szCs w:val="32"/>
          <w:lang w:eastAsia="zh-CN"/>
        </w:rPr>
        <w:t>各类</w:t>
      </w:r>
      <w:r>
        <w:rPr>
          <w:rFonts w:hint="eastAsia" w:ascii="仿宋_GB2312" w:hAnsi="宋体" w:eastAsia="仿宋_GB2312" w:cs="宋体"/>
          <w:spacing w:val="8"/>
          <w:kern w:val="0"/>
          <w:sz w:val="32"/>
          <w:szCs w:val="32"/>
        </w:rPr>
        <w:t>政府信息</w:t>
      </w:r>
      <w:r>
        <w:rPr>
          <w:rFonts w:hint="eastAsia" w:ascii="仿宋_GB2312" w:hAnsi="宋体" w:eastAsia="仿宋_GB2312" w:cs="宋体"/>
          <w:spacing w:val="8"/>
          <w:kern w:val="0"/>
          <w:sz w:val="32"/>
          <w:szCs w:val="32"/>
          <w:lang w:val="en-US" w:eastAsia="zh-CN"/>
        </w:rPr>
        <w:t>66</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，主要涉及贯彻落实会议精神、</w:t>
      </w:r>
      <w:r>
        <w:rPr>
          <w:rFonts w:hint="eastAsia" w:ascii="仿宋_GB2312" w:hAnsi="仿宋_GB2312" w:eastAsia="仿宋_GB2312" w:cs="仿宋_GB2312"/>
          <w:sz w:val="32"/>
          <w:szCs w:val="32"/>
          <w:lang w:val="en-US" w:eastAsia="zh-CN"/>
        </w:rPr>
        <w:t>创新审计方法、科技赋能审计工作、从严治党、反腐倡廉等内容</w:t>
      </w:r>
      <w:r>
        <w:rPr>
          <w:rFonts w:hint="eastAsia" w:ascii="仿宋_GB2312" w:hAnsi="宋体" w:eastAsia="仿宋_GB2312" w:cs="宋体"/>
          <w:spacing w:val="8"/>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pacing w:val="8"/>
          <w:kern w:val="0"/>
          <w:sz w:val="32"/>
          <w:szCs w:val="32"/>
        </w:rPr>
      </w:pPr>
      <w:r>
        <w:rPr>
          <w:rFonts w:hint="eastAsia" w:ascii="仿宋_GB2312" w:hAnsi="仿宋_GB2312" w:eastAsia="仿宋_GB2312" w:cs="仿宋_GB2312"/>
          <w:sz w:val="32"/>
          <w:szCs w:val="32"/>
          <w:lang w:val="en-US" w:eastAsia="zh-CN"/>
        </w:rPr>
        <w:t>（二）依申请公开。</w:t>
      </w:r>
      <w:r>
        <w:rPr>
          <w:rFonts w:hint="eastAsia" w:ascii="仿宋_GB2312" w:hAnsi="宋体" w:eastAsia="仿宋_GB2312" w:cs="宋体"/>
          <w:spacing w:val="8"/>
          <w:kern w:val="0"/>
          <w:sz w:val="32"/>
          <w:szCs w:val="32"/>
          <w:lang w:eastAsia="zh-CN"/>
        </w:rPr>
        <w:t>不断完善</w:t>
      </w:r>
      <w:r>
        <w:rPr>
          <w:rFonts w:hint="eastAsia" w:ascii="仿宋_GB2312" w:hAnsi="宋体" w:eastAsia="仿宋_GB2312" w:cs="宋体"/>
          <w:spacing w:val="8"/>
          <w:kern w:val="0"/>
          <w:sz w:val="32"/>
          <w:szCs w:val="32"/>
        </w:rPr>
        <w:t>公开渠道，规范公开程序。设专人负责依申请公开工作，确保渠道畅通</w:t>
      </w:r>
      <w:r>
        <w:rPr>
          <w:rFonts w:hint="eastAsia" w:ascii="仿宋_GB2312" w:hAnsi="宋体" w:eastAsia="仿宋_GB2312" w:cs="宋体"/>
          <w:spacing w:val="8"/>
          <w:kern w:val="0"/>
          <w:sz w:val="32"/>
          <w:szCs w:val="32"/>
          <w:lang w:eastAsia="zh-CN"/>
        </w:rPr>
        <w:t>多元</w:t>
      </w:r>
      <w:r>
        <w:rPr>
          <w:rFonts w:hint="eastAsia" w:ascii="仿宋_GB2312" w:hAnsi="宋体" w:eastAsia="仿宋_GB2312" w:cs="宋体"/>
          <w:spacing w:val="8"/>
          <w:kern w:val="0"/>
          <w:sz w:val="32"/>
          <w:szCs w:val="32"/>
        </w:rPr>
        <w:t>、程序</w:t>
      </w:r>
      <w:r>
        <w:rPr>
          <w:rFonts w:hint="eastAsia" w:ascii="仿宋_GB2312" w:hAnsi="宋体" w:eastAsia="仿宋_GB2312" w:cs="宋体"/>
          <w:spacing w:val="8"/>
          <w:kern w:val="0"/>
          <w:sz w:val="32"/>
          <w:szCs w:val="32"/>
          <w:lang w:eastAsia="zh-CN"/>
        </w:rPr>
        <w:t>依法合规</w:t>
      </w:r>
      <w:r>
        <w:rPr>
          <w:rFonts w:hint="eastAsia" w:ascii="仿宋_GB2312" w:hAnsi="宋体" w:eastAsia="仿宋_GB2312" w:cs="宋体"/>
          <w:spacing w:val="8"/>
          <w:kern w:val="0"/>
          <w:sz w:val="32"/>
          <w:szCs w:val="32"/>
        </w:rPr>
        <w:t>、答复</w:t>
      </w:r>
      <w:r>
        <w:rPr>
          <w:rFonts w:hint="eastAsia" w:ascii="仿宋_GB2312" w:hAnsi="宋体" w:eastAsia="仿宋_GB2312" w:cs="宋体"/>
          <w:spacing w:val="8"/>
          <w:kern w:val="0"/>
          <w:sz w:val="32"/>
          <w:szCs w:val="32"/>
          <w:lang w:eastAsia="zh-CN"/>
        </w:rPr>
        <w:t>及时有效</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年收到政府信息公开申请</w:t>
      </w:r>
      <w:r>
        <w:rPr>
          <w:rFonts w:hint="eastAsia" w:ascii="仿宋_GB2312" w:hAnsi="宋体" w:eastAsia="仿宋_GB2312" w:cs="宋体"/>
          <w:spacing w:val="8"/>
          <w:kern w:val="0"/>
          <w:sz w:val="32"/>
          <w:szCs w:val="32"/>
          <w:lang w:eastAsia="zh-CN"/>
        </w:rPr>
        <w:t>共</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件，全部按法定</w:t>
      </w:r>
      <w:r>
        <w:rPr>
          <w:rFonts w:hint="eastAsia" w:ascii="仿宋_GB2312" w:hAnsi="宋体" w:eastAsia="仿宋_GB2312" w:cs="宋体"/>
          <w:spacing w:val="8"/>
          <w:kern w:val="0"/>
          <w:sz w:val="32"/>
          <w:szCs w:val="32"/>
          <w:lang w:eastAsia="zh-CN"/>
        </w:rPr>
        <w:t>程序和时效完成</w:t>
      </w:r>
      <w:r>
        <w:rPr>
          <w:rFonts w:hint="eastAsia" w:ascii="仿宋_GB2312" w:hAnsi="宋体" w:eastAsia="仿宋_GB2312" w:cs="宋体"/>
          <w:spacing w:val="8"/>
          <w:kern w:val="0"/>
          <w:sz w:val="32"/>
          <w:szCs w:val="32"/>
        </w:rPr>
        <w:t>受理与答复。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8"/>
        <w:tblpPr w:leftFromText="180" w:rightFromText="180" w:vertAnchor="text" w:horzAnchor="page" w:tblpXSpec="center" w:tblpY="59"/>
        <w:tblOverlap w:val="never"/>
        <w:tblW w:w="8780" w:type="dxa"/>
        <w:jc w:val="center"/>
        <w:tblLayout w:type="autofit"/>
        <w:tblCellMar>
          <w:top w:w="0" w:type="dxa"/>
          <w:left w:w="0" w:type="dxa"/>
          <w:bottom w:w="0" w:type="dxa"/>
          <w:right w:w="0" w:type="dxa"/>
        </w:tblCellMar>
      </w:tblPr>
      <w:tblGrid>
        <w:gridCol w:w="2195"/>
        <w:gridCol w:w="2195"/>
        <w:gridCol w:w="2195"/>
        <w:gridCol w:w="2195"/>
      </w:tblGrid>
      <w:tr>
        <w:tblPrEx>
          <w:tblCellMar>
            <w:top w:w="0" w:type="dxa"/>
            <w:left w:w="0" w:type="dxa"/>
            <w:bottom w:w="0" w:type="dxa"/>
            <w:right w:w="0" w:type="dxa"/>
          </w:tblCellMar>
        </w:tblPrEx>
        <w:trPr>
          <w:trHeight w:val="535" w:hRule="atLeast"/>
          <w:jc w:val="center"/>
        </w:trPr>
        <w:tc>
          <w:tcPr>
            <w:tcW w:w="878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信息内容</w:t>
            </w:r>
          </w:p>
        </w:tc>
        <w:tc>
          <w:tcPr>
            <w:tcW w:w="219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19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本年废止件数</w:t>
            </w:r>
          </w:p>
        </w:tc>
        <w:tc>
          <w:tcPr>
            <w:tcW w:w="219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规章</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eastAsiaTheme="minorEastAsia"/>
                <w:lang w:val="en-US" w:eastAsia="zh-CN"/>
              </w:rPr>
            </w:pPr>
            <w:r>
              <w:rPr>
                <w:rFonts w:hint="eastAsia"/>
                <w:lang w:val="en-US" w:eastAsia="zh-CN"/>
              </w:rPr>
              <w:t>0</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行政规范性文件</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c>
          <w:tcPr>
            <w:tcW w:w="21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5" w:hRule="atLeast"/>
          <w:jc w:val="center"/>
        </w:trPr>
        <w:tc>
          <w:tcPr>
            <w:tcW w:w="878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信息内容</w:t>
            </w:r>
          </w:p>
        </w:tc>
        <w:tc>
          <w:tcPr>
            <w:tcW w:w="658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行政许可</w:t>
            </w:r>
          </w:p>
        </w:tc>
        <w:tc>
          <w:tcPr>
            <w:tcW w:w="658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5" w:hRule="atLeast"/>
          <w:jc w:val="center"/>
        </w:trPr>
        <w:tc>
          <w:tcPr>
            <w:tcW w:w="878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信息内容</w:t>
            </w:r>
          </w:p>
        </w:tc>
        <w:tc>
          <w:tcPr>
            <w:tcW w:w="658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行政处罚</w:t>
            </w:r>
          </w:p>
        </w:tc>
        <w:tc>
          <w:tcPr>
            <w:tcW w:w="658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行政强制</w:t>
            </w:r>
          </w:p>
        </w:tc>
        <w:tc>
          <w:tcPr>
            <w:tcW w:w="658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5" w:hRule="atLeast"/>
          <w:jc w:val="center"/>
        </w:trPr>
        <w:tc>
          <w:tcPr>
            <w:tcW w:w="878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535"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信息内容</w:t>
            </w:r>
          </w:p>
        </w:tc>
        <w:tc>
          <w:tcPr>
            <w:tcW w:w="658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697" w:hRule="atLeast"/>
          <w:jc w:val="center"/>
        </w:trPr>
        <w:tc>
          <w:tcPr>
            <w:tcW w:w="219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行政事业性收费</w:t>
            </w:r>
          </w:p>
        </w:tc>
        <w:tc>
          <w:tcPr>
            <w:tcW w:w="658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8"/>
        <w:tblW w:w="87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78"/>
        <w:gridCol w:w="831"/>
        <w:gridCol w:w="2901"/>
        <w:gridCol w:w="607"/>
        <w:gridCol w:w="607"/>
        <w:gridCol w:w="607"/>
        <w:gridCol w:w="607"/>
        <w:gridCol w:w="607"/>
        <w:gridCol w:w="645"/>
        <w:gridCol w:w="6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441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430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441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607"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自然人</w:t>
            </w:r>
          </w:p>
        </w:tc>
        <w:tc>
          <w:tcPr>
            <w:tcW w:w="3073"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法人或其他组织</w:t>
            </w:r>
          </w:p>
        </w:tc>
        <w:tc>
          <w:tcPr>
            <w:tcW w:w="62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1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607"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607"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企业</w:t>
            </w:r>
          </w:p>
        </w:tc>
        <w:tc>
          <w:tcPr>
            <w:tcW w:w="607"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机构</w:t>
            </w:r>
          </w:p>
        </w:tc>
        <w:tc>
          <w:tcPr>
            <w:tcW w:w="607"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社会公益组织</w:t>
            </w:r>
          </w:p>
        </w:tc>
        <w:tc>
          <w:tcPr>
            <w:tcW w:w="607"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法律服务机构</w:t>
            </w:r>
          </w:p>
        </w:tc>
        <w:tc>
          <w:tcPr>
            <w:tcW w:w="645"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其他</w:t>
            </w:r>
          </w:p>
        </w:tc>
        <w:tc>
          <w:tcPr>
            <w:tcW w:w="62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441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一、本年新收政府信息公开申请数量</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4</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441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二、上年结转政府信息公开申请数量</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eastAsiaTheme="minorEastAsia"/>
                <w:lang w:val="en-US" w:eastAsia="zh-CN"/>
              </w:rPr>
            </w:pPr>
            <w:r>
              <w:rPr>
                <w:rFonts w:hint="eastAsia" w:ascii="Calibri" w:hAnsi="Calibri" w:cs="Calibri"/>
                <w:kern w:val="0"/>
                <w:sz w:val="20"/>
                <w:szCs w:val="20"/>
                <w:lang w:val="en-US" w:eastAsia="zh-CN" w:bidi="ar"/>
              </w:rPr>
              <w:t>1</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三、本年度办理结果</w:t>
            </w:r>
          </w:p>
        </w:tc>
        <w:tc>
          <w:tcPr>
            <w:tcW w:w="373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（一）予以公开</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1</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373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（三）不予公开</w:t>
            </w: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1.属于国家秘密</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2.其他法律行政法规禁止公开</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3.危及“三安全一稳定”</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4.保护第三方合法权益</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5.属于三类内部事务信息</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2</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4"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6.属于四类过程性信息</w:t>
            </w:r>
          </w:p>
        </w:tc>
        <w:tc>
          <w:tcPr>
            <w:tcW w:w="607"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7.属于行政执法案卷</w:t>
            </w:r>
          </w:p>
        </w:tc>
        <w:tc>
          <w:tcPr>
            <w:tcW w:w="607"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8.属于行政查询事项</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（四）无法提供</w:t>
            </w: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1.本机关不掌握相关政府信息</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2</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2.没有现成信息需要另行制作</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3.补正后申请内容仍不明确</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（五）不予处理</w:t>
            </w: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1.信访举报投诉类申请</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2.重复申请</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3.要求提供公开出版物</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pPr>
            <w:r>
              <w:rPr>
                <w:rFonts w:hint="eastAsia" w:ascii="宋体" w:hAnsi="宋体" w:cs="宋体"/>
                <w:kern w:val="0"/>
                <w:sz w:val="20"/>
                <w:szCs w:val="20"/>
                <w:lang w:bidi="ar"/>
              </w:rPr>
              <w:t>4.无正当理由大量反复申请</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pPr>
            <w:r>
              <w:rPr>
                <w:rFonts w:hint="eastAsia" w:ascii="宋体" w:hAnsi="宋体" w:cs="宋体"/>
                <w:kern w:val="0"/>
                <w:sz w:val="20"/>
                <w:szCs w:val="20"/>
                <w:lang w:bidi="ar"/>
              </w:rPr>
              <w:t>5.要求行政机关确认或重新出具已获取信息</w:t>
            </w:r>
          </w:p>
        </w:tc>
        <w:tc>
          <w:tcPr>
            <w:tcW w:w="60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1"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（六）其他处理</w:t>
            </w: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pPr>
            <w:r>
              <w:rPr>
                <w:rFonts w:hint="eastAsia" w:ascii="宋体" w:hAnsi="宋体" w:cs="宋体"/>
                <w:kern w:val="0"/>
                <w:sz w:val="20"/>
                <w:szCs w:val="20"/>
                <w:lang w:bidi="ar"/>
              </w:rPr>
              <w:t>1.申请人无正当理由逾期不补正、行政机关不再处理其政府信息公开申请</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6"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831"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2901"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3.其他</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7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sz w:val="24"/>
              </w:rPr>
            </w:pPr>
          </w:p>
        </w:tc>
        <w:tc>
          <w:tcPr>
            <w:tcW w:w="373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（七）总计</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Calibri" w:hAnsi="Calibri" w:cs="Calibri"/>
                <w:kern w:val="0"/>
                <w:sz w:val="20"/>
                <w:szCs w:val="20"/>
                <w:lang w:val="en-US" w:eastAsia="zh-CN" w:bidi="ar"/>
              </w:rPr>
              <w:t>5</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4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Calibri" w:hAnsi="Calibri"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1" w:hRule="atLeast"/>
          <w:jc w:val="center"/>
        </w:trPr>
        <w:tc>
          <w:tcPr>
            <w:tcW w:w="441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pPr>
            <w:r>
              <w:rPr>
                <w:rFonts w:hint="eastAsia" w:ascii="宋体" w:hAnsi="宋体" w:cs="宋体"/>
                <w:kern w:val="0"/>
                <w:sz w:val="20"/>
                <w:szCs w:val="20"/>
                <w:lang w:bidi="ar"/>
              </w:rPr>
              <w:t>四、结转下年度继续办理</w:t>
            </w:r>
          </w:p>
        </w:tc>
        <w:tc>
          <w:tcPr>
            <w:tcW w:w="607"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07"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07"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07"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07"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45"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29"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sz w:val="24"/>
              </w:rPr>
            </w:pPr>
            <w:r>
              <w:rPr>
                <w:rFonts w:hint="eastAsia" w:ascii="Calibri" w:hAnsi="Calibri" w:cs="Calibri"/>
                <w:kern w:val="0"/>
                <w:sz w:val="20"/>
                <w:szCs w:val="20"/>
                <w:lang w:val="en-US" w:eastAsia="zh-CN" w:bidi="ar"/>
              </w:rPr>
              <w:t>0</w:t>
            </w:r>
          </w:p>
        </w:tc>
      </w:tr>
    </w:tbl>
    <w:p>
      <w:pPr>
        <w:pStyle w:val="2"/>
        <w:spacing w:line="560" w:lineRule="exact"/>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pPr w:leftFromText="180" w:rightFromText="180" w:vertAnchor="text" w:horzAnchor="page" w:tblpXSpec="center" w:tblpY="6"/>
        <w:tblOverlap w:val="never"/>
        <w:tblW w:w="87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6"/>
        <w:gridCol w:w="576"/>
        <w:gridCol w:w="576"/>
        <w:gridCol w:w="576"/>
        <w:gridCol w:w="602"/>
        <w:gridCol w:w="576"/>
        <w:gridCol w:w="576"/>
        <w:gridCol w:w="577"/>
        <w:gridCol w:w="577"/>
        <w:gridCol w:w="603"/>
        <w:gridCol w:w="578"/>
        <w:gridCol w:w="578"/>
        <w:gridCol w:w="578"/>
        <w:gridCol w:w="578"/>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2906"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行政复议</w:t>
            </w:r>
          </w:p>
        </w:tc>
        <w:tc>
          <w:tcPr>
            <w:tcW w:w="583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7" w:hRule="atLeast"/>
          <w:jc w:val="center"/>
        </w:trPr>
        <w:tc>
          <w:tcPr>
            <w:tcW w:w="576"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结果维持</w:t>
            </w:r>
          </w:p>
        </w:tc>
        <w:tc>
          <w:tcPr>
            <w:tcW w:w="576"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576"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576"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总计</w:t>
            </w:r>
          </w:p>
        </w:tc>
        <w:tc>
          <w:tcPr>
            <w:tcW w:w="2909"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未经复议直接起诉</w:t>
            </w:r>
          </w:p>
        </w:tc>
        <w:tc>
          <w:tcPr>
            <w:tcW w:w="2924"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5" w:hRule="atLeast"/>
          <w:jc w:val="center"/>
        </w:trPr>
        <w:tc>
          <w:tcPr>
            <w:tcW w:w="57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sz w:val="24"/>
              </w:rPr>
            </w:pPr>
          </w:p>
        </w:tc>
        <w:tc>
          <w:tcPr>
            <w:tcW w:w="57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sz w:val="24"/>
              </w:rPr>
            </w:pPr>
          </w:p>
        </w:tc>
        <w:tc>
          <w:tcPr>
            <w:tcW w:w="57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sz w:val="24"/>
              </w:rPr>
            </w:pPr>
          </w:p>
        </w:tc>
        <w:tc>
          <w:tcPr>
            <w:tcW w:w="57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sz w:val="24"/>
              </w:rPr>
            </w:pPr>
          </w:p>
        </w:tc>
        <w:tc>
          <w:tcPr>
            <w:tcW w:w="60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sz w:val="24"/>
              </w:rPr>
            </w:pP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0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总计</w:t>
            </w:r>
          </w:p>
        </w:tc>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1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0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0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57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57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57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1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both"/>
        <w:rPr>
          <w:rFonts w:ascii="黑体" w:hAnsi="黑体" w:eastAsia="黑体" w:cs="宋体"/>
          <w:spacing w:val="8"/>
          <w:kern w:val="0"/>
          <w:sz w:val="32"/>
          <w:szCs w:val="32"/>
        </w:rPr>
      </w:pPr>
      <w:r>
        <w:rPr>
          <w:rFonts w:hint="eastAsia" w:ascii="仿宋_GB2312" w:hAnsi="宋体" w:eastAsia="仿宋_GB2312" w:cs="宋体"/>
          <w:spacing w:val="8"/>
          <w:kern w:val="0"/>
          <w:sz w:val="32"/>
          <w:szCs w:val="32"/>
          <w:lang w:val="en-US" w:eastAsia="zh-CN"/>
        </w:rPr>
        <w:t>针对政府信息公开工作中主动公开信息质量有待提高和公开力度还需加强两方面问题。下一步，通州区审计局将结合审计工作实际，加强政府信息公开培训工作，进一步提高信息内容质量。充分发挥政务新媒体平台优势，加强信息公开手段创新。提高主动意识，加大信息公开力度，更好地满足社会公众对政府信息的需要。</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本单位依据《政府信息公开信息处理费管理办法》收取信息处理费，2024年发出收费通知的件数0件，总金额0元。实际收取的总金额0元。</w:t>
      </w:r>
    </w:p>
    <w:p>
      <w:pPr>
        <w:pStyle w:val="2"/>
        <w:spacing w:line="560" w:lineRule="exact"/>
        <w:rPr>
          <w:rFonts w:hint="eastAsia"/>
          <w:lang w:val="en-US" w:eastAsia="zh-CN"/>
        </w:rPr>
      </w:pPr>
      <w:r>
        <w:rPr>
          <w:rFonts w:hint="eastAsia" w:ascii="微软雅黑" w:hAnsi="微软雅黑" w:eastAsia="微软雅黑" w:cs="宋体"/>
          <w:color w:val="404040"/>
          <w:kern w:val="0"/>
          <w:sz w:val="32"/>
          <w:szCs w:val="32"/>
        </w:rPr>
        <w:t xml:space="preserve"> </w:t>
      </w:r>
    </w:p>
    <w:sectPr>
      <w:pgSz w:w="11906" w:h="16838"/>
      <w:pgMar w:top="209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4010760"/>
    <w:rsid w:val="25315F52"/>
    <w:rsid w:val="26913541"/>
    <w:rsid w:val="299920BB"/>
    <w:rsid w:val="2BEB3657"/>
    <w:rsid w:val="2CE40508"/>
    <w:rsid w:val="2D47153F"/>
    <w:rsid w:val="2D862FF9"/>
    <w:rsid w:val="2ED871E9"/>
    <w:rsid w:val="30807B4B"/>
    <w:rsid w:val="31413674"/>
    <w:rsid w:val="318DF538"/>
    <w:rsid w:val="3221404A"/>
    <w:rsid w:val="327FC6D4"/>
    <w:rsid w:val="332871CB"/>
    <w:rsid w:val="33BD4470"/>
    <w:rsid w:val="34817233"/>
    <w:rsid w:val="385E5017"/>
    <w:rsid w:val="3967423C"/>
    <w:rsid w:val="3B546DFA"/>
    <w:rsid w:val="3BE8322F"/>
    <w:rsid w:val="3BF015BF"/>
    <w:rsid w:val="3C246C86"/>
    <w:rsid w:val="3F177636"/>
    <w:rsid w:val="3F37F4D9"/>
    <w:rsid w:val="3FD15EAF"/>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5F7349C5"/>
    <w:rsid w:val="5FDF7DB5"/>
    <w:rsid w:val="628544F4"/>
    <w:rsid w:val="63941218"/>
    <w:rsid w:val="661750EF"/>
    <w:rsid w:val="67201D7D"/>
    <w:rsid w:val="67384093"/>
    <w:rsid w:val="691875C8"/>
    <w:rsid w:val="6AE7FF36"/>
    <w:rsid w:val="6C660F51"/>
    <w:rsid w:val="6C7926D4"/>
    <w:rsid w:val="6D5D5120"/>
    <w:rsid w:val="6D677B57"/>
    <w:rsid w:val="6DE128CD"/>
    <w:rsid w:val="6EAD309C"/>
    <w:rsid w:val="6FE850EB"/>
    <w:rsid w:val="736D4970"/>
    <w:rsid w:val="74550C88"/>
    <w:rsid w:val="75432B9D"/>
    <w:rsid w:val="775323C1"/>
    <w:rsid w:val="782567A5"/>
    <w:rsid w:val="79333E39"/>
    <w:rsid w:val="7BDB1E9F"/>
    <w:rsid w:val="7C55591F"/>
    <w:rsid w:val="7CF610C4"/>
    <w:rsid w:val="7E6E22F9"/>
    <w:rsid w:val="7ECB27F6"/>
    <w:rsid w:val="7FCBF602"/>
    <w:rsid w:val="7FEEAF23"/>
    <w:rsid w:val="7FFA135B"/>
    <w:rsid w:val="97DFEF64"/>
    <w:rsid w:val="B3FC5246"/>
    <w:rsid w:val="B79B2EF7"/>
    <w:rsid w:val="B7FFBA31"/>
    <w:rsid w:val="DFF72E2F"/>
    <w:rsid w:val="EA7E8771"/>
    <w:rsid w:val="EB0BB7E6"/>
    <w:rsid w:val="EF3FF992"/>
    <w:rsid w:val="FCF840F3"/>
    <w:rsid w:val="FD6DF518"/>
    <w:rsid w:val="FDEA7CF5"/>
    <w:rsid w:val="FF8502E6"/>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5743</Words>
  <Characters>6080</Characters>
  <Lines>0</Lines>
  <Paragraphs>0</Paragraphs>
  <TotalTime>15</TotalTime>
  <ScaleCrop>false</ScaleCrop>
  <LinksUpToDate>false</LinksUpToDate>
  <CharactersWithSpaces>6343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2020-12-17T23:14:00Z</dcterms:created>
  <dc:creator>HS</dc:creator>
  <cp:lastModifiedBy>user</cp:lastModifiedBy>
  <cp:lastPrinted>2025-01-09T10:26:00Z</cp:lastPrinted>
  <dcterms:modified xsi:type="dcterms:W3CDTF">2025-01-16T17:21:36Z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B1966B7A317A91C1B8267E67A3689575_43</vt:lpwstr>
  </property>
</Properties>
</file>