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u w:val="none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eastAsia="zh-CN"/>
        </w:rPr>
        <w:t>北京市通州区城市管理综合行政执法局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</w:rPr>
        <w:t>年政府信息公开工作年度报告</w:t>
      </w:r>
    </w:p>
    <w:bookmarkEnd w:id="0"/>
    <w:p>
      <w:pPr>
        <w:spacing w:line="560" w:lineRule="exact"/>
        <w:jc w:val="center"/>
        <w:rPr>
          <w:color w:val="auto"/>
          <w:sz w:val="44"/>
          <w:szCs w:val="44"/>
          <w:highlight w:val="none"/>
          <w:u w:val="none"/>
        </w:rPr>
      </w:pPr>
      <w:r>
        <w:rPr>
          <w:rFonts w:hint="eastAsia" w:ascii="微软雅黑" w:hAnsi="微软雅黑" w:eastAsia="微软雅黑" w:cs="宋体"/>
          <w:color w:val="auto"/>
          <w:kern w:val="0"/>
          <w:sz w:val="24"/>
          <w:highlight w:val="none"/>
          <w:u w:val="none"/>
        </w:rPr>
        <w:t>　</w:t>
      </w:r>
      <w:r>
        <w:rPr>
          <w:rFonts w:hint="eastAsia" w:ascii="微软雅黑" w:hAnsi="微软雅黑" w:eastAsia="微软雅黑" w:cs="宋体"/>
          <w:color w:val="auto"/>
          <w:kern w:val="0"/>
          <w:sz w:val="32"/>
          <w:szCs w:val="32"/>
          <w:highlight w:val="none"/>
          <w:u w:val="none"/>
        </w:rPr>
        <w:t xml:space="preserve"> </w:t>
      </w:r>
      <w:r>
        <w:rPr>
          <w:rFonts w:ascii="微软雅黑" w:hAnsi="微软雅黑" w:eastAsia="微软雅黑" w:cs="宋体"/>
          <w:color w:val="auto"/>
          <w:kern w:val="0"/>
          <w:sz w:val="32"/>
          <w:szCs w:val="32"/>
          <w:highlight w:val="none"/>
          <w:u w:val="none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highlight w:val="none"/>
          <w:u w:val="none"/>
        </w:rPr>
        <w:t>依据《中华人民共和国政府信息公开条例》(以下简称《政府信息公开条例》)第五十条规定，编制本报告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highlight w:val="none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ascii="黑体" w:hAnsi="黑体" w:eastAsia="黑体" w:cs="宋体"/>
          <w:color w:val="auto"/>
          <w:spacing w:val="8"/>
          <w:kern w:val="0"/>
          <w:sz w:val="32"/>
          <w:szCs w:val="32"/>
          <w:highlight w:val="none"/>
          <w:u w:val="none"/>
        </w:rPr>
      </w:pPr>
      <w:r>
        <w:rPr>
          <w:rFonts w:ascii="黑体" w:hAnsi="黑体" w:eastAsia="黑体" w:cs="宋体"/>
          <w:color w:val="auto"/>
          <w:spacing w:val="8"/>
          <w:kern w:val="0"/>
          <w:sz w:val="32"/>
          <w:szCs w:val="32"/>
          <w:highlight w:val="none"/>
          <w:u w:val="none"/>
        </w:rPr>
        <w:t>一、总体情况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2024年，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区城管执法局严格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按照市、区关于政府信息公开工作的有关要求，以习近平新时代中国特色社会主义思想为指导，全面贯彻落实党的二十大、二十届二中、三中全会精神，把政府信息公开工作摆在重要位置，切实加强组织领导，认真落实工作责任，强化日常监督检查，使政府信息公开工作取得了明显成效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（一）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严格落实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主动公开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严格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落实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《2024年北京市通州区政务公开工作要点》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，按照《通州区城市管理综合行政执法局政府信息主动公开全清单》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，加大政府信息主动公开力度，做到了“应公开尽公开”。本年度区城管执法局主动公开政府信息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99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条,其中业务动态类信息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条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、财政预决算信息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2条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（二）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规范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依申请公开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区城管执法局高度重视依申请公开工作，严格按照依申请公开办理程序，规范信息公开申请接收、答复等环节，保障申请人依法获取政府信息。本年度区城管执法局共收到政府信息公开申请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件，均已按时答复。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</w:rPr>
        <w:t>（三）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lang w:eastAsia="zh-CN"/>
        </w:rPr>
        <w:t>强化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</w:rPr>
        <w:t>组织领导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ascii="仿宋_GB2312" w:hAnsi="宋体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fill="FFFFFF"/>
          <w:lang w:val="en-US" w:eastAsia="zh-CN" w:bidi="ar"/>
        </w:rPr>
      </w:pPr>
      <w:r>
        <w:rPr>
          <w:rFonts w:ascii="仿宋_GB2312" w:hAnsi="宋体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fill="FFFFFF"/>
          <w:lang w:val="en-US" w:eastAsia="zh-CN" w:bidi="ar"/>
        </w:rPr>
        <w:t>深入贯彻落实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市、区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两级</w:t>
      </w:r>
      <w:r>
        <w:rPr>
          <w:rFonts w:ascii="仿宋_GB2312" w:hAnsi="宋体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fill="FFFFFF"/>
          <w:lang w:val="en-US" w:eastAsia="zh-CN" w:bidi="ar"/>
        </w:rPr>
        <w:t>工作部署，把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fill="FFFFFF"/>
          <w:lang w:val="en-US" w:eastAsia="zh-CN" w:bidi="ar"/>
        </w:rPr>
        <w:t>政府信息公开</w:t>
      </w:r>
      <w:r>
        <w:rPr>
          <w:rFonts w:ascii="仿宋_GB2312" w:hAnsi="宋体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fill="FFFFFF"/>
          <w:lang w:val="en-US" w:eastAsia="zh-CN" w:bidi="ar"/>
        </w:rPr>
        <w:t>工作纳入整体工作，形成齐抓共管、纵横结合的工作格局，明确政府信息公开工作主管领导，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fill="FFFFFF"/>
          <w:lang w:val="en-US" w:eastAsia="zh-CN" w:bidi="ar"/>
        </w:rPr>
        <w:t>并由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</w:rPr>
        <w:t>局办公室为通州区城市管理综合行政执法局政府信息公开工作机构，负责政府信息公开工作，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安排专人具体负责政府信息公开各项工作，按照“谁制发、谁提出，谁审查、谁办理，谁公开、谁负责”原则，对所公开事项内容进行审核、把关，确保公开内容合法性、准确性、严肃性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，</w:t>
      </w:r>
      <w:r>
        <w:rPr>
          <w:rFonts w:ascii="仿宋_GB2312" w:hAnsi="宋体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fill="FFFFFF"/>
          <w:lang w:val="en-US" w:eastAsia="zh-CN" w:bidi="ar"/>
        </w:rPr>
        <w:t>保证信息公开工作顺利推进。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fill="FFFFFF"/>
          <w:lang w:val="en-US" w:eastAsia="zh-CN" w:bidi="ar"/>
        </w:rPr>
        <w:t>（四）加强业务培训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</w:rPr>
        <w:t>为高质量的开展好政府信息公开工作，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lang w:eastAsia="zh-CN"/>
        </w:rPr>
        <w:t>通过线上线下的方式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</w:rPr>
        <w:t>积极参加区信息公开管理部门组织的</w:t>
      </w:r>
      <w:r>
        <w:rPr>
          <w:rFonts w:ascii="仿宋_GB2312" w:hAnsi="仿宋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政策和业务能力培训，同时与区级单位加强沟通，</w:t>
      </w:r>
      <w:r>
        <w:rPr>
          <w:rFonts w:hint="eastAsia" w:ascii="仿宋_GB2312" w:hAnsi="仿宋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切实提升业务能力和水平。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（五）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加强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监督保障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严格按照市、区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两级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有关政府信息公开的文件精神和工作部署，落实规范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政府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网站信息发布审核要求，加强政府信息规范化管理。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</w:rPr>
        <w:t>由法制科负责政务公开工作法律监督，由局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lang w:eastAsia="zh-CN"/>
        </w:rPr>
        <w:t>保密负责人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</w:rPr>
        <w:t>进行保密审查，由业务部门负责人进行内容督查，严格落实三审三校的审查程序、标准、责任，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规范信息公开内容，建立政府信息公开工作长效机制。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</w:rPr>
        <w:t>主动公开政府信息情况</w:t>
      </w:r>
    </w:p>
    <w:p>
      <w:pPr>
        <w:pStyle w:val="2"/>
        <w:spacing w:line="560" w:lineRule="exact"/>
        <w:rPr>
          <w:rFonts w:hint="eastAsia"/>
          <w:color w:val="auto"/>
          <w:highlight w:val="none"/>
          <w:u w:val="none"/>
        </w:rPr>
      </w:pPr>
    </w:p>
    <w:tbl>
      <w:tblPr>
        <w:tblStyle w:val="8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auto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auto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auto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color w:val="auto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color w:val="auto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auto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auto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auto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color w:val="auto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color w:val="auto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auto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auto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auto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color w:val="auto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color w:val="auto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color w:val="auto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color w:val="auto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auto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auto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auto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color w:val="auto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Theme="minorEastAsia"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highlight w:val="none"/>
                <w:u w:val="none"/>
                <w:lang w:val="en-US" w:eastAsia="zh-CN"/>
              </w:rPr>
              <w:t>0</w:t>
            </w:r>
          </w:p>
        </w:tc>
      </w:tr>
    </w:tbl>
    <w:p>
      <w:pPr>
        <w:pStyle w:val="2"/>
        <w:spacing w:line="560" w:lineRule="exact"/>
        <w:rPr>
          <w:rFonts w:hint="eastAsia"/>
          <w:color w:val="auto"/>
          <w:highlight w:val="none"/>
          <w:u w:val="none"/>
        </w:rPr>
      </w:pPr>
    </w:p>
    <w:p>
      <w:pPr>
        <w:numPr>
          <w:ilvl w:val="0"/>
          <w:numId w:val="1"/>
        </w:numPr>
        <w:spacing w:line="560" w:lineRule="exact"/>
        <w:ind w:firstLine="640"/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</w:rPr>
        <w:t>收到和处理政府信息公开申请情况</w:t>
      </w:r>
    </w:p>
    <w:p>
      <w:pPr>
        <w:pStyle w:val="7"/>
        <w:widowControl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hint="eastAsia" w:ascii="宋体" w:hAnsi="宋体" w:cs="宋体"/>
          <w:color w:val="auto"/>
          <w:highlight w:val="none"/>
          <w:u w:val="none"/>
        </w:rPr>
      </w:pPr>
    </w:p>
    <w:tbl>
      <w:tblPr>
        <w:tblStyle w:val="8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color w:val="auto"/>
                <w:highlight w:val="none"/>
                <w:u w:val="none"/>
              </w:rPr>
            </w:pPr>
            <w:r>
              <w:rPr>
                <w:rFonts w:ascii="楷体" w:hAnsi="楷体" w:eastAsia="楷体" w:cs="楷体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auto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auto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auto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auto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auto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商业</w:t>
            </w:r>
          </w:p>
          <w:p>
            <w:pPr>
              <w:widowControl/>
              <w:spacing w:line="560" w:lineRule="exact"/>
              <w:jc w:val="center"/>
              <w:rPr>
                <w:color w:val="auto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auto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科研</w:t>
            </w:r>
          </w:p>
          <w:p>
            <w:pPr>
              <w:widowControl/>
              <w:spacing w:line="560" w:lineRule="exact"/>
              <w:jc w:val="center"/>
              <w:rPr>
                <w:color w:val="auto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auto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auto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auto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color w:val="auto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color w:val="auto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color w:val="auto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color w:val="auto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color w:val="auto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color w:val="auto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color w:val="auto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  <w:rPr>
                <w:color w:val="auto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  <w:rPr>
                <w:color w:val="auto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  <w:rPr>
                <w:color w:val="auto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  <w:rPr>
                <w:color w:val="auto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  <w:rPr>
                <w:color w:val="auto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  <w:rPr>
                <w:color w:val="auto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  <w:rPr>
                <w:color w:val="auto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  <w:rPr>
                <w:color w:val="auto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color w:val="auto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  <w:rPr>
                <w:color w:val="auto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  <w:rPr>
                <w:color w:val="auto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  <w:rPr>
                <w:color w:val="auto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color w:val="auto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  <w:rPr>
                <w:color w:val="auto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  <w:rPr>
                <w:color w:val="auto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  <w:rPr>
                <w:color w:val="auto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  <w:rPr>
                <w:color w:val="auto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rPr>
                <w:color w:val="auto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color w:val="auto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rPr>
                <w:color w:val="auto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rPr>
                <w:color w:val="auto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color w:val="auto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color w:val="auto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color w:val="auto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</w:tbl>
    <w:p>
      <w:pPr>
        <w:pStyle w:val="2"/>
        <w:spacing w:line="560" w:lineRule="exact"/>
        <w:ind w:left="420" w:leftChars="200"/>
        <w:rPr>
          <w:rFonts w:hint="eastAsia"/>
          <w:color w:val="auto"/>
          <w:highlight w:val="none"/>
          <w:u w:val="none"/>
        </w:rPr>
      </w:pPr>
    </w:p>
    <w:p>
      <w:pPr>
        <w:pStyle w:val="2"/>
        <w:spacing w:line="560" w:lineRule="exact"/>
        <w:ind w:left="420" w:leftChars="200"/>
        <w:rPr>
          <w:rFonts w:hint="eastAsia"/>
          <w:color w:val="auto"/>
          <w:highlight w:val="none"/>
          <w:u w:val="none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</w:rPr>
        <w:t>四、政府信息公开行政复议、行政诉讼情况</w:t>
      </w:r>
    </w:p>
    <w:p>
      <w:pPr>
        <w:widowControl/>
        <w:spacing w:line="560" w:lineRule="exact"/>
        <w:jc w:val="center"/>
        <w:rPr>
          <w:color w:val="auto"/>
          <w:highlight w:val="none"/>
          <w:u w:val="none"/>
        </w:rPr>
      </w:pPr>
    </w:p>
    <w:tbl>
      <w:tblPr>
        <w:tblStyle w:val="8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auto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auto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auto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auto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结果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auto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auto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尚未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auto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auto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auto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auto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结果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auto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结果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auto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auto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尚未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auto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auto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结果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auto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结果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auto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auto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尚未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auto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auto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color w:val="auto"/>
                <w:highlight w:val="none"/>
                <w:u w:val="none"/>
                <w:lang w:val="en-US" w:eastAsia="zh-CN"/>
              </w:rPr>
            </w:pPr>
            <w:r>
              <w:rPr>
                <w:rFonts w:ascii="黑体" w:hAnsi="宋体" w:eastAsia="黑体" w:cs="黑体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color w:val="auto"/>
                <w:highlight w:val="none"/>
                <w:u w:val="none"/>
                <w:lang w:val="en-US" w:eastAsia="zh-CN"/>
              </w:rPr>
            </w:pPr>
            <w:r>
              <w:rPr>
                <w:rFonts w:ascii="黑体" w:hAnsi="宋体" w:eastAsia="黑体" w:cs="黑体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color w:val="auto"/>
                <w:highlight w:val="none"/>
                <w:u w:val="none"/>
                <w:lang w:val="en-US" w:eastAsia="zh-CN"/>
              </w:rPr>
            </w:pPr>
            <w:r>
              <w:rPr>
                <w:rFonts w:ascii="黑体" w:hAnsi="宋体" w:eastAsia="黑体" w:cs="黑体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auto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color w:val="auto"/>
                <w:highlight w:val="none"/>
                <w:u w:val="none"/>
                <w:lang w:val="en-US" w:eastAsia="zh-CN"/>
              </w:rPr>
            </w:pPr>
            <w:r>
              <w:rPr>
                <w:rFonts w:ascii="黑体" w:hAnsi="宋体" w:eastAsia="黑体" w:cs="黑体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auto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auto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auto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color w:val="auto"/>
                <w:highlight w:val="none"/>
                <w:u w:val="none"/>
                <w:lang w:val="en-US" w:eastAsia="zh-CN"/>
              </w:rPr>
            </w:pPr>
            <w:r>
              <w:rPr>
                <w:rFonts w:ascii="黑体" w:hAnsi="宋体" w:eastAsia="黑体" w:cs="黑体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color w:val="auto"/>
                <w:highlight w:val="none"/>
                <w:u w:val="none"/>
                <w:lang w:val="en-US" w:eastAsia="zh-CN"/>
              </w:rPr>
            </w:pPr>
            <w:r>
              <w:rPr>
                <w:rFonts w:ascii="黑体" w:hAnsi="宋体" w:eastAsia="黑体" w:cs="黑体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color w:val="auto"/>
                <w:highlight w:val="none"/>
                <w:u w:val="none"/>
                <w:lang w:val="en-US" w:eastAsia="zh-CN"/>
              </w:rPr>
            </w:pPr>
            <w:r>
              <w:rPr>
                <w:rFonts w:ascii="黑体" w:hAnsi="宋体" w:eastAsia="黑体" w:cs="黑体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auto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color w:val="auto"/>
                <w:highlight w:val="none"/>
                <w:u w:val="none"/>
                <w:lang w:val="en-US" w:eastAsia="zh-CN"/>
              </w:rPr>
            </w:pPr>
            <w:r>
              <w:rPr>
                <w:rFonts w:ascii="黑体" w:hAnsi="宋体" w:eastAsia="黑体" w:cs="黑体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 w:eastAsiaTheme="minorEastAsia"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highlight w:val="none"/>
                <w:u w:val="none"/>
                <w:lang w:val="en-US" w:eastAsia="zh-CN"/>
              </w:rPr>
              <w:t>0</w:t>
            </w:r>
          </w:p>
        </w:tc>
      </w:tr>
    </w:tbl>
    <w:p>
      <w:pPr>
        <w:widowControl/>
        <w:spacing w:line="560" w:lineRule="exact"/>
        <w:jc w:val="left"/>
        <w:rPr>
          <w:color w:val="auto"/>
          <w:highlight w:val="none"/>
          <w:u w:val="none"/>
        </w:rPr>
      </w:pPr>
    </w:p>
    <w:p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color w:val="auto"/>
          <w:spacing w:val="8"/>
          <w:kern w:val="0"/>
          <w:sz w:val="24"/>
          <w:highlight w:val="none"/>
          <w:u w:val="none"/>
        </w:rPr>
      </w:pPr>
      <w:r>
        <w:rPr>
          <w:rFonts w:ascii="黑体" w:hAnsi="黑体" w:eastAsia="黑体" w:cs="宋体"/>
          <w:color w:val="auto"/>
          <w:spacing w:val="8"/>
          <w:kern w:val="0"/>
          <w:sz w:val="32"/>
          <w:szCs w:val="32"/>
          <w:highlight w:val="none"/>
          <w:u w:val="none"/>
        </w:rPr>
        <w:t>五、存在的主要问题及改进情况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color w:val="auto"/>
          <w:highlight w:val="none"/>
          <w:u w:val="none"/>
        </w:rPr>
      </w:pPr>
      <w:r>
        <w:rPr>
          <w:rFonts w:ascii="仿宋_GB2312" w:hAnsi="宋体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fill="FFFFFF"/>
          <w:lang w:val="en-US" w:eastAsia="zh-CN" w:bidi="ar"/>
        </w:rPr>
        <w:t>存在的主要问题：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fill="FFFFFF"/>
          <w:lang w:val="en-US" w:eastAsia="zh-CN" w:bidi="ar"/>
        </w:rPr>
        <w:t>一是政府信息公开意识还有所欠缺，各业务部门</w:t>
      </w:r>
      <w:r>
        <w:rPr>
          <w:rFonts w:ascii="仿宋_GB2312" w:hAnsi="宋体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fill="FFFFFF"/>
          <w:lang w:val="en-US" w:eastAsia="zh-CN" w:bidi="ar"/>
        </w:rPr>
        <w:t>对政府信息公开工作的认识程度不一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fill="FFFFFF"/>
          <w:lang w:val="en-US" w:eastAsia="zh-CN" w:bidi="ar"/>
        </w:rPr>
        <w:t>，存在</w:t>
      </w:r>
      <w:r>
        <w:rPr>
          <w:rFonts w:ascii="仿宋_GB2312" w:hAnsi="宋体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fill="FFFFFF"/>
          <w:lang w:val="en-US" w:eastAsia="zh-CN" w:bidi="ar"/>
        </w:rPr>
        <w:t>重公开而轻参与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fill="FFFFFF"/>
          <w:lang w:val="en-US" w:eastAsia="zh-CN" w:bidi="ar"/>
        </w:rPr>
        <w:t>的现象。二是</w:t>
      </w:r>
      <w:r>
        <w:rPr>
          <w:rFonts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fill="FFFFFF"/>
          <w:lang w:val="en-US" w:eastAsia="zh-CN" w:bidi="ar"/>
        </w:rPr>
        <w:t>信息公开内容的广度和深度有待提升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fill="FFFFFF"/>
          <w:lang w:val="en-US" w:eastAsia="zh-CN" w:bidi="ar"/>
        </w:rPr>
        <w:t>。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fill="FFFFFF"/>
          <w:lang w:val="en-US" w:eastAsia="zh-CN" w:bidi="ar"/>
        </w:rPr>
        <w:t>三是信息发布和更新效率有待提高，公开内容还需进一步细化。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fill="FFFFFF"/>
          <w:lang w:val="en-US" w:eastAsia="zh-CN" w:bidi="ar"/>
        </w:rPr>
        <w:t>改进情况：一是加强业务学习，提升政务公开能力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，以求真务实的工作作风，扎实做好政府信息公开工作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fill="FFFFFF"/>
          <w:lang w:val="en-US" w:eastAsia="zh-CN" w:bidi="ar"/>
        </w:rPr>
        <w:t>。二是高效发布政府信息公开法定内容。全面落实市、区政务公开工作部署，及时公布重要信息，不断提升信息发布的深度和广度。三是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严格按照《政府信息公开条例》要求，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fill="FFFFFF"/>
          <w:lang w:val="en-US" w:eastAsia="zh-CN" w:bidi="ar"/>
        </w:rPr>
        <w:t>进一步规范和完善政务公开的内容、形式，对涉及公众关心的重大问题做到及时主动公开。</w:t>
      </w:r>
    </w:p>
    <w:p>
      <w:pPr>
        <w:widowControl/>
        <w:spacing w:line="560" w:lineRule="exact"/>
        <w:ind w:firstLine="675"/>
        <w:jc w:val="left"/>
        <w:rPr>
          <w:rFonts w:ascii="黑体" w:hAnsi="黑体" w:eastAsia="黑体" w:cs="宋体"/>
          <w:color w:val="auto"/>
          <w:spacing w:val="8"/>
          <w:kern w:val="0"/>
          <w:sz w:val="32"/>
          <w:szCs w:val="32"/>
          <w:highlight w:val="none"/>
          <w:u w:val="none"/>
        </w:rPr>
      </w:pPr>
      <w:r>
        <w:rPr>
          <w:rFonts w:ascii="黑体" w:hAnsi="黑体" w:eastAsia="黑体" w:cs="宋体"/>
          <w:color w:val="auto"/>
          <w:spacing w:val="8"/>
          <w:kern w:val="0"/>
          <w:sz w:val="32"/>
          <w:szCs w:val="32"/>
          <w:highlight w:val="none"/>
          <w:u w:val="none"/>
        </w:rPr>
        <w:t>六、其他需要报告的事项</w:t>
      </w:r>
    </w:p>
    <w:p>
      <w:pPr>
        <w:widowControl/>
        <w:spacing w:line="560" w:lineRule="exact"/>
        <w:ind w:firstLine="675"/>
        <w:jc w:val="left"/>
        <w:rPr>
          <w:rFonts w:ascii="Calibri" w:hAnsi="Calibri" w:cs="Calibri"/>
          <w:i w:val="0"/>
          <w:caps w:val="0"/>
          <w:color w:val="auto"/>
          <w:spacing w:val="0"/>
          <w:sz w:val="21"/>
          <w:szCs w:val="21"/>
          <w:highlight w:val="none"/>
          <w:u w:val="none"/>
        </w:rPr>
      </w:pPr>
      <w:r>
        <w:rPr>
          <w:rFonts w:ascii="仿宋_GB2312" w:hAnsi="仿宋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根据《政府信息公开信息处理费管理办法》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(国办函〔2020〕109号)，202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4</w:t>
      </w:r>
      <w:r>
        <w:rPr>
          <w:rFonts w:hint="eastAsia" w:ascii="仿宋_GB2312" w:hAnsi="仿宋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年度</w:t>
      </w:r>
      <w:r>
        <w:rPr>
          <w:rFonts w:hint="eastAsia" w:ascii="仿宋_GB2312" w:hAnsi="仿宋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北京市通州区城市管理综合行政执法局</w:t>
      </w:r>
      <w:r>
        <w:rPr>
          <w:rFonts w:hint="eastAsia" w:ascii="仿宋_GB2312" w:hAnsi="仿宋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收取信息处理费情况为：发出收费通知的件数为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0件，总金额为0元，实际收取的总金额为0元。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72"/>
        <w:jc w:val="both"/>
        <w:rPr>
          <w:rFonts w:hint="default" w:ascii="Calibri" w:hAnsi="Calibri" w:cs="Calibri"/>
          <w:i w:val="0"/>
          <w:caps w:val="0"/>
          <w:color w:val="auto"/>
          <w:spacing w:val="0"/>
          <w:sz w:val="21"/>
          <w:szCs w:val="21"/>
          <w:highlight w:val="none"/>
          <w:u w:val="none"/>
        </w:rPr>
      </w:pPr>
      <w:r>
        <w:rPr>
          <w:rFonts w:hint="eastAsia" w:ascii="仿宋_GB2312" w:hAnsi="仿宋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北京市通州区人民政府网站网址为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https://www.bjtzh.gov.cn/，如需了解更多政府信息，请登录查询。</w:t>
      </w:r>
    </w:p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color w:val="9BC2E6"/>
          <w:spacing w:val="8"/>
          <w:kern w:val="0"/>
          <w:sz w:val="32"/>
          <w:szCs w:val="32"/>
          <w:highlight w:val="none"/>
          <w:u w:val="none"/>
        </w:rPr>
      </w:pPr>
    </w:p>
    <w:p>
      <w:pPr>
        <w:pStyle w:val="2"/>
        <w:spacing w:line="560" w:lineRule="exact"/>
        <w:rPr>
          <w:rFonts w:hint="eastAsia"/>
          <w:highlight w:val="none"/>
          <w:u w:val="none"/>
        </w:rPr>
      </w:pP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highlight w:val="none"/>
          <w:u w:val="none"/>
        </w:rPr>
        <w:t xml:space="preserve"> </w:t>
      </w:r>
    </w:p>
    <w:p>
      <w:pPr>
        <w:pStyle w:val="2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jZTdjODNhNmU5MGMyNTg1ODJiZThhMzlkZWE3YmIifQ=="/>
  </w:docVars>
  <w:rsids>
    <w:rsidRoot w:val="30807B4B"/>
    <w:rsid w:val="00442DB0"/>
    <w:rsid w:val="05D85E3B"/>
    <w:rsid w:val="05E4647C"/>
    <w:rsid w:val="0ABA6173"/>
    <w:rsid w:val="0AE80091"/>
    <w:rsid w:val="0B9064BE"/>
    <w:rsid w:val="0C082AAD"/>
    <w:rsid w:val="0CC11C92"/>
    <w:rsid w:val="0E36675F"/>
    <w:rsid w:val="0F071AFE"/>
    <w:rsid w:val="11205883"/>
    <w:rsid w:val="13002EED"/>
    <w:rsid w:val="134E798B"/>
    <w:rsid w:val="14A80DA5"/>
    <w:rsid w:val="17D26A70"/>
    <w:rsid w:val="1A7D285E"/>
    <w:rsid w:val="1B2C1A76"/>
    <w:rsid w:val="1B543C65"/>
    <w:rsid w:val="1DBF0083"/>
    <w:rsid w:val="1DFFEA69"/>
    <w:rsid w:val="1FFB0140"/>
    <w:rsid w:val="24010760"/>
    <w:rsid w:val="25315F52"/>
    <w:rsid w:val="26913541"/>
    <w:rsid w:val="299920BB"/>
    <w:rsid w:val="2BEB3657"/>
    <w:rsid w:val="2CE40508"/>
    <w:rsid w:val="2D47153F"/>
    <w:rsid w:val="2D862FF9"/>
    <w:rsid w:val="2ED871E9"/>
    <w:rsid w:val="30807B4B"/>
    <w:rsid w:val="31413674"/>
    <w:rsid w:val="318DF538"/>
    <w:rsid w:val="3221404A"/>
    <w:rsid w:val="327FC6D4"/>
    <w:rsid w:val="332871CB"/>
    <w:rsid w:val="33BD4470"/>
    <w:rsid w:val="34817233"/>
    <w:rsid w:val="385E5017"/>
    <w:rsid w:val="3967423C"/>
    <w:rsid w:val="3B546DFA"/>
    <w:rsid w:val="3BE8322F"/>
    <w:rsid w:val="3BF015BF"/>
    <w:rsid w:val="3C246C86"/>
    <w:rsid w:val="3F177636"/>
    <w:rsid w:val="3FD15EAF"/>
    <w:rsid w:val="40DD0B8E"/>
    <w:rsid w:val="44F55CE1"/>
    <w:rsid w:val="488E7D6F"/>
    <w:rsid w:val="4A751FBB"/>
    <w:rsid w:val="4B7A615D"/>
    <w:rsid w:val="4CBF17DE"/>
    <w:rsid w:val="4CF21E21"/>
    <w:rsid w:val="4CF54579"/>
    <w:rsid w:val="4E767533"/>
    <w:rsid w:val="52305BB2"/>
    <w:rsid w:val="535D2A8E"/>
    <w:rsid w:val="537A699B"/>
    <w:rsid w:val="53A771E4"/>
    <w:rsid w:val="53D538D6"/>
    <w:rsid w:val="53ED0FC0"/>
    <w:rsid w:val="54FB6504"/>
    <w:rsid w:val="566E25A6"/>
    <w:rsid w:val="56980686"/>
    <w:rsid w:val="584339B6"/>
    <w:rsid w:val="5B45742E"/>
    <w:rsid w:val="5B885BB0"/>
    <w:rsid w:val="5F0C50B4"/>
    <w:rsid w:val="628544F4"/>
    <w:rsid w:val="63941218"/>
    <w:rsid w:val="661750EF"/>
    <w:rsid w:val="67201D7D"/>
    <w:rsid w:val="67384093"/>
    <w:rsid w:val="691875C8"/>
    <w:rsid w:val="6C660F51"/>
    <w:rsid w:val="6C7926D4"/>
    <w:rsid w:val="6D5D5120"/>
    <w:rsid w:val="6D677B57"/>
    <w:rsid w:val="6DE128CD"/>
    <w:rsid w:val="6EAD309C"/>
    <w:rsid w:val="6F7DD279"/>
    <w:rsid w:val="6FE850EB"/>
    <w:rsid w:val="74550C88"/>
    <w:rsid w:val="75432B9D"/>
    <w:rsid w:val="77C7F0E0"/>
    <w:rsid w:val="782567A5"/>
    <w:rsid w:val="79333E39"/>
    <w:rsid w:val="7BDB1E9F"/>
    <w:rsid w:val="7C55591F"/>
    <w:rsid w:val="7ECB27F6"/>
    <w:rsid w:val="7FFA135B"/>
    <w:rsid w:val="9FFF627B"/>
    <w:rsid w:val="A7CFA9B7"/>
    <w:rsid w:val="B79B2EF7"/>
    <w:rsid w:val="BDDEA136"/>
    <w:rsid w:val="DE7D437D"/>
    <w:rsid w:val="EA7E8771"/>
    <w:rsid w:val="EB0BB7E6"/>
    <w:rsid w:val="F5FF3CAB"/>
    <w:rsid w:val="FBFF9624"/>
    <w:rsid w:val="FDEA7CF5"/>
    <w:rsid w:val="FFDE8BC0"/>
    <w:rsid w:val="FFF5B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Body Text"/>
    <w:basedOn w:val="1"/>
    <w:qFormat/>
    <w:uiPriority w:val="0"/>
    <w:rPr>
      <w:rFonts w:eastAsia="宋体"/>
      <w:bCs/>
      <w:color w:val="auto"/>
      <w:szCs w:val="24"/>
    </w:rPr>
  </w:style>
  <w:style w:type="paragraph" w:styleId="4">
    <w:name w:val="toc 3"/>
    <w:basedOn w:val="1"/>
    <w:next w:val="1"/>
    <w:semiHidden/>
    <w:unhideWhenUsed/>
    <w:qFormat/>
    <w:uiPriority w:val="39"/>
    <w:pPr>
      <w:ind w:left="840" w:leftChars="4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5743</Words>
  <Characters>6080</Characters>
  <Lines>0</Lines>
  <Paragraphs>0</Paragraphs>
  <TotalTime>47</TotalTime>
  <ScaleCrop>false</ScaleCrop>
  <LinksUpToDate>false</LinksUpToDate>
  <CharactersWithSpaces>6343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2020-12-17T07:14:00Z</dcterms:created>
  <dc:creator>HS</dc:creator>
  <cp:lastModifiedBy>user</cp:lastModifiedBy>
  <cp:lastPrinted>2025-01-10T18:55:00Z</cp:lastPrinted>
  <dcterms:modified xsi:type="dcterms:W3CDTF">2025-01-15T15:12:57Z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FE31FDA3AF9A44E7908C228B7DFF7827_13</vt:lpwstr>
  </property>
</Properties>
</file>