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2E559" w14:textId="77777777" w:rsidR="009C6EC7" w:rsidRDefault="009C6EC7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324B441" w14:textId="77777777" w:rsidR="00483FE4" w:rsidRDefault="00483FE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北京市通州区通运街道办事处</w:t>
      </w:r>
    </w:p>
    <w:p w14:paraId="5C155AA7" w14:textId="764E411C" w:rsidR="009C6EC7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2024年政府信息公开</w:t>
      </w:r>
    </w:p>
    <w:p w14:paraId="3A4391E9" w14:textId="2223ED5E" w:rsidR="009C6EC7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工作年度报告</w:t>
      </w:r>
    </w:p>
    <w:p w14:paraId="4D4157EF" w14:textId="77777777" w:rsidR="009C6EC7" w:rsidRDefault="00000000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</w:p>
    <w:p w14:paraId="5ED73FD1" w14:textId="77777777" w:rsidR="009C6EC7" w:rsidRDefault="00000000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02B82685" w14:textId="77777777" w:rsidR="009C6EC7" w:rsidRDefault="00000000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 w:hint="eastAsia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14:paraId="2C6F3377" w14:textId="77777777" w:rsidR="00031429" w:rsidRDefault="00483FE4" w:rsidP="00031429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2024年，</w:t>
      </w:r>
      <w:r w:rsidRPr="00483FE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在区委、区政府及街道办事处领导的正确领导下，按照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相关</w:t>
      </w:r>
      <w:r w:rsidRPr="00483FE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会议精神，结合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自身</w:t>
      </w:r>
      <w:r w:rsidRPr="00483FE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实际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情况</w:t>
      </w:r>
      <w:r w:rsidRPr="00483FE4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通运街道通过完善政府信息公开制度建设，规范公开流程，确保政府信息公开的及时性、准确性和完整性。同时加强了对</w:t>
      </w:r>
      <w:r w:rsidR="0003142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政府信息公开工作的宣传和培训，提高了工作人员对政府信息公开的意识和能力。</w:t>
      </w:r>
    </w:p>
    <w:p w14:paraId="13FAF359" w14:textId="77777777" w:rsidR="00031429" w:rsidRDefault="00031429" w:rsidP="00031429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截止2024年12月31日，我街道信息公开情况如下：</w:t>
      </w:r>
    </w:p>
    <w:p w14:paraId="4745767E" w14:textId="51A23BBA" w:rsidR="00593D89" w:rsidRDefault="00031429" w:rsidP="00593D89">
      <w:pPr>
        <w:pStyle w:val="a9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主动公开</w:t>
      </w:r>
      <w:r w:rsid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方面</w:t>
      </w: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6AE91AB1" w14:textId="4BD501A1" w:rsidR="00031429" w:rsidRPr="00593D89" w:rsidRDefault="00593D89" w:rsidP="00593D8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4年通运街道主动公开政府信息条数75条，执法信息公示47条。</w:t>
      </w:r>
    </w:p>
    <w:p w14:paraId="0C501FF9" w14:textId="66F9B991" w:rsidR="00593D89" w:rsidRPr="00593D89" w:rsidRDefault="00031429" w:rsidP="00593D89">
      <w:pPr>
        <w:pStyle w:val="a9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依申请公开</w:t>
      </w:r>
      <w:r w:rsid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方面</w:t>
      </w: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40811945" w14:textId="48EEE887" w:rsidR="00031429" w:rsidRPr="00593D89" w:rsidRDefault="00593D89" w:rsidP="00593D8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 w:rsidRPr="00593D8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2024年通运街道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全年依申请公开受理4件，答复4件，均为邮寄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信件类依申请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公开，于20个工作日法定期限内通过邮寄信件方式对当事人给予答复。</w:t>
      </w:r>
    </w:p>
    <w:p w14:paraId="2576E922" w14:textId="57E7F7C5" w:rsidR="009D5C61" w:rsidRPr="009D5C61" w:rsidRDefault="00031429" w:rsidP="009D5C61">
      <w:pPr>
        <w:pStyle w:val="a9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政务新媒体宣传更新</w:t>
      </w:r>
      <w:r w:rsid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方面</w:t>
      </w:r>
      <w:r w:rsidRP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184D6E43" w14:textId="77777777" w:rsidR="009D5C61" w:rsidRDefault="009D5C61" w:rsidP="009D5C61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2024年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通运街道依托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微信公众号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“天天通运”，利用新媒体推送政府信息，全年更新1249篇，其中原创626篇。</w:t>
      </w:r>
    </w:p>
    <w:p w14:paraId="7FBEA0A6" w14:textId="77777777" w:rsidR="00800A4E" w:rsidRDefault="009D5C61" w:rsidP="009D5C61">
      <w:pPr>
        <w:pStyle w:val="a9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政府信息公开管理</w:t>
      </w:r>
      <w:r w:rsidR="00800A4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与监督保障</w:t>
      </w:r>
      <w:r w:rsidRPr="009D5C61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方面。</w:t>
      </w:r>
    </w:p>
    <w:p w14:paraId="03910E43" w14:textId="77777777" w:rsidR="003D7C93" w:rsidRDefault="00800A4E" w:rsidP="00800A4E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800A4E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确保政府信息公开工作有效推进，通运街道高度重视，通过定期召开工作推进会、阶段性听取汇报等方式，加强日常指导，及时部署相关工作安排。</w:t>
      </w:r>
      <w:r w:rsidR="000A7A9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同时，针对政府信息公开工作中存在的问题和不足，积极采取改进措施，加强公开内容的深度和广度。</w:t>
      </w:r>
    </w:p>
    <w:p w14:paraId="5DA00826" w14:textId="5F657631" w:rsidR="003D7C93" w:rsidRPr="003D7C93" w:rsidRDefault="003D7C93" w:rsidP="003D7C93">
      <w:pPr>
        <w:pStyle w:val="a9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3D7C9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政府信息公开平台建设与教育培训方面。</w:t>
      </w:r>
    </w:p>
    <w:p w14:paraId="3A298619" w14:textId="56EF5D94" w:rsidR="009D5C61" w:rsidRPr="003D7C93" w:rsidRDefault="003D7C93" w:rsidP="003D7C93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 w:rsidRPr="003D7C9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通运街道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始终重视政务新媒体政务信息公开情况，</w:t>
      </w:r>
      <w:r w:rsid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依托</w:t>
      </w:r>
      <w:proofErr w:type="gramStart"/>
      <w:r w:rsid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微信公众号</w:t>
      </w:r>
      <w:proofErr w:type="gramEnd"/>
      <w:r w:rsid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“天天通运”，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及时发布政府</w:t>
      </w:r>
      <w:r w:rsid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公共服务信息。同时</w:t>
      </w:r>
      <w:r w:rsidR="007E79C7" w:rsidRP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针对各部门、各社区信息员开展信息公开培训，切实提高政务公开队伍的业务素养和工作能力，不断提高工作人员的业务能力基础，扎实推进街道政府信息公开工作</w:t>
      </w:r>
      <w:r w:rsidR="007E79C7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40ABF81B" w14:textId="77777777" w:rsidR="009C6EC7" w:rsidRDefault="00000000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14:paraId="205A0CC9" w14:textId="77777777" w:rsidR="009C6EC7" w:rsidRDefault="009C6EC7">
      <w:pPr>
        <w:pStyle w:val="a0"/>
        <w:spacing w:line="560" w:lineRule="exact"/>
      </w:pP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9C6EC7" w14:paraId="2D29D020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9A940DA" w14:textId="77777777" w:rsidR="009C6EC7" w:rsidRDefault="00000000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9C6EC7" w14:paraId="69F6A87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82228CD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1841DC3" w14:textId="77777777" w:rsidR="009C6EC7" w:rsidRDefault="00000000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4767ACA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0514CA9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9C6EC7" w14:paraId="1ED41B7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6AAACFC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BB16C3" w14:textId="4A4ABDBF" w:rsidR="009C6EC7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65212A" w14:textId="316128A7" w:rsidR="009C6EC7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B6186F" w14:textId="6FC4EB74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C6EC7" w14:paraId="7D5D070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2D6B9C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861AEF" w14:textId="6DEB198C" w:rsidR="009C6EC7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C425CD" w14:textId="0592E023" w:rsidR="009C6EC7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EB27A6" w14:textId="07CFCF27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C6EC7" w14:paraId="3CDEBEA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4E2D3A8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9C6EC7" w14:paraId="1236704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44F8CA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093B58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C6EC7" w14:paraId="0E409888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D7DBD9D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E012DD" w14:textId="1D3F6EFF" w:rsidR="009C6EC7" w:rsidRDefault="007E79C7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Cs w:val="21"/>
                <w:lang w:bidi="ar"/>
              </w:rPr>
              <w:t>0</w:t>
            </w:r>
          </w:p>
        </w:tc>
      </w:tr>
      <w:tr w:rsidR="009C6EC7" w14:paraId="28AFC50D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F2850C7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9C6EC7" w14:paraId="1D15C065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2746A1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FCD968F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9C6EC7" w14:paraId="7A2759F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682B15D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B3259" w14:textId="52DAD2BF" w:rsidR="009C6EC7" w:rsidRDefault="007E79C7" w:rsidP="007E79C7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</w:tr>
      <w:tr w:rsidR="009C6EC7" w14:paraId="4FC64DB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2B27C0B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4D97D3" w14:textId="2591FA0A" w:rsidR="009C6EC7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7A04473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5A08468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9C6EC7" w14:paraId="542C88B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12D2D74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35633B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9C6EC7" w14:paraId="6BB54F9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B862D8C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8E35DD" w14:textId="00FDA213" w:rsidR="009C6EC7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25BBAB93" w14:textId="77777777" w:rsidR="009C6EC7" w:rsidRDefault="009C6EC7">
      <w:pPr>
        <w:pStyle w:val="a0"/>
        <w:spacing w:line="560" w:lineRule="exact"/>
      </w:pPr>
    </w:p>
    <w:p w14:paraId="2BB1FE25" w14:textId="77777777" w:rsidR="009C6EC7" w:rsidRDefault="00000000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14:paraId="666F9FD0" w14:textId="77777777" w:rsidR="009C6EC7" w:rsidRDefault="009C6EC7">
      <w:pPr>
        <w:pStyle w:val="a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 w:hint="eastAsia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9C6EC7" w14:paraId="27E7E4FC" w14:textId="77777777" w:rsidTr="00093DA3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6352EE9D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98E721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9C6EC7" w14:paraId="4DEDBD02" w14:textId="77777777" w:rsidTr="00093DA3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0648651A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25B49D9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32CD48A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9E26949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C6EC7" w14:paraId="5D070A71" w14:textId="77777777" w:rsidTr="00093DA3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3478C500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82A7196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F544024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14:paraId="4E2D64D7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E827C0C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14:paraId="2EDDC070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C2C47A1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9C4B525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A661520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9452772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9C6EC7" w14:paraId="0804069E" w14:textId="77777777" w:rsidTr="00093DA3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287C92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3FDFFB" w14:textId="2FD3DB6E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7E79C7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806C3D" w14:textId="503531F8" w:rsidR="009C6EC7" w:rsidRDefault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 w:rsidR="0000000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C521A5" w14:textId="392DF66F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A8ADB4" w14:textId="310B0445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CA87D" w14:textId="01AF9CF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786B92" w14:textId="3ED6A654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3A7AA" w14:textId="6D95CFF8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7E79C7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9C6EC7" w14:paraId="632E30D7" w14:textId="77777777" w:rsidTr="00093DA3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7E976B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3AA4E" w14:textId="617C0CD6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9424A" w14:textId="38C02EFE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0BD18" w14:textId="4B2F6C59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C2FBA4" w14:textId="77AE4EA2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C9CB5" w14:textId="58D17CA0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54AA03" w14:textId="5AA838D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B2243" w14:textId="5CBFC4A4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4160FFB0" w14:textId="77777777" w:rsidTr="00093DA3">
        <w:trPr>
          <w:jc w:val="center"/>
        </w:trPr>
        <w:tc>
          <w:tcPr>
            <w:tcW w:w="769" w:type="dxa"/>
            <w:vMerge w:val="restart"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E149366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667B473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829E7C" w14:textId="4E18535E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093DA3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6B484" w14:textId="28452D41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481202" w14:textId="0E6C192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E79957" w14:textId="7DF1E7E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F26471" w14:textId="66F98F22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4019D" w14:textId="668A5DA2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ED792" w14:textId="25884896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C6EC7" w14:paraId="7DD4252D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3DE252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204664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396C08" w14:textId="06E0DAC7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23291" w14:textId="57C66781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ABF57" w14:textId="7AEB9B25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DB3E34" w14:textId="4A65C3E5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E2350" w14:textId="054FC8FC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CD8669" w14:textId="44A0D79E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A3585" w14:textId="254375FA" w:rsidR="00093DA3" w:rsidRPr="00093DA3" w:rsidRDefault="00093DA3" w:rsidP="00093DA3">
            <w:pPr>
              <w:widowControl/>
              <w:spacing w:line="560" w:lineRule="exact"/>
              <w:jc w:val="center"/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24BDEACB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EA324D6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3C8F863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EDD538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19845C" w14:textId="21C19227" w:rsidR="009C6EC7" w:rsidRDefault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 w:rsidR="0000000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F78E0C" w14:textId="0AF8D93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1126EC" w14:textId="4F1F0E3D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EE6EE" w14:textId="33ACDEB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DFEF9" w14:textId="5629B16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B4704" w14:textId="2AB22D8E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00C8B" w14:textId="2A2E88C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47EFD182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4E52D5D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0A046F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58B9EB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12A90" w14:textId="56428293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093DA3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AA703" w14:textId="795F2867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5E99F" w14:textId="11B87A82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02FD7" w14:textId="6053D704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7EBA0" w14:textId="608FCE6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C72C86" w14:textId="68261E5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03E186" w14:textId="20D63E29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2DD38A63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6453D92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957DF9C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B2A27C7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4501C5" w14:textId="561B7872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093DA3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19B70" w14:textId="5196BA6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94EC5B" w14:textId="55AC3789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3C42A3" w14:textId="6008F57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D55069" w14:textId="6396EAB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ACD3E" w14:textId="2EB5D7DD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20C287" w14:textId="20DC5DE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29377ADF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770CD89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D89C4E1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52C9DA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166912" w14:textId="693B9313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C985D9" w14:textId="113C6A28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20930D" w14:textId="72EBE041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61C8E" w14:textId="4FED853E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7274B1" w14:textId="1681FC0D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F35C93" w14:textId="43A13AA3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336F09" w14:textId="69AB8750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9C6EC7" w14:paraId="13D003D6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071853E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E117943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65BBBB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FDE36" w14:textId="78556733" w:rsidR="009C6EC7" w:rsidRDefault="00000000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 w:rsidR="00093DA3"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5C790A" w14:textId="7A421F31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9C29AF" w14:textId="67F1F43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F7E920" w14:textId="7167321D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B7668F" w14:textId="071830CB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67867" w14:textId="1E936633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A5FC61" w14:textId="60984772" w:rsidR="009C6EC7" w:rsidRDefault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9C6EC7" w14:paraId="470B871F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E2FE01E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B59B4A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B134F28" w14:textId="77777777" w:rsidR="009C6EC7" w:rsidRDefault="00000000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D0934F" w14:textId="669DCE1C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B03F79" w14:textId="3DACF722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7FF5E0" w14:textId="00AB79A0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861F4" w14:textId="505AD143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27D5F" w14:textId="6CEE4B53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B07409" w14:textId="237B874A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6064E6" w14:textId="46A46B14" w:rsidR="009C6EC7" w:rsidRDefault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6747E5FF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04B999E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50F55A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FE144F4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1F1483" w14:textId="60DE75F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2D78E" w14:textId="255C1AE9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44711" w14:textId="4A6223C2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5720FC" w14:textId="28ECFB5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9913CD" w14:textId="4267BC42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9786A" w14:textId="4CA7CC0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D4549" w14:textId="4CD3DD2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4CF2AA81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C4F57BB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AE57096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F1CE130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F7DF34" w14:textId="3D7970E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AB5F7" w14:textId="5CDF678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63AA09" w14:textId="6EC0AFD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EE4EC" w14:textId="731CAEF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120C7" w14:textId="6B358B0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353A1" w14:textId="15E20CD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BF92A" w14:textId="318A502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51AD669B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840696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FD554D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CBE3647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350A52" w14:textId="65D8EDA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D9E566" w14:textId="0280063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24C54" w14:textId="5885401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6F6ED" w14:textId="6EEF880A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BB5B9" w14:textId="7C24582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72297" w14:textId="5EB6A13B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E6F762" w14:textId="7D8E0D6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5C8FE35B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4639C1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52254BE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119B644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724637" w14:textId="2A5DD3E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C7AF4" w14:textId="266E476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5CDB7" w14:textId="0EDECA31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1AE9D" w14:textId="4835984B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47B4D" w14:textId="3267069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7B10A4" w14:textId="43FA66D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3A2AFD" w14:textId="0A75B71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0E995B7A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1203C9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27F4D0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E78B47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71A14" w14:textId="1C662F7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051B3" w14:textId="4A23EE8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1B111A" w14:textId="26998809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BDA73" w14:textId="28AB8AC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A85CF9" w14:textId="4C630D81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38536" w14:textId="0CF61471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1A50C4" w14:textId="2140D6D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56ADFE5B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C571CDB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4FAC69E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3A252B2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B5274" w14:textId="7F62D15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A6F32B" w14:textId="63294DA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CBC052" w14:textId="5A3CAB8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9DBB77" w14:textId="449D157B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2DAE7B" w14:textId="1AE543C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B6DE4" w14:textId="453E44E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038910" w14:textId="0D9028B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7676ABA2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C03D733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A63C02D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D079E8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180EA" w14:textId="0C91157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1B5D5D" w14:textId="2C178BF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D96FC9" w14:textId="3DFD4B03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A231EF" w14:textId="0A079593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627557" w14:textId="447C5FF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C6A70" w14:textId="5FC88551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CC30BE" w14:textId="23FE057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1A499BF1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A3520C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8F7B4A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879930F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B83BD" w14:textId="06F36BA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C9A29C" w14:textId="357DB3A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6FEFF3" w14:textId="47053B3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54F660" w14:textId="121B8B6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C8416" w14:textId="679812F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41735" w14:textId="0D960370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B3693" w14:textId="7BEBB28A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3B59DA23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4F02DAB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D14A6AD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C4B2578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E958A3" w14:textId="70F952A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FA62B8" w14:textId="3894525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AA1034" w14:textId="15A0BDF2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3C48D2" w14:textId="6C49B71B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C28764" w14:textId="72DCF19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D0DEC6" w14:textId="5BD9F7F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F046E" w14:textId="2580438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5F994CC5" w14:textId="77777777" w:rsidTr="00093DA3">
        <w:trPr>
          <w:trHeight w:val="779"/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1123308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23C63DE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D00AB3" w14:textId="77777777" w:rsidR="00093DA3" w:rsidRDefault="00093DA3" w:rsidP="00093DA3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74C35" w14:textId="7A3BCB8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7360E0" w14:textId="17AB24D5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84020" w14:textId="6898C163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0E1CC" w14:textId="78EB069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02FE3D" w14:textId="4E8EF72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04DAB" w14:textId="69721EF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1054FC" w14:textId="40DE75B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6B672684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22F9E9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3DA190A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FF73B7" w14:textId="77777777" w:rsidR="00093DA3" w:rsidRDefault="00093DA3" w:rsidP="00093DA3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072093" w14:textId="47031422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799339" w14:textId="0D2CAD8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11DA3C" w14:textId="68ACD90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DF242" w14:textId="31E9D3C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73AC3C" w14:textId="7B94FF09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A366F9" w14:textId="5A71383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B20498" w14:textId="62E4479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1AF000B8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3D73FC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3978941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793C16" w14:textId="77777777" w:rsidR="00093DA3" w:rsidRDefault="00093DA3" w:rsidP="00093DA3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02D7AE" w14:textId="224FAA4D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19172F" w14:textId="234DAD59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9B5245" w14:textId="770895B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00600" w14:textId="66952C4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E2D4D1" w14:textId="0FAC3EE3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B0CD9" w14:textId="26E85A9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F8C025" w14:textId="114277B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4A530BEE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584BF1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661FC3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DD530E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C82A69" w14:textId="13B11118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0FCE51" w14:textId="38A1F2EF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6AE0E8" w14:textId="4823837A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42D1D7" w14:textId="2AF3637E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78E95E" w14:textId="70D0EBE3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D80D5" w14:textId="1A24226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64425F" w14:textId="529EE1C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093DA3" w14:paraId="49FA03FA" w14:textId="77777777" w:rsidTr="00093DA3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EFD85FF" w14:textId="77777777" w:rsidR="00093DA3" w:rsidRDefault="00093DA3" w:rsidP="00093DA3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F0A6DFE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2A618C" w14:textId="4CF9B828" w:rsidR="00093DA3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CFB25" w14:textId="688B4BE7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B98A0" w14:textId="6D1BC51B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CB1854" w14:textId="1A293D2C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11F10" w14:textId="50786456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C18CC4" w14:textId="7333B464" w:rsidR="00093DA3" w:rsidRDefault="00093DA3" w:rsidP="00093DA3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422107" w14:textId="231AA4E9" w:rsidR="00093DA3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093DA3" w14:paraId="6C10C9ED" w14:textId="77777777" w:rsidTr="00093DA3">
        <w:trPr>
          <w:jc w:val="center"/>
        </w:trPr>
        <w:tc>
          <w:tcPr>
            <w:tcW w:w="4932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777602B" w14:textId="77777777" w:rsidR="00093DA3" w:rsidRDefault="00093DA3" w:rsidP="00093DA3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11CFF" w14:textId="232F3C18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2587F" w14:textId="662137BD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9F5A0" w14:textId="23643164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0CDC5" w14:textId="55C79A1A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2E5D1" w14:textId="656FA9F0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7684D" w14:textId="07D75BDE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0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948F6" w14:textId="6BEC1AE7" w:rsidR="00093DA3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B1F6AA7" w14:textId="77777777" w:rsidR="009C6EC7" w:rsidRDefault="009C6EC7">
      <w:pPr>
        <w:pStyle w:val="a0"/>
        <w:spacing w:line="560" w:lineRule="exact"/>
        <w:ind w:leftChars="200" w:left="420"/>
      </w:pPr>
    </w:p>
    <w:p w14:paraId="5F4B75B0" w14:textId="77777777" w:rsidR="009C6EC7" w:rsidRDefault="009C6EC7">
      <w:pPr>
        <w:pStyle w:val="a0"/>
        <w:spacing w:line="560" w:lineRule="exact"/>
        <w:ind w:leftChars="200" w:left="420"/>
      </w:pPr>
    </w:p>
    <w:p w14:paraId="6CEEC5CA" w14:textId="3EC028B5" w:rsidR="009C6EC7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14:paraId="1F26C2F5" w14:textId="77777777" w:rsidR="009C6EC7" w:rsidRDefault="009C6EC7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9C6EC7" w14:paraId="3D62F14C" w14:textId="77777777" w:rsidTr="00093DA3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D11EC20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39C472B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9C6EC7" w14:paraId="095838EA" w14:textId="77777777" w:rsidTr="00093DA3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FBEB0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323C2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F7756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1D803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8C6A6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67D9CD28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9A0653A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9C6EC7" w14:paraId="4D05AB5C" w14:textId="77777777" w:rsidTr="00093DA3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8C307E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2D1030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2E70A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F6502A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E1374" w14:textId="77777777" w:rsidR="009C6EC7" w:rsidRDefault="009C6EC7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D2BD3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B71099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49A59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A1F6DD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84E68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34D41E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A6D73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5937E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823E2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59083" w14:textId="77777777" w:rsidR="009C6EC7" w:rsidRDefault="00000000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9C6EC7" w14:paraId="0A9B3680" w14:textId="77777777" w:rsidTr="00093DA3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8BC3FB" w14:textId="04084F57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EA730A" w14:textId="50B72E3A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4C0E0A" w14:textId="1695164C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37372" w14:textId="3EDCA3C4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09FC7" w14:textId="1868BEF3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E5414" w14:textId="08AF9F52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9C8BB6" w14:textId="44E5B807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A8AD0B" w14:textId="7AC62D25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3565E" w14:textId="7AFFCC8B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4FFAE" w14:textId="1DEC62E0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A1A481" w14:textId="7C71270F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30D117" w14:textId="0A0E4175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D22C3C" w14:textId="5B858DB5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F7BB36" w14:textId="137EF5C2" w:rsidR="009C6EC7" w:rsidRDefault="00093DA3" w:rsidP="00093DA3">
            <w:pPr>
              <w:widowControl/>
              <w:spacing w:line="560" w:lineRule="exact"/>
              <w:jc w:val="center"/>
              <w:rPr>
                <w:rFonts w:hint="eastAsia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5D00C" w14:textId="08A6DA10" w:rsidR="009C6EC7" w:rsidRDefault="00093DA3" w:rsidP="00093DA3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14:paraId="7F8693AE" w14:textId="77777777" w:rsidR="009C6EC7" w:rsidRDefault="009C6EC7">
      <w:pPr>
        <w:widowControl/>
        <w:spacing w:line="560" w:lineRule="exact"/>
        <w:jc w:val="left"/>
      </w:pPr>
    </w:p>
    <w:p w14:paraId="68DC697A" w14:textId="77777777" w:rsidR="009C6EC7" w:rsidRDefault="00000000">
      <w:pPr>
        <w:widowControl/>
        <w:spacing w:line="560" w:lineRule="exact"/>
        <w:ind w:firstLineChars="200" w:firstLine="672"/>
        <w:jc w:val="left"/>
        <w:rPr>
          <w:rFonts w:ascii="宋体" w:hAnsi="宋体" w:cs="宋体" w:hint="eastAsia"/>
          <w:spacing w:val="8"/>
          <w:kern w:val="0"/>
          <w:sz w:val="24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</w:p>
    <w:p w14:paraId="1449B150" w14:textId="77777777" w:rsidR="00F95856" w:rsidRDefault="00F95856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（一）主要问题。</w:t>
      </w:r>
    </w:p>
    <w:p w14:paraId="75BACCB4" w14:textId="77777777" w:rsidR="00903549" w:rsidRDefault="00F95856" w:rsidP="0090354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1、办事处涉及信息公开部门在公开方面存在时间滞后性，往往</w:t>
      </w:r>
      <w:r w:rsidR="00903549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临近最终期限才进行公开，存在时效隐患。</w:t>
      </w:r>
    </w:p>
    <w:p w14:paraId="28BA65D9" w14:textId="77777777" w:rsidR="00903549" w:rsidRDefault="00903549" w:rsidP="0090354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2、部分部门对信息公开信息完整、正确性把控不严，偶发性出现错词、错字，对所公开内容准确性需提高重视。</w:t>
      </w:r>
    </w:p>
    <w:p w14:paraId="2B332AA6" w14:textId="77777777" w:rsidR="00903549" w:rsidRDefault="00903549" w:rsidP="0090354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lastRenderedPageBreak/>
        <w:t>（二）改进情况。</w:t>
      </w:r>
    </w:p>
    <w:p w14:paraId="2C74DB61" w14:textId="77777777" w:rsidR="00903549" w:rsidRDefault="00903549" w:rsidP="0090354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1、强化政府信息公开时效意识，认识信息公开工作的重要性和紧迫性，将信息公开工作作为重要工作来抓。</w:t>
      </w:r>
    </w:p>
    <w:p w14:paraId="4BBA61C1" w14:textId="74789BF4" w:rsidR="00903549" w:rsidRPr="00903549" w:rsidRDefault="00903549" w:rsidP="00903549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2、加大信息公开内容审核力度，对公开工作中的信息和政策，要多次审核，确保公开内容的完整性、正确性。</w:t>
      </w:r>
    </w:p>
    <w:p w14:paraId="24C66CA4" w14:textId="77777777" w:rsidR="00093DA3" w:rsidRDefault="00000000" w:rsidP="00093DA3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14:paraId="7384CC6B" w14:textId="74E7C3CA" w:rsidR="00093DA3" w:rsidRPr="00093DA3" w:rsidRDefault="00093DA3" w:rsidP="00093DA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 w:rsidRPr="00093DA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依据《政府信息公开信息处理费管理办法》(国办函〔2020〕109号)，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2024</w:t>
      </w:r>
      <w:r w:rsidRPr="00093DA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年度通运街道办事处收取信息处理费情况为：发出收费通知的件数为0件，总金额为0元，实际收取的总金额为0元。</w:t>
      </w:r>
    </w:p>
    <w:p w14:paraId="3F82E4C2" w14:textId="465AB48F" w:rsidR="009C6EC7" w:rsidRPr="00903549" w:rsidRDefault="00093DA3" w:rsidP="00903549">
      <w:pPr>
        <w:widowControl/>
        <w:spacing w:line="560" w:lineRule="exact"/>
        <w:ind w:firstLine="675"/>
        <w:jc w:val="left"/>
        <w:rPr>
          <w:rFonts w:ascii="宋体" w:hAnsi="宋体" w:cs="宋体" w:hint="eastAsia"/>
          <w:spacing w:val="8"/>
          <w:kern w:val="0"/>
          <w:sz w:val="32"/>
          <w:szCs w:val="32"/>
        </w:rPr>
      </w:pPr>
      <w:r w:rsidRPr="00093DA3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北京市通州区人民政府网站网址http://www.bjtzh.gov.cn/，如需了解更多政府信息，请登录查询。</w:t>
      </w:r>
    </w:p>
    <w:sectPr w:rsidR="009C6EC7" w:rsidRPr="00903549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048BD" w14:textId="77777777" w:rsidR="006B5105" w:rsidRDefault="006B5105">
      <w:r>
        <w:separator/>
      </w:r>
    </w:p>
  </w:endnote>
  <w:endnote w:type="continuationSeparator" w:id="0">
    <w:p w14:paraId="62452B06" w14:textId="77777777" w:rsidR="006B5105" w:rsidRDefault="006B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33040A2-F00C-462A-BFD0-2B214199D12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F1C483C-E92D-454E-A6C1-8D48494122E5}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41D1FB17-C112-4638-8CB2-F4C60E59BA7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6B9F3C2-4194-462C-BC88-C6770202D29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8F26129-C8B3-44B1-B26B-2B960177596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C6196471-A19E-4591-813A-FB8509F872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57EB" w14:textId="77777777" w:rsidR="009C6EC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84F08F" wp14:editId="740D84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F1C33" w14:textId="77777777" w:rsidR="009C6EC7" w:rsidRDefault="00000000">
                          <w:pPr>
                            <w:pStyle w:val="a5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4F08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9F1C33" w14:textId="77777777" w:rsidR="009C6EC7" w:rsidRDefault="00000000">
                    <w:pPr>
                      <w:pStyle w:val="a5"/>
                    </w:pP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7327F" w14:textId="77777777" w:rsidR="006B5105" w:rsidRDefault="006B5105">
      <w:r>
        <w:separator/>
      </w:r>
    </w:p>
  </w:footnote>
  <w:footnote w:type="continuationSeparator" w:id="0">
    <w:p w14:paraId="6DADF3A1" w14:textId="77777777" w:rsidR="006B5105" w:rsidRDefault="006B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F1E0B"/>
    <w:multiLevelType w:val="singleLevel"/>
    <w:tmpl w:val="EEFF1E0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ED81D19"/>
    <w:multiLevelType w:val="hybridMultilevel"/>
    <w:tmpl w:val="583EC80E"/>
    <w:lvl w:ilvl="0" w:tplc="B54A5006">
      <w:start w:val="1"/>
      <w:numFmt w:val="japaneseCounting"/>
      <w:lvlText w:val="（%1）"/>
      <w:lvlJc w:val="left"/>
      <w:pPr>
        <w:ind w:left="175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5" w:hanging="440"/>
      </w:pPr>
    </w:lvl>
    <w:lvl w:ilvl="2" w:tplc="0409001B" w:tentative="1">
      <w:start w:val="1"/>
      <w:numFmt w:val="lowerRoman"/>
      <w:lvlText w:val="%3."/>
      <w:lvlJc w:val="righ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9" w:tentative="1">
      <w:start w:val="1"/>
      <w:numFmt w:val="lowerLetter"/>
      <w:lvlText w:val="%5)"/>
      <w:lvlJc w:val="left"/>
      <w:pPr>
        <w:ind w:left="2875" w:hanging="440"/>
      </w:pPr>
    </w:lvl>
    <w:lvl w:ilvl="5" w:tplc="0409001B" w:tentative="1">
      <w:start w:val="1"/>
      <w:numFmt w:val="lowerRoman"/>
      <w:lvlText w:val="%6."/>
      <w:lvlJc w:val="righ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9" w:tentative="1">
      <w:start w:val="1"/>
      <w:numFmt w:val="lowerLetter"/>
      <w:lvlText w:val="%8)"/>
      <w:lvlJc w:val="left"/>
      <w:pPr>
        <w:ind w:left="4195" w:hanging="440"/>
      </w:pPr>
    </w:lvl>
    <w:lvl w:ilvl="8" w:tplc="0409001B" w:tentative="1">
      <w:start w:val="1"/>
      <w:numFmt w:val="lowerRoman"/>
      <w:lvlText w:val="%9."/>
      <w:lvlJc w:val="right"/>
      <w:pPr>
        <w:ind w:left="4635" w:hanging="440"/>
      </w:pPr>
    </w:lvl>
  </w:abstractNum>
  <w:num w:numId="1" w16cid:durableId="1164051468">
    <w:abstractNumId w:val="1"/>
  </w:num>
  <w:num w:numId="2" w16cid:durableId="1600601280">
    <w:abstractNumId w:val="0"/>
  </w:num>
  <w:num w:numId="3" w16cid:durableId="108333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RjZTdjODNhNmU5MGMyNTg1ODJiZThhMzlkZWE3YmIifQ=="/>
  </w:docVars>
  <w:rsids>
    <w:rsidRoot w:val="30807B4B"/>
    <w:rsid w:val="EA7E8771"/>
    <w:rsid w:val="EB0BB7E6"/>
    <w:rsid w:val="FDEA7CF5"/>
    <w:rsid w:val="FFDE8BC0"/>
    <w:rsid w:val="00031429"/>
    <w:rsid w:val="00093DA3"/>
    <w:rsid w:val="000A7A97"/>
    <w:rsid w:val="00327A70"/>
    <w:rsid w:val="003D7C93"/>
    <w:rsid w:val="00442DB0"/>
    <w:rsid w:val="00483FE4"/>
    <w:rsid w:val="00516A15"/>
    <w:rsid w:val="00593D89"/>
    <w:rsid w:val="006B5105"/>
    <w:rsid w:val="007E79C7"/>
    <w:rsid w:val="00800A4E"/>
    <w:rsid w:val="00903549"/>
    <w:rsid w:val="009C6EC7"/>
    <w:rsid w:val="009D5C61"/>
    <w:rsid w:val="00F95856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CB27F6"/>
    <w:rsid w:val="7FFA135B"/>
    <w:rsid w:val="B79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6AE68"/>
  <w15:docId w15:val="{FCA37E1E-FCBC-4A1F-8960-881F7BE9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semiHidden="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Body Text"/>
    <w:basedOn w:val="a"/>
    <w:qFormat/>
    <w:rPr>
      <w:rFonts w:eastAsia="宋体"/>
      <w:bCs/>
    </w:rPr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1"/>
    <w:qFormat/>
    <w:rPr>
      <w:color w:val="333333"/>
      <w:u w:val="none"/>
    </w:rPr>
  </w:style>
  <w:style w:type="paragraph" w:styleId="a9">
    <w:name w:val="List Paragraph"/>
    <w:basedOn w:val="a"/>
    <w:uiPriority w:val="99"/>
    <w:unhideWhenUsed/>
    <w:rsid w:val="00593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Administrator</cp:lastModifiedBy>
  <cp:revision>3</cp:revision>
  <cp:lastPrinted>2025-01-07T18:26:00Z</cp:lastPrinted>
  <dcterms:created xsi:type="dcterms:W3CDTF">2025-01-08T01:35:00Z</dcterms:created>
  <dcterms:modified xsi:type="dcterms:W3CDTF">2025-01-08T03:43:00Z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