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CEC8B">
      <w:pPr>
        <w:widowControl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北京市通州区台湖镇人民政府</w:t>
      </w:r>
    </w:p>
    <w:p w14:paraId="4A6A7A22">
      <w:pPr>
        <w:widowControl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2024年政府信息公开工作年度报告</w:t>
      </w:r>
    </w:p>
    <w:p w14:paraId="5D4E3197">
      <w:pPr>
        <w:pStyle w:val="2"/>
        <w:rPr>
          <w:rFonts w:hint="eastAsia"/>
          <w:lang w:val="en-US" w:eastAsia="zh-CN"/>
        </w:rPr>
      </w:pPr>
    </w:p>
    <w:p w14:paraId="004332B2"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依据《中华人民共和国政府信息公开条例》(以下简称《政府信息公开条例》)第五十条规定，编制本报告。</w:t>
      </w:r>
    </w:p>
    <w:p w14:paraId="5789729A"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01122EC2"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</w:rPr>
        <w:t>组织领导</w:t>
      </w:r>
      <w:r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eastAsia="zh-CN"/>
        </w:rPr>
        <w:t>情况</w:t>
      </w:r>
    </w:p>
    <w:p w14:paraId="2AAED495"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我镇始终把政府信息公开工作纳入重要工作议事日程，成立了政府信息公开工作领导小组，坚持“谁提供、谁审核、谁负责”的原则，严格按照职能职责要求把好审核关，确保公开信息的准确性、完整性和时效性，形成了主要领导亲自抓，分管领导具体抓，各科室配合抓的工作格局，确保政府信息公开工作的顺利推进。2024年，我镇按照党中央、国务院以及市委、市政府关于政务公开工作的部署要求，结合学习贯彻习近平新时代中国特色社会主义思想主题教育成果，坚持以人民为中心，着力加强自身建设，认真履行法定公开职责，切实回应公众关切，提升政务公开成效。</w:t>
      </w:r>
    </w:p>
    <w:p w14:paraId="6A390252"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</w:rPr>
        <w:t>主动公开</w:t>
      </w: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  <w:t>情况</w:t>
      </w:r>
    </w:p>
    <w:p w14:paraId="5923A775"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2024年，台湖镇严格遵循《政府信息公开条例》的相关规定，紧密对接《通州区2024年政务公开工作要点》，结合本镇工作实际，对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2024年政府信息公开工作进行了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细致的分解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并认真执行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。抓好重点领域信息发布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-SA"/>
        </w:rPr>
        <w:t>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在上一年度主动公开的基础上，对政府网站上的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机构职责、机构设置、办公地址、办公时间、联系方式以及领导简介等重要信息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进行定期核查与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更新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-SA"/>
        </w:rPr>
        <w:t>。极回应民生关切，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主动公开了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none"/>
          <w:lang w:val="en-US" w:eastAsia="zh-CN" w:bidi="ar-SA"/>
        </w:rPr>
        <w:t>600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余条政府信息，涵盖了年度财政预决算、教育、医疗、社会保障、促进就业等多个方面，全面展示了政府工作的透明度和为民服务的宗旨，确保了公众对政府工作的知情权和参与权。</w:t>
      </w:r>
    </w:p>
    <w:p w14:paraId="6021C47A"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  <w:t>依申请公开情况</w:t>
      </w:r>
    </w:p>
    <w:p w14:paraId="7A93E077"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none"/>
          <w:lang w:val="en-US" w:eastAsia="zh-CN"/>
        </w:rPr>
        <w:t>2024年，台湖镇用心办理政府信息公开申请，严格执行公开办理程序，加强与申请人的沟通交流，精准掌握实际诉求，切实提高办理质量。共受理依申请公开28件，其中上年结转政府信息公开申请数量2件，结转下年度继续办理政府信息公开申请数量1件，予以公开8件，部分公开6件，本机关不掌握相关政府信息10件，其他处理3件。协助通州区政府办理依申请公开案件9件，均已回函。</w:t>
      </w:r>
    </w:p>
    <w:p w14:paraId="398A8C7E"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  <w:t>政府信息管理情况</w:t>
      </w:r>
    </w:p>
    <w:p w14:paraId="722920AE"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继续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坚决贯彻执行保密审查原则，构建并完善政府信息公开全周期审查机制，坚持在公开前对信息内容进行严格审查，定期开展公开内容的自我检查，确保公开内容的真实性、准确性。定期对政府信息公开工作进行考核、评议。同时，加强对政府信息公开工作的日常监督和检查，发现问题及时整改落实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-SA"/>
        </w:rPr>
        <w:t>。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持续强化对依申请公开流程的管理，严格按照法律法规办理，确保办理时限、办理程序的标准化、规范化。</w:t>
      </w:r>
    </w:p>
    <w:p w14:paraId="498FAA46"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  <w:t>政府信息公开平台建设情况</w:t>
      </w:r>
    </w:p>
    <w:p w14:paraId="6D92BC95">
      <w:pPr>
        <w:widowControl/>
        <w:spacing w:line="560" w:lineRule="exact"/>
        <w:ind w:firstLine="675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持续推进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新媒体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集约化平台建设，严格落实网络意识形态工作责任制，加强技术监测和维护，有力保障政府信息公开专栏安全平稳运行，确保各栏目内容展示统一、标准、规范。</w:t>
      </w:r>
      <w:r>
        <w:rPr>
          <w:rFonts w:ascii="仿宋" w:hAnsi="仿宋" w:eastAsia="仿宋" w:cs="仿宋"/>
          <w:spacing w:val="8"/>
          <w:kern w:val="0"/>
          <w:sz w:val="32"/>
          <w:szCs w:val="32"/>
          <w:lang w:bidi="ar-SA"/>
        </w:rPr>
        <w:t>充分利用政务新媒体“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 w:bidi="ar-SA"/>
        </w:rPr>
        <w:t>乐和台湖</w:t>
      </w:r>
      <w:r>
        <w:rPr>
          <w:rFonts w:ascii="仿宋" w:hAnsi="仿宋" w:eastAsia="仿宋" w:cs="仿宋"/>
          <w:spacing w:val="8"/>
          <w:kern w:val="0"/>
          <w:sz w:val="32"/>
          <w:szCs w:val="32"/>
          <w:lang w:bidi="ar-SA"/>
        </w:rPr>
        <w:t>”微信公众号、视频号等平台，积极主动地公开信息，加强政府与民众之间的互动交流，拓展社会公众获取信息的渠道，以便于群众便捷地查阅和了解政府业务动态、工作热点，进一步提升政务公开透明度，增强政府工作的公信力。</w:t>
      </w:r>
    </w:p>
    <w:p w14:paraId="37F4C672"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  <w:t>教育培训情况</w:t>
      </w:r>
    </w:p>
    <w:p w14:paraId="56854AD5"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相应工作人员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积极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参加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区政务服务管理局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和上级单位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举办的政府信息公开业务培训，深刻领会相关工作要求，提升政策理论素养，交流政务公开工作经验。主动策划并实施会前学法等活动，组织深入学习政务公开法律法规，增强领导干部政务公开意识，提高各部门政务公开水平和能力。</w:t>
      </w:r>
    </w:p>
    <w:p w14:paraId="1DFCBDE2"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  <w:t>监督保障情况</w:t>
      </w:r>
    </w:p>
    <w:p w14:paraId="4D21A9D5">
      <w:pPr>
        <w:widowControl/>
        <w:spacing w:line="560" w:lineRule="exact"/>
        <w:ind w:firstLine="675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-SA"/>
        </w:rPr>
        <w:t>我镇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-SA"/>
        </w:rPr>
        <w:t>高度重视政府信息公开的监督保障工作，严格执行保密审查制度，对拟公开的信息进行全面筛查，确保不泄露国家机密和个人隐私，保障信息安全。定期对各科室的信息公开情况进行检查和评估，重点检查信息的准确性、完整性和及时性，对发现的问题及时督促整改，设置投诉举报电话，广泛接受社会公众和媒体的监督，积极回应社会关切，切实保障公众的知情权、参与权和监督权。</w:t>
      </w:r>
    </w:p>
    <w:p w14:paraId="4E3804CE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2C7CAB84">
      <w:pPr>
        <w:pStyle w:val="4"/>
        <w:numPr>
          <w:ilvl w:val="0"/>
          <w:numId w:val="0"/>
        </w:numPr>
        <w:rPr>
          <w:rFonts w:hint="eastAsia"/>
        </w:rPr>
      </w:pPr>
    </w:p>
    <w:tbl>
      <w:tblPr>
        <w:tblStyle w:val="10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9E6F1E4">
        <w:tblPrEx>
          <w:tblLayout w:type="fixed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DDAA4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464F6F76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E40D3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7DD6F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6F0109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AEAF6E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1DEEF7BB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087EF3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9820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845D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0660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F210CB6">
        <w:tblPrEx>
          <w:tblLayout w:type="fixed"/>
        </w:tblPrEx>
        <w:trPr>
          <w:trHeight w:val="22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01B0217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57E31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9DA97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49FC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</w:tr>
      <w:tr w14:paraId="08A752FE">
        <w:tblPrEx>
          <w:tblLayout w:type="fixed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70C3E5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75B0B420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F09D16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D3303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7856A48F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B91E97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7F3F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28DCF6">
        <w:tblPrEx>
          <w:tblLayout w:type="fixed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016B110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6E3619BF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D12BF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E6E81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1196FC4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A9F482B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3172A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2366</w:t>
            </w:r>
          </w:p>
        </w:tc>
      </w:tr>
      <w:tr w14:paraId="7B7880D6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2D4F0A2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256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3FC679D">
        <w:tblPrEx>
          <w:tblLayout w:type="fixed"/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DBBDD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7522285C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7E235C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51BB4F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3C66365">
        <w:tblPrEx>
          <w:tblLayout w:type="fixed"/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2BB7AF5"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E530D8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1AF455BD">
      <w:pPr>
        <w:pStyle w:val="4"/>
        <w:numPr>
          <w:ilvl w:val="0"/>
          <w:numId w:val="0"/>
        </w:numPr>
        <w:rPr>
          <w:rFonts w:hint="eastAsia"/>
        </w:rPr>
      </w:pPr>
    </w:p>
    <w:p w14:paraId="6270B72E"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 w14:paraId="3EE3EEBE"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0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6159352">
        <w:tblPrEx>
          <w:tblLayout w:type="fixed"/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2C14DB5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79A092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10E9238">
        <w:tblPrEx>
          <w:tblLayout w:type="fixed"/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F1A35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0E76FE1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D8F88A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C6927F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9CCE6CC">
        <w:tblPrEx>
          <w:tblLayout w:type="fixed"/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42BC8D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06233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1C9345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1D0331B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DA5259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B9866D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580C4D0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38AAB8A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6D77A9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F798F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8E71B04">
        <w:tblPrEx>
          <w:tblLayout w:type="fixed"/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58019B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F1947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909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176C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12FD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84D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6939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19789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26</w:t>
            </w:r>
          </w:p>
        </w:tc>
      </w:tr>
      <w:tr w14:paraId="24C050BB">
        <w:tblPrEx>
          <w:tblLayout w:type="fixed"/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F17EF8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EB835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6958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D64CC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2A9B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0F5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C462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B32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</w:tr>
      <w:tr w14:paraId="23F26FC0">
        <w:tblPrEx>
          <w:tblLayout w:type="fixed"/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148F59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C7CE17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425E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B6E0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CC9B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5689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4DA2A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4BC1A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C1EFC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</w:tr>
      <w:tr w14:paraId="6CD92BAC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98BE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0428DB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80E1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566F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52D8D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2B46E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99E6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AD8B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621DBA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</w:tr>
      <w:tr w14:paraId="4DD883A1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74D4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EBA1C1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BF84D1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FACB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1C0D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E5058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0E12C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B690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4E28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DC08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846B45A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400A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5A307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C55CF0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E7F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298B6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17391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FF6D8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3313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4008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D20D5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8290C61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D829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95DA3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9D618E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9143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48BF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569B1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527C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41B8B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5180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3EE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3FC8201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8D5E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5C752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3744B88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17E98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167D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7969B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E628E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002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E51D9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0510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7B83237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16E0E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F85CC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B56641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59356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516A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3C62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B21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B1F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6938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AAAB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</w:tr>
      <w:tr w14:paraId="5F9774B6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72FD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9CB0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1040A7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B4D0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6580F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6E320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960A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3E87D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DD9D4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D3A10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E15917F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8558F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E902F5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ECC7C6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2409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D0F0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CE34B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25D75E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E2D3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6E33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8F21B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569578C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F76692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9B2E8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96FBDE4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14B0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7FDB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0A8B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0E17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F5E71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403D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6DEA6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4F5823A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BE36C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B57B08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7CAFA7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A91EC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352D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CA1F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F9AF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F1B6D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2C5D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01A44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1D4C6C1F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F9A0E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72D91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E58ED6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E68B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FD608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BBD7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A8D8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DC672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97C1F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F1BE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656E53D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418B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A2AFC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5D3069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CF165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EC4E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3F9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D4C89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866D4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8C906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E5084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AE56190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2E795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9D2475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EDF293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8C5F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4D0D3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CE8F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7EC8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1C9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1A24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466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87CA667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49E37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2F02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FF5D88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D802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0BC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F6B4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64C4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1F8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60FF5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340F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3E5F42CC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9E52C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AF105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F6D734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22E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C4895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03F1D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A128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B963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462E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E21B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12F3CB31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CED25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D3F92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A060B1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FD52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2AC1D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B2CB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ED230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2F19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706E7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A5AAE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EB9FFF6">
        <w:tblPrEx>
          <w:tblLayout w:type="fixed"/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E605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2E250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2B82E40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34A5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B264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FC4C1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82E8D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BAE6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2F627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0FBE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FAFC8B6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681BA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FD24CD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0A654E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E42E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12E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4C9D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48572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BB6486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50CB7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5D6B8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685A903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AA6E7A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8652C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1473907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01C7B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CA4A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1DB4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C7937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5646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A1C41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6BE6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5B78038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3D868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DD796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C64261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6796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2CF9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76949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BC8CF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7CA50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0C26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A03D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51FA800">
        <w:tblPrEx>
          <w:tblLayout w:type="fixed"/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95404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FC0AE7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81AA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7FE62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9C70A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CF9E7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52AC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61EF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36D6A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27</w:t>
            </w:r>
          </w:p>
        </w:tc>
      </w:tr>
      <w:tr w14:paraId="44058ED6">
        <w:tblPrEx>
          <w:tblLayout w:type="fixed"/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0F9BD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3C985A6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7672CD7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6A2978B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6FE3729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6F9D808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5AF045D0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vAlign w:val="center"/>
          </w:tcPr>
          <w:p w14:paraId="5EDC4508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2455712B">
      <w:pPr>
        <w:pStyle w:val="4"/>
        <w:widowControl/>
        <w:ind w:left="420" w:leftChars="200"/>
      </w:pPr>
    </w:p>
    <w:p w14:paraId="1CD7D665">
      <w:pPr>
        <w:pStyle w:val="4"/>
        <w:widowControl/>
        <w:ind w:left="420" w:leftChars="200"/>
      </w:pPr>
    </w:p>
    <w:p w14:paraId="348E2DB8"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 w14:paraId="5D32BACF">
      <w:pPr>
        <w:widowControl/>
        <w:jc w:val="center"/>
      </w:pPr>
    </w:p>
    <w:tbl>
      <w:tblPr>
        <w:tblStyle w:val="10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D9AD93E">
        <w:tblPrEx>
          <w:tblLayout w:type="fixed"/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7999A54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693056D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4C0E3CC">
        <w:tblPrEx>
          <w:tblLayout w:type="fixed"/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3E9A3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FC30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CE9C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9A6C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799A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16FB127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266A91B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261DFEC0">
        <w:tblPrEx>
          <w:tblLayout w:type="fixed"/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1BB1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AA021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6D511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A03F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E91F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83B75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183DE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3C5EB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90662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020367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A1337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E6629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DEE1E9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87511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FDDF481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F8B2211">
        <w:tblPrEx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0418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B7CF7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E7C2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3936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41D8F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880A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4C37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EA2A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7D15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563EF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BBAE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BD032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4472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ED3F6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3AF98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5572FE8">
      <w:pPr>
        <w:widowControl/>
        <w:jc w:val="left"/>
      </w:pPr>
    </w:p>
    <w:p w14:paraId="762E6573"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 w14:paraId="14784371"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年，我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政府信息公开各项工作取得了一定成效，但仍存在一些不足，主要表现为：部分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网络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内容保障力度不够，政策宣传解读的时效性仍需加强，新媒体的运维能力和水平有待提升等。下一步，我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eastAsia="zh-CN"/>
        </w:rPr>
        <w:t>将坚持把政策类信息公开作为工作重点，压实信息公开的部门主体责任；从企业、群众的需求出发，及时做好政策精准推送和实效性解读，发挥好信息公开促落实、优服务、强监督作用；强化指导检查，开展多频次的专项业务线上培训，发挥好基层政务新媒体了解民意、汇集民智和回应民情的作用。</w:t>
      </w:r>
    </w:p>
    <w:p w14:paraId="47412274"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 w14:paraId="0125B676">
      <w:pPr>
        <w:widowControl/>
        <w:spacing w:line="560" w:lineRule="exact"/>
        <w:jc w:val="left"/>
        <w:rPr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bidi="ar"/>
        </w:rPr>
        <w:t>　　</w:t>
      </w:r>
      <w:r>
        <w:rPr>
          <w:rFonts w:ascii="仿宋" w:hAnsi="仿宋" w:eastAsia="仿宋" w:cs="仿宋"/>
          <w:spacing w:val="8"/>
          <w:kern w:val="0"/>
          <w:sz w:val="32"/>
          <w:szCs w:val="32"/>
          <w:lang w:bidi="ar"/>
        </w:rPr>
        <w:t>在2024年度，台湖镇政府严格依照《政府信息公开信息处理费管理办法》的规定，坚决执行信息处理费的收取工作。本年度，台湖镇发出的信息处理费收费通知件数为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  <w:t>0</w:t>
      </w:r>
      <w:r>
        <w:rPr>
          <w:rFonts w:ascii="仿宋" w:hAnsi="仿宋" w:eastAsia="仿宋" w:cs="仿宋"/>
          <w:spacing w:val="8"/>
          <w:kern w:val="0"/>
          <w:sz w:val="32"/>
          <w:szCs w:val="32"/>
          <w:lang w:bidi="ar"/>
        </w:rPr>
        <w:t>，相应的收费总金额为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 w:bidi="ar"/>
        </w:rPr>
        <w:t>0</w:t>
      </w:r>
      <w:r>
        <w:rPr>
          <w:rFonts w:ascii="仿宋" w:hAnsi="仿宋" w:eastAsia="仿宋" w:cs="仿宋"/>
          <w:spacing w:val="8"/>
          <w:kern w:val="0"/>
          <w:sz w:val="32"/>
          <w:szCs w:val="32"/>
          <w:lang w:bidi="ar"/>
        </w:rPr>
        <w:t>。</w:t>
      </w:r>
    </w:p>
    <w:p w14:paraId="03D4B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22A4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3555EF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3555EF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80B7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18DD7F"/>
    <w:multiLevelType w:val="singleLevel"/>
    <w:tmpl w:val="7318DD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2322</Words>
  <Characters>2371</Characters>
  <Lines>0</Lines>
  <Paragraphs>0</Paragraphs>
  <ScaleCrop>false</ScaleCrop>
  <LinksUpToDate>false</LinksUpToDate>
  <CharactersWithSpaces>2373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2020-12-16T07:14:00Z</dcterms:created>
  <dc:creator>HS</dc:creator>
  <cp:lastModifiedBy>iPhone</cp:lastModifiedBy>
  <cp:lastPrinted>2024-01-12T17:24:00Z</cp:lastPrinted>
  <dcterms:modified xsi:type="dcterms:W3CDTF">2025-01-13T16:52:50Z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E5C6CDB7DFAD392C62D48467A7EECF51_33</vt:lpwstr>
  </property>
  <property fmtid="{D5CDD505-2E9C-101B-9397-08002B2CF9AE}" pid="4" name="KSOTemplateDocerSaveRecord">
    <vt:lpwstr>eyJoZGlkIjoiNTU0ZmIwYTQ3NzlmZGUxZmU3Zjk0M2IyZTNmM2IxNjAiLCJ1c2VySWQiOiIyNjY1ODI5MjIifQ==</vt:lpwstr>
  </property>
</Properties>
</file>