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2CE50">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北京市通州区投资促进服务中心</w:t>
      </w:r>
    </w:p>
    <w:p w14:paraId="40D6007D">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7521B1EE">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p>
    <w:p w14:paraId="41B9EA6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9A0FF62">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100A1CB6">
      <w:pPr>
        <w:pStyle w:val="2"/>
        <w:rPr>
          <w:rFonts w:hint="default" w:eastAsiaTheme="minorEastAsia"/>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2024年，我中心深入推进政府信息公开工作的相关部署，深入贯彻落实党的二十大及二十届二中、三中全会精神，紧紧围绕中心工作任务，扎实做好政府信息公开工作。</w:t>
      </w:r>
    </w:p>
    <w:p w14:paraId="6E7F369D">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组织领导</w:t>
      </w:r>
    </w:p>
    <w:p w14:paraId="0D668C57">
      <w:pPr>
        <w:pStyle w:val="2"/>
        <w:numPr>
          <w:ilvl w:val="0"/>
          <w:numId w:val="0"/>
        </w:numPr>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我中心</w:t>
      </w:r>
      <w:r>
        <w:rPr>
          <w:rFonts w:hint="eastAsia" w:ascii="仿宋_GB2312" w:hAnsi="仿宋_GB2312" w:eastAsia="仿宋_GB2312" w:cs="仿宋_GB2312"/>
          <w:kern w:val="0"/>
          <w:sz w:val="32"/>
          <w:szCs w:val="32"/>
          <w:highlight w:val="none"/>
        </w:rPr>
        <w:t>高度重视信息公开工作，逐步健全完善信息公开工作机制，着重抓好制度建设、日常管理、信息发布、信息审查等方面工作，规范开展信息公开工作。</w:t>
      </w:r>
    </w:p>
    <w:p w14:paraId="1E478FF4">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主动公开</w:t>
      </w:r>
    </w:p>
    <w:p w14:paraId="5AE91C68">
      <w:pPr>
        <w:pStyle w:val="2"/>
        <w:numPr>
          <w:numId w:val="0"/>
        </w:num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kern w:val="0"/>
          <w:sz w:val="32"/>
          <w:szCs w:val="32"/>
          <w:highlight w:val="none"/>
        </w:rPr>
        <w:t>我中心认真贯彻落实《中华人民共和国政府信息公开条例》有关要求，严格遵照通州区政府信息公开工作要求，</w:t>
      </w:r>
      <w:r>
        <w:rPr>
          <w:rFonts w:ascii="仿宋_GB2312" w:hAnsi="宋体" w:eastAsia="仿宋_GB2312" w:cs="仿宋_GB2312"/>
          <w:sz w:val="32"/>
          <w:szCs w:val="32"/>
          <w:highlight w:val="none"/>
          <w:shd w:val="clear" w:color="auto" w:fill="FFFFFF"/>
        </w:rPr>
        <w:t>及时确保公开的信息科学、准确、真实</w:t>
      </w:r>
      <w:r>
        <w:rPr>
          <w:rFonts w:hint="eastAsia" w:ascii="仿宋_GB2312" w:hAnsi="宋体" w:eastAsia="仿宋_GB2312" w:cs="仿宋_GB2312"/>
          <w:sz w:val="32"/>
          <w:szCs w:val="32"/>
          <w:highlight w:val="none"/>
          <w:shd w:val="clear" w:color="auto" w:fill="FFFFFF"/>
          <w:lang w:eastAsia="zh-CN"/>
        </w:rPr>
        <w:t>。</w:t>
      </w:r>
      <w:r>
        <w:rPr>
          <w:rFonts w:hint="eastAsia" w:ascii="仿宋_GB2312" w:eastAsia="仿宋_GB2312"/>
          <w:b w:val="0"/>
          <w:bCs w:val="0"/>
          <w:sz w:val="32"/>
          <w:szCs w:val="32"/>
          <w:highlight w:val="none"/>
          <w:lang w:val="en-US" w:eastAsia="zh-CN"/>
        </w:rPr>
        <w:t>2024年</w:t>
      </w:r>
      <w:r>
        <w:rPr>
          <w:rFonts w:hint="eastAsia" w:ascii="仿宋_GB2312" w:eastAsia="仿宋_GB2312"/>
          <w:b w:val="0"/>
          <w:bCs w:val="0"/>
          <w:sz w:val="32"/>
          <w:szCs w:val="32"/>
          <w:highlight w:val="none"/>
          <w:lang w:eastAsia="zh-CN"/>
        </w:rPr>
        <w:t>，</w:t>
      </w:r>
      <w:r>
        <w:rPr>
          <w:rFonts w:hint="eastAsia" w:ascii="仿宋_GB2312" w:hAnsi="仿宋_GB2312" w:eastAsia="仿宋_GB2312" w:cs="仿宋_GB2312"/>
          <w:b w:val="0"/>
          <w:bCs w:val="0"/>
          <w:kern w:val="0"/>
          <w:sz w:val="32"/>
          <w:szCs w:val="32"/>
          <w:highlight w:val="none"/>
        </w:rPr>
        <w:t>工作动态信息</w:t>
      </w:r>
      <w:r>
        <w:rPr>
          <w:rFonts w:hint="eastAsia" w:ascii="仿宋_GB2312" w:hAnsi="仿宋_GB2312" w:eastAsia="仿宋_GB2312" w:cs="仿宋_GB2312"/>
          <w:b w:val="0"/>
          <w:bCs w:val="0"/>
          <w:kern w:val="0"/>
          <w:sz w:val="32"/>
          <w:szCs w:val="32"/>
          <w:highlight w:val="none"/>
          <w:lang w:eastAsia="zh-CN"/>
        </w:rPr>
        <w:t>共</w:t>
      </w:r>
      <w:r>
        <w:rPr>
          <w:rFonts w:hint="eastAsia" w:ascii="仿宋_GB2312" w:hAnsi="仿宋_GB2312" w:eastAsia="仿宋_GB2312" w:cs="仿宋_GB2312"/>
          <w:b w:val="0"/>
          <w:bCs w:val="0"/>
          <w:kern w:val="0"/>
          <w:sz w:val="32"/>
          <w:szCs w:val="32"/>
          <w:highlight w:val="none"/>
        </w:rPr>
        <w:t>发布</w:t>
      </w:r>
      <w:r>
        <w:rPr>
          <w:rFonts w:hint="eastAsia" w:ascii="仿宋_GB2312" w:hAnsi="仿宋_GB2312" w:eastAsia="仿宋_GB2312" w:cs="仿宋_GB2312"/>
          <w:b w:val="0"/>
          <w:bCs w:val="0"/>
          <w:kern w:val="0"/>
          <w:sz w:val="32"/>
          <w:szCs w:val="32"/>
          <w:highlight w:val="none"/>
          <w:lang w:val="en-US" w:eastAsia="zh-CN"/>
        </w:rPr>
        <w:t>20</w:t>
      </w:r>
      <w:r>
        <w:rPr>
          <w:rFonts w:hint="eastAsia" w:ascii="仿宋_GB2312" w:hAnsi="仿宋_GB2312" w:eastAsia="仿宋_GB2312" w:cs="仿宋_GB2312"/>
          <w:b w:val="0"/>
          <w:bCs w:val="0"/>
          <w:kern w:val="0"/>
          <w:sz w:val="32"/>
          <w:szCs w:val="32"/>
          <w:highlight w:val="none"/>
        </w:rPr>
        <w:t>条</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政策征集信息</w:t>
      </w:r>
      <w:r>
        <w:rPr>
          <w:rFonts w:hint="eastAsia" w:ascii="仿宋_GB2312" w:hAnsi="仿宋_GB2312" w:eastAsia="仿宋_GB2312" w:cs="仿宋_GB2312"/>
          <w:b w:val="0"/>
          <w:bCs w:val="0"/>
          <w:kern w:val="0"/>
          <w:sz w:val="32"/>
          <w:szCs w:val="32"/>
          <w:highlight w:val="none"/>
          <w:lang w:eastAsia="zh-CN"/>
        </w:rPr>
        <w:t>共</w:t>
      </w:r>
      <w:r>
        <w:rPr>
          <w:rFonts w:hint="eastAsia" w:ascii="仿宋_GB2312" w:hAnsi="仿宋_GB2312" w:eastAsia="仿宋_GB2312" w:cs="仿宋_GB2312"/>
          <w:b w:val="0"/>
          <w:bCs w:val="0"/>
          <w:kern w:val="0"/>
          <w:sz w:val="32"/>
          <w:szCs w:val="32"/>
          <w:highlight w:val="none"/>
        </w:rPr>
        <w:t>发布</w:t>
      </w:r>
      <w:r>
        <w:rPr>
          <w:rFonts w:hint="eastAsia" w:ascii="仿宋_GB2312" w:hAnsi="仿宋_GB2312" w:eastAsia="仿宋_GB2312" w:cs="仿宋_GB2312"/>
          <w:sz w:val="32"/>
          <w:szCs w:val="32"/>
          <w:highlight w:val="none"/>
          <w:lang w:val="en-US" w:eastAsia="zh-CN"/>
        </w:rPr>
        <w:t>2条。</w:t>
      </w:r>
    </w:p>
    <w:p w14:paraId="32DA6BB1">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依申请公开</w:t>
      </w:r>
    </w:p>
    <w:p w14:paraId="369E8200">
      <w:pPr>
        <w:pStyle w:val="2"/>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w:t>
      </w:r>
      <w:r>
        <w:rPr>
          <w:rFonts w:hint="eastAsia" w:ascii="仿宋_GB2312" w:hAnsi="宋体" w:eastAsia="仿宋_GB2312" w:cs="宋体"/>
          <w:spacing w:val="8"/>
          <w:kern w:val="0"/>
          <w:sz w:val="32"/>
          <w:szCs w:val="32"/>
        </w:rPr>
        <w:t>我中心收到</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件政府信息公开申请，申请人为自然人。按照《政府信息公开条例》要求，我中心依法依规作出依申请公开答复，及时向申请人出具了登记回执、答复告知书及具体信息。</w:t>
      </w:r>
    </w:p>
    <w:p w14:paraId="4979A499">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政府信息管理</w:t>
      </w:r>
    </w:p>
    <w:p w14:paraId="15A9E036">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我中心</w:t>
      </w:r>
      <w:r>
        <w:rPr>
          <w:rFonts w:hint="eastAsia" w:ascii="仿宋_GB2312" w:hAnsi="宋体" w:eastAsia="仿宋_GB2312" w:cs="宋体"/>
          <w:spacing w:val="8"/>
          <w:kern w:val="0"/>
          <w:sz w:val="32"/>
          <w:szCs w:val="32"/>
        </w:rPr>
        <w:t>将政府信息公开工作作为年度一项重点工作来抓。安排专人负责公开工作开展，按照要求及时公开信息。同时，严格落实“三审三校”制度，对发布的信息进行严格审核把关，确保信息内容真实、准确、合法，提升信息公开的数量和质量。</w:t>
      </w:r>
    </w:p>
    <w:p w14:paraId="0E27BA3A">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政府信息公开平台建设</w:t>
      </w:r>
    </w:p>
    <w:p w14:paraId="24D643C6">
      <w:pPr>
        <w:pStyle w:val="2"/>
        <w:numPr>
          <w:numId w:val="0"/>
        </w:numPr>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kern w:val="0"/>
          <w:sz w:val="32"/>
          <w:szCs w:val="32"/>
          <w:highlight w:val="none"/>
        </w:rPr>
        <w:t>充分发挥多平台的作用,</w:t>
      </w:r>
      <w:r>
        <w:rPr>
          <w:rFonts w:hint="eastAsia" w:ascii="仿宋_GB2312" w:hAnsi="仿宋_GB2312" w:eastAsia="仿宋_GB2312" w:cs="仿宋_GB2312"/>
          <w:sz w:val="32"/>
          <w:szCs w:val="32"/>
          <w:lang w:val="en-US" w:eastAsia="zh-CN"/>
        </w:rPr>
        <w:t>通过政府网站、微信公众号、抖音号等平台，聚焦习近平新时代中国特色社会主义思想和党的二十大精神在城市副中心形成的生动实践，围绕京津冀协同发展、“两区”建设、优化营商环境等内容，及时更新宣传材料，展示工作成果，</w:t>
      </w:r>
      <w:r>
        <w:rPr>
          <w:rFonts w:hint="eastAsia" w:ascii="仿宋_GB2312" w:hAnsi="仿宋_GB2312" w:eastAsia="仿宋_GB2312" w:cs="仿宋_GB2312"/>
          <w:kern w:val="0"/>
          <w:sz w:val="32"/>
          <w:szCs w:val="32"/>
          <w:highlight w:val="none"/>
        </w:rPr>
        <w:t>加大主动发布政府信息的力度,切实推进我中心政务公开工作。</w:t>
      </w:r>
    </w:p>
    <w:p w14:paraId="24261166">
      <w:pPr>
        <w:pStyle w:val="2"/>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政府信息公开教育培训、监督保障等方面内容</w:t>
      </w:r>
    </w:p>
    <w:p w14:paraId="4324928D">
      <w:pPr>
        <w:pStyle w:val="2"/>
        <w:numPr>
          <w:ilvl w:val="0"/>
          <w:numId w:val="0"/>
        </w:numPr>
        <w:ind w:firstLine="640" w:firstLineChars="200"/>
      </w:pPr>
      <w:r>
        <w:rPr>
          <w:rFonts w:ascii="仿宋_GB2312" w:hAnsi="宋体" w:eastAsia="仿宋_GB2312" w:cs="仿宋_GB2312"/>
          <w:i w:val="0"/>
          <w:iCs w:val="0"/>
          <w:caps w:val="0"/>
          <w:color w:val="000000"/>
          <w:spacing w:val="0"/>
          <w:sz w:val="32"/>
          <w:szCs w:val="32"/>
          <w:shd w:val="clear" w:fill="FFFFFF"/>
        </w:rPr>
        <w:t>为更好地开展政府信息公开工作，</w:t>
      </w:r>
      <w:r>
        <w:rPr>
          <w:rFonts w:ascii="仿宋_GB2312" w:hAnsi="宋体" w:eastAsia="仿宋_GB2312" w:cs="仿宋_GB2312"/>
          <w:i w:val="0"/>
          <w:iCs w:val="0"/>
          <w:caps w:val="0"/>
          <w:color w:val="000000"/>
          <w:spacing w:val="0"/>
          <w:sz w:val="32"/>
          <w:szCs w:val="32"/>
          <w:shd w:val="clear" w:fill="FFFFFF"/>
        </w:rPr>
        <w:t>我</w:t>
      </w:r>
      <w:r>
        <w:rPr>
          <w:rFonts w:hint="eastAsia" w:ascii="仿宋_GB2312" w:hAnsi="宋体" w:eastAsia="仿宋_GB2312" w:cs="仿宋_GB2312"/>
          <w:i w:val="0"/>
          <w:iCs w:val="0"/>
          <w:caps w:val="0"/>
          <w:color w:val="000000"/>
          <w:spacing w:val="0"/>
          <w:sz w:val="32"/>
          <w:szCs w:val="32"/>
          <w:shd w:val="clear" w:fill="FFFFFF"/>
          <w:lang w:eastAsia="zh-CN"/>
        </w:rPr>
        <w:t>中心积极</w:t>
      </w:r>
      <w:r>
        <w:rPr>
          <w:rFonts w:hint="eastAsia" w:ascii="仿宋_GB2312" w:hAnsi="仿宋_GB2312" w:eastAsia="仿宋_GB2312" w:cs="仿宋_GB2312"/>
          <w:sz w:val="32"/>
          <w:szCs w:val="32"/>
          <w:lang w:val="en-US" w:eastAsia="zh-CN"/>
        </w:rPr>
        <w:t>参加</w:t>
      </w:r>
      <w:r>
        <w:rPr>
          <w:rFonts w:hint="eastAsia" w:ascii="仿宋_GB2312" w:hAnsi="宋体" w:eastAsia="仿宋_GB2312" w:cs="宋体"/>
          <w:spacing w:val="8"/>
          <w:kern w:val="0"/>
          <w:sz w:val="32"/>
          <w:szCs w:val="32"/>
        </w:rPr>
        <w:t>区政务服务局举办</w:t>
      </w:r>
      <w:r>
        <w:rPr>
          <w:rFonts w:hint="eastAsia" w:ascii="仿宋_GB2312" w:hAnsi="宋体" w:eastAsia="仿宋_GB2312" w:cs="宋体"/>
          <w:spacing w:val="8"/>
          <w:kern w:val="0"/>
          <w:sz w:val="32"/>
          <w:szCs w:val="32"/>
        </w:rPr>
        <w:t>的</w:t>
      </w:r>
      <w:r>
        <w:rPr>
          <w:rFonts w:ascii="仿宋_GB2312" w:hAnsi="宋体" w:eastAsia="仿宋_GB2312" w:cs="仿宋_GB2312"/>
          <w:i w:val="0"/>
          <w:iCs w:val="0"/>
          <w:caps w:val="0"/>
          <w:color w:val="000000"/>
          <w:spacing w:val="0"/>
          <w:sz w:val="32"/>
          <w:szCs w:val="32"/>
          <w:shd w:val="clear" w:fill="FFFFFF"/>
        </w:rPr>
        <w:t>信息公开工作人员业务技能培训，严格</w:t>
      </w:r>
      <w:r>
        <w:rPr>
          <w:rFonts w:ascii="仿宋_GB2312" w:hAnsi="宋体" w:eastAsia="仿宋_GB2312" w:cs="仿宋_GB2312"/>
          <w:i w:val="0"/>
          <w:iCs w:val="0"/>
          <w:caps w:val="0"/>
          <w:color w:val="000000"/>
          <w:spacing w:val="0"/>
          <w:sz w:val="32"/>
          <w:szCs w:val="32"/>
          <w:shd w:val="clear" w:fill="FFFFFF"/>
        </w:rPr>
        <w:t>要求执行保密制度及责任追究制度，</w:t>
      </w:r>
      <w:r>
        <w:rPr>
          <w:rFonts w:hint="eastAsia" w:ascii="仿宋_GB2312" w:hAnsi="仿宋_GB2312" w:eastAsia="仿宋_GB2312" w:cs="仿宋_GB2312"/>
          <w:sz w:val="32"/>
          <w:szCs w:val="32"/>
          <w:lang w:val="en-US" w:eastAsia="zh-CN"/>
        </w:rPr>
        <w:t>有效保障了政府信息公开工作的稳步推进。</w:t>
      </w:r>
    </w:p>
    <w:p w14:paraId="2BDC2091">
      <w:pPr>
        <w:keepNext w:val="0"/>
        <w:keepLines w:val="0"/>
        <w:pageBreakBefore w:val="0"/>
        <w:numPr>
          <w:ilvl w:val="0"/>
          <w:numId w:val="3"/>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399588C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B38BCA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48AB6C6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FE94EE3">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510D51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3C32E0E">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FC38D0F">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86AC3A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75ABF3B">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14C24E1">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76CB039">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B1200E5">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14:paraId="7919847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F885B67">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9C3476">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613A9F9">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CDE9108">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14:paraId="152F932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42879D1">
            <w:pPr>
              <w:widowControl/>
              <w:spacing w:line="560" w:lineRule="exact"/>
              <w:jc w:val="center"/>
            </w:pPr>
            <w:r>
              <w:rPr>
                <w:rFonts w:hint="eastAsia" w:ascii="宋体" w:hAnsi="宋体" w:cs="宋体"/>
                <w:color w:val="000000"/>
                <w:kern w:val="0"/>
                <w:sz w:val="20"/>
                <w:szCs w:val="20"/>
                <w:lang w:bidi="ar"/>
              </w:rPr>
              <w:t>第二十条第（五）项</w:t>
            </w:r>
          </w:p>
        </w:tc>
      </w:tr>
      <w:tr w14:paraId="6FCF6CD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E7A2A7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8AE113D">
            <w:pPr>
              <w:widowControl/>
              <w:spacing w:line="560" w:lineRule="exact"/>
              <w:jc w:val="center"/>
            </w:pPr>
            <w:r>
              <w:rPr>
                <w:rFonts w:hint="eastAsia" w:ascii="宋体" w:hAnsi="宋体" w:cs="宋体"/>
                <w:color w:val="000000"/>
                <w:kern w:val="0"/>
                <w:sz w:val="20"/>
                <w:szCs w:val="20"/>
                <w:lang w:bidi="ar"/>
              </w:rPr>
              <w:t>本年处理决定数量</w:t>
            </w:r>
          </w:p>
        </w:tc>
      </w:tr>
      <w:tr w14:paraId="0C15967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D5B0600">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B6E1C96">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14:paraId="456BA83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5914958">
            <w:pPr>
              <w:widowControl/>
              <w:spacing w:line="560" w:lineRule="exact"/>
              <w:jc w:val="center"/>
            </w:pPr>
            <w:r>
              <w:rPr>
                <w:rFonts w:hint="eastAsia" w:ascii="宋体" w:hAnsi="宋体" w:cs="宋体"/>
                <w:color w:val="000000"/>
                <w:kern w:val="0"/>
                <w:sz w:val="20"/>
                <w:szCs w:val="20"/>
                <w:lang w:bidi="ar"/>
              </w:rPr>
              <w:t>第二十条第（六）项</w:t>
            </w:r>
          </w:p>
        </w:tc>
      </w:tr>
      <w:tr w14:paraId="1833D58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54740E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E035B9B">
            <w:pPr>
              <w:widowControl/>
              <w:spacing w:line="560" w:lineRule="exact"/>
              <w:jc w:val="center"/>
            </w:pPr>
            <w:r>
              <w:rPr>
                <w:rFonts w:hint="eastAsia" w:ascii="宋体" w:hAnsi="宋体" w:cs="宋体"/>
                <w:color w:val="000000"/>
                <w:kern w:val="0"/>
                <w:sz w:val="20"/>
                <w:szCs w:val="20"/>
                <w:lang w:bidi="ar"/>
              </w:rPr>
              <w:t>本年处理决定数量</w:t>
            </w:r>
          </w:p>
        </w:tc>
      </w:tr>
      <w:tr w14:paraId="3FAA47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CA72B2F">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39F2CFA">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14:paraId="7CC2097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C214E4A">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875C854">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14:paraId="286FB6A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614AB8E">
            <w:pPr>
              <w:widowControl/>
              <w:spacing w:line="560" w:lineRule="exact"/>
              <w:jc w:val="center"/>
            </w:pPr>
            <w:r>
              <w:rPr>
                <w:rFonts w:hint="eastAsia" w:ascii="宋体" w:hAnsi="宋体" w:cs="宋体"/>
                <w:color w:val="000000"/>
                <w:kern w:val="0"/>
                <w:sz w:val="20"/>
                <w:szCs w:val="20"/>
                <w:lang w:bidi="ar"/>
              </w:rPr>
              <w:t>第二十条第（八）项</w:t>
            </w:r>
          </w:p>
        </w:tc>
      </w:tr>
      <w:tr w14:paraId="5D7EFF5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3E3E3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4E457A06">
            <w:pPr>
              <w:widowControl/>
              <w:spacing w:line="560" w:lineRule="exact"/>
              <w:jc w:val="center"/>
            </w:pPr>
            <w:r>
              <w:rPr>
                <w:rFonts w:hint="eastAsia" w:ascii="宋体" w:hAnsi="宋体" w:cs="宋体"/>
                <w:color w:val="000000"/>
                <w:kern w:val="0"/>
                <w:sz w:val="20"/>
                <w:szCs w:val="20"/>
                <w:lang w:bidi="ar"/>
              </w:rPr>
              <w:t>本年收费金额（单位：万元）</w:t>
            </w:r>
          </w:p>
        </w:tc>
      </w:tr>
      <w:tr w14:paraId="56B846A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2CCD41D">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3E975B49">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14:paraId="5EC4979A">
      <w:pPr>
        <w:pStyle w:val="2"/>
        <w:spacing w:line="560" w:lineRule="exact"/>
        <w:rPr>
          <w:rFonts w:hint="eastAsia"/>
        </w:rPr>
      </w:pPr>
    </w:p>
    <w:p w14:paraId="4D0B6294">
      <w:pPr>
        <w:numPr>
          <w:ilvl w:val="0"/>
          <w:numId w:val="3"/>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CF32F8A">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EF8A4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7EE6484">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104FF12A">
            <w:pPr>
              <w:widowControl/>
              <w:spacing w:line="560" w:lineRule="exact"/>
              <w:jc w:val="center"/>
            </w:pPr>
            <w:r>
              <w:rPr>
                <w:rFonts w:hint="eastAsia" w:ascii="宋体" w:hAnsi="宋体" w:cs="宋体"/>
                <w:kern w:val="0"/>
                <w:sz w:val="20"/>
                <w:szCs w:val="20"/>
                <w:lang w:bidi="ar"/>
              </w:rPr>
              <w:t>申请人情况</w:t>
            </w:r>
          </w:p>
        </w:tc>
      </w:tr>
      <w:tr w14:paraId="2DC406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50CD0974">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6621841">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6DC5049">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14:paraId="66322A98">
            <w:pPr>
              <w:widowControl/>
              <w:spacing w:line="560" w:lineRule="exact"/>
              <w:jc w:val="center"/>
            </w:pPr>
            <w:r>
              <w:rPr>
                <w:rFonts w:hint="eastAsia" w:ascii="宋体" w:hAnsi="宋体" w:cs="宋体"/>
                <w:kern w:val="0"/>
                <w:sz w:val="20"/>
                <w:szCs w:val="20"/>
                <w:lang w:bidi="ar"/>
              </w:rPr>
              <w:t>总计</w:t>
            </w:r>
          </w:p>
        </w:tc>
      </w:tr>
      <w:tr w14:paraId="387FD6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1524E641">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49559BF">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0E3194A">
            <w:pPr>
              <w:widowControl/>
              <w:spacing w:line="560" w:lineRule="exact"/>
              <w:jc w:val="center"/>
            </w:pPr>
            <w:r>
              <w:rPr>
                <w:rFonts w:hint="eastAsia" w:ascii="宋体" w:hAnsi="宋体" w:cs="宋体"/>
                <w:kern w:val="0"/>
                <w:sz w:val="20"/>
                <w:szCs w:val="20"/>
                <w:lang w:bidi="ar"/>
              </w:rPr>
              <w:t>商业</w:t>
            </w:r>
          </w:p>
          <w:p w14:paraId="02BA5D8E">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75109E7">
            <w:pPr>
              <w:widowControl/>
              <w:spacing w:line="560" w:lineRule="exact"/>
              <w:jc w:val="center"/>
            </w:pPr>
            <w:r>
              <w:rPr>
                <w:rFonts w:hint="eastAsia" w:ascii="宋体" w:hAnsi="宋体" w:cs="宋体"/>
                <w:kern w:val="0"/>
                <w:sz w:val="20"/>
                <w:szCs w:val="20"/>
                <w:lang w:bidi="ar"/>
              </w:rPr>
              <w:t>科研</w:t>
            </w:r>
          </w:p>
          <w:p w14:paraId="5A3B387F">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87A40D0">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5950866">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92AFAAA">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14:paraId="07469B12">
            <w:pPr>
              <w:spacing w:line="560" w:lineRule="exact"/>
              <w:rPr>
                <w:rFonts w:hint="eastAsia" w:ascii="宋体"/>
                <w:sz w:val="24"/>
              </w:rPr>
            </w:pPr>
          </w:p>
        </w:tc>
      </w:tr>
      <w:tr w14:paraId="044E3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2B0EA9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5571EC">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F4B6C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A5F57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4439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E31C6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3A78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6F9652">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r>
      <w:tr w14:paraId="47B4C1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B835B78">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68E49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1A8A5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4178C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CB718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FBECE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2DD0D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9DB6F2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AE03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BFE43AD">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478EBF5">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C7228C">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28C06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39622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FAFD1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6A330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89B74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7E37FF7">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5DF6F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B427715">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D78A59C">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ED63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310C4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3405A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26CE7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C377C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A82E81">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293E822">
            <w:pPr>
              <w:widowControl/>
              <w:spacing w:line="560" w:lineRule="exact"/>
              <w:jc w:val="center"/>
            </w:pPr>
            <w:r>
              <w:rPr>
                <w:rFonts w:hint="eastAsia" w:ascii="Calibri" w:hAnsi="Calibri" w:cs="Calibri"/>
                <w:kern w:val="0"/>
                <w:sz w:val="20"/>
                <w:szCs w:val="20"/>
                <w:lang w:val="en-US" w:eastAsia="zh-CN" w:bidi="ar"/>
              </w:rPr>
              <w:t>0</w:t>
            </w:r>
          </w:p>
        </w:tc>
      </w:tr>
      <w:tr w14:paraId="027EB0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425B1D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0EE4719A">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94126B7">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A472E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828E3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B184A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E9007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9CFE3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E77CAE">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403A36C9">
            <w:pPr>
              <w:widowControl/>
              <w:spacing w:line="560" w:lineRule="exact"/>
              <w:jc w:val="center"/>
            </w:pPr>
            <w:r>
              <w:rPr>
                <w:rFonts w:hint="eastAsia" w:ascii="Calibri" w:hAnsi="Calibri" w:cs="Calibri"/>
                <w:kern w:val="0"/>
                <w:sz w:val="20"/>
                <w:szCs w:val="20"/>
                <w:lang w:val="en-US" w:eastAsia="zh-CN" w:bidi="ar"/>
              </w:rPr>
              <w:t>0</w:t>
            </w:r>
          </w:p>
        </w:tc>
      </w:tr>
      <w:tr w14:paraId="1F18F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B2B9A4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67813A0">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ED96B10">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B1CA4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663CF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0291C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80AD2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91423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11AD01">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AD5E3C">
            <w:pPr>
              <w:widowControl/>
              <w:spacing w:line="560" w:lineRule="exact"/>
              <w:jc w:val="center"/>
            </w:pPr>
            <w:r>
              <w:rPr>
                <w:rFonts w:hint="eastAsia" w:ascii="Calibri" w:hAnsi="Calibri" w:cs="Calibri"/>
                <w:kern w:val="0"/>
                <w:sz w:val="20"/>
                <w:szCs w:val="20"/>
                <w:lang w:val="en-US" w:eastAsia="zh-CN" w:bidi="ar"/>
              </w:rPr>
              <w:t>0</w:t>
            </w:r>
          </w:p>
        </w:tc>
      </w:tr>
      <w:tr w14:paraId="46D4B2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72B92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5CE11825">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72EBD6C">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2F93C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BF304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649EF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275B4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380A2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9B3A36">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D5DB19">
            <w:pPr>
              <w:widowControl/>
              <w:spacing w:line="560" w:lineRule="exact"/>
              <w:jc w:val="center"/>
            </w:pPr>
            <w:r>
              <w:rPr>
                <w:rFonts w:hint="eastAsia" w:ascii="Calibri" w:hAnsi="Calibri" w:cs="Calibri"/>
                <w:kern w:val="0"/>
                <w:sz w:val="20"/>
                <w:szCs w:val="20"/>
                <w:lang w:val="en-US" w:eastAsia="zh-CN" w:bidi="ar"/>
              </w:rPr>
              <w:t>0</w:t>
            </w:r>
          </w:p>
        </w:tc>
      </w:tr>
      <w:tr w14:paraId="09068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8CC03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878D088">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81769A3">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1E6AA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F698E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6EC3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EFBEF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31C48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DFF4A">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9986A76">
            <w:pPr>
              <w:widowControl/>
              <w:spacing w:line="560" w:lineRule="exact"/>
              <w:jc w:val="center"/>
            </w:pPr>
            <w:r>
              <w:rPr>
                <w:rFonts w:hint="eastAsia" w:ascii="Calibri" w:hAnsi="Calibri" w:cs="Calibri"/>
                <w:kern w:val="0"/>
                <w:sz w:val="20"/>
                <w:szCs w:val="20"/>
                <w:lang w:val="en-US" w:eastAsia="zh-CN" w:bidi="ar"/>
              </w:rPr>
              <w:t>0</w:t>
            </w:r>
          </w:p>
        </w:tc>
      </w:tr>
      <w:tr w14:paraId="6108D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62AEA2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437683D7">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451412">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92E236">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B8892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BD5B5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AA291A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AF4C5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AB6DB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78D07C8">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282F1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778F96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9B3460D">
            <w:pPr>
              <w:spacing w:line="560" w:lineRule="exact"/>
              <w:rPr>
                <w:rFonts w:hint="eastAsia" w:ascii="宋体"/>
                <w:sz w:val="24"/>
              </w:rPr>
            </w:pPr>
          </w:p>
        </w:tc>
        <w:tc>
          <w:tcPr>
            <w:tcW w:w="3220" w:type="dxa"/>
            <w:tcBorders>
              <w:top w:val="nil"/>
              <w:left w:val="nil"/>
              <w:bottom w:val="single" w:color="auto" w:sz="4" w:space="0"/>
              <w:right w:val="single" w:color="auto" w:sz="8" w:space="0"/>
            </w:tcBorders>
            <w:shd w:val="clear" w:color="auto" w:fill="DDEBF7"/>
            <w:noWrap w:val="0"/>
            <w:tcMar>
              <w:left w:w="57" w:type="dxa"/>
              <w:right w:w="57" w:type="dxa"/>
            </w:tcMar>
            <w:vAlign w:val="top"/>
          </w:tcPr>
          <w:p w14:paraId="5E1C7A81">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D06C2A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3E5D39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CCF93A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E29505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752E6A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572EBFB">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499F6BBD">
            <w:pPr>
              <w:widowControl/>
              <w:spacing w:line="560" w:lineRule="exact"/>
              <w:jc w:val="center"/>
            </w:pPr>
            <w:r>
              <w:rPr>
                <w:rFonts w:hint="eastAsia" w:ascii="Calibri" w:hAnsi="Calibri" w:cs="Calibri"/>
                <w:kern w:val="0"/>
                <w:sz w:val="20"/>
                <w:szCs w:val="20"/>
                <w:lang w:val="en-US" w:eastAsia="zh-CN" w:bidi="ar"/>
              </w:rPr>
              <w:t>0</w:t>
            </w:r>
          </w:p>
        </w:tc>
      </w:tr>
      <w:tr w14:paraId="1C2201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FE3BE1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F5F0C53">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14:paraId="2677C51A">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12FF1F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AFF7C6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7F0C47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E4A117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22FE3B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562AE2A2">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1CED67C2">
            <w:pPr>
              <w:widowControl/>
              <w:spacing w:line="560" w:lineRule="exact"/>
              <w:jc w:val="center"/>
            </w:pPr>
            <w:r>
              <w:rPr>
                <w:rFonts w:hint="eastAsia" w:ascii="Calibri" w:hAnsi="Calibri" w:cs="Calibri"/>
                <w:kern w:val="0"/>
                <w:sz w:val="20"/>
                <w:szCs w:val="20"/>
                <w:lang w:val="en-US" w:eastAsia="zh-CN" w:bidi="ar"/>
              </w:rPr>
              <w:t>0</w:t>
            </w:r>
          </w:p>
        </w:tc>
      </w:tr>
      <w:tr w14:paraId="3E0A73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0447C3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5ACE95D5">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5A877C7">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3E408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67A67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92BBB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DE566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3651A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80828E">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21895D8">
            <w:pPr>
              <w:widowControl/>
              <w:spacing w:line="560" w:lineRule="exact"/>
              <w:jc w:val="center"/>
            </w:pPr>
            <w:r>
              <w:rPr>
                <w:rFonts w:hint="eastAsia" w:ascii="Calibri" w:hAnsi="Calibri" w:cs="Calibri"/>
                <w:kern w:val="0"/>
                <w:sz w:val="20"/>
                <w:szCs w:val="20"/>
                <w:lang w:val="en-US" w:eastAsia="zh-CN" w:bidi="ar"/>
              </w:rPr>
              <w:t>0</w:t>
            </w:r>
          </w:p>
        </w:tc>
      </w:tr>
      <w:tr w14:paraId="1BD92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99D4AF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7C4B846C">
            <w:pPr>
              <w:widowControl/>
              <w:spacing w:line="560" w:lineRule="exac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5C2ED39">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52842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8DE7F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6EDC1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BE312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199DD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75EB80">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BCA5CE0">
            <w:pPr>
              <w:widowControl/>
              <w:spacing w:line="560" w:lineRule="exact"/>
              <w:jc w:val="center"/>
            </w:pPr>
            <w:r>
              <w:rPr>
                <w:rFonts w:hint="eastAsia" w:ascii="Calibri" w:hAnsi="Calibri" w:cs="Calibri"/>
                <w:kern w:val="0"/>
                <w:sz w:val="20"/>
                <w:szCs w:val="20"/>
                <w:lang w:val="en-US" w:eastAsia="zh-CN" w:bidi="ar"/>
              </w:rPr>
              <w:t>0</w:t>
            </w:r>
          </w:p>
        </w:tc>
      </w:tr>
      <w:tr w14:paraId="6C46BE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2F706A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7B90C834">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52B5BB3">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DA348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9F5F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13149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0EBCE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0917A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080F10">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21E011A">
            <w:pPr>
              <w:widowControl/>
              <w:spacing w:line="560" w:lineRule="exact"/>
              <w:jc w:val="center"/>
            </w:pPr>
            <w:r>
              <w:rPr>
                <w:rFonts w:hint="eastAsia" w:ascii="Calibri" w:hAnsi="Calibri" w:cs="Calibri"/>
                <w:kern w:val="0"/>
                <w:sz w:val="20"/>
                <w:szCs w:val="20"/>
                <w:lang w:val="en-US" w:eastAsia="zh-CN" w:bidi="ar"/>
              </w:rPr>
              <w:t>0</w:t>
            </w:r>
          </w:p>
        </w:tc>
      </w:tr>
      <w:tr w14:paraId="1082C1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E642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3AFD871">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052FBCB">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4A6C7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242C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34EF2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C4A3E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89525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841CA7">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D3AF51D">
            <w:pPr>
              <w:widowControl/>
              <w:spacing w:line="560" w:lineRule="exact"/>
              <w:jc w:val="center"/>
            </w:pPr>
            <w:r>
              <w:rPr>
                <w:rFonts w:hint="eastAsia" w:ascii="Calibri" w:hAnsi="Calibri" w:cs="Calibri"/>
                <w:kern w:val="0"/>
                <w:sz w:val="20"/>
                <w:szCs w:val="20"/>
                <w:lang w:val="en-US" w:eastAsia="zh-CN" w:bidi="ar"/>
              </w:rPr>
              <w:t>0</w:t>
            </w:r>
          </w:p>
        </w:tc>
      </w:tr>
      <w:tr w14:paraId="4C0E7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41169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01A59ED">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25998F44">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FEB91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9E5B8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91722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C628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66967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7873BE">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8704DF1">
            <w:pPr>
              <w:widowControl/>
              <w:spacing w:line="560" w:lineRule="exact"/>
              <w:jc w:val="center"/>
            </w:pPr>
            <w:r>
              <w:rPr>
                <w:rFonts w:hint="eastAsia" w:ascii="Calibri" w:hAnsi="Calibri" w:cs="Calibri"/>
                <w:kern w:val="0"/>
                <w:sz w:val="20"/>
                <w:szCs w:val="20"/>
                <w:lang w:val="en-US" w:eastAsia="zh-CN" w:bidi="ar"/>
              </w:rPr>
              <w:t>0</w:t>
            </w:r>
          </w:p>
        </w:tc>
      </w:tr>
      <w:tr w14:paraId="665A2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F0ADE6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1B23F7A">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A480C1F">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3BCCA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660D7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77966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0234E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FE946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8AFED3">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72E5E69">
            <w:pPr>
              <w:widowControl/>
              <w:spacing w:line="560" w:lineRule="exact"/>
              <w:jc w:val="center"/>
            </w:pPr>
            <w:r>
              <w:rPr>
                <w:rFonts w:hint="eastAsia" w:ascii="Calibri" w:hAnsi="Calibri" w:cs="Calibri"/>
                <w:kern w:val="0"/>
                <w:sz w:val="20"/>
                <w:szCs w:val="20"/>
                <w:lang w:val="en-US" w:eastAsia="zh-CN" w:bidi="ar"/>
              </w:rPr>
              <w:t>0</w:t>
            </w:r>
          </w:p>
        </w:tc>
      </w:tr>
      <w:tr w14:paraId="663DCC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3ABE0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72AB92C6">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A015899">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2037D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76DA3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D5009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BCF05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39F8C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15790B">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70A89BE">
            <w:pPr>
              <w:widowControl/>
              <w:spacing w:line="560" w:lineRule="exact"/>
              <w:jc w:val="center"/>
            </w:pPr>
            <w:r>
              <w:rPr>
                <w:rFonts w:hint="eastAsia" w:ascii="Calibri" w:hAnsi="Calibri" w:cs="Calibri"/>
                <w:kern w:val="0"/>
                <w:sz w:val="20"/>
                <w:szCs w:val="20"/>
                <w:lang w:val="en-US" w:eastAsia="zh-CN" w:bidi="ar"/>
              </w:rPr>
              <w:t>0</w:t>
            </w:r>
          </w:p>
        </w:tc>
      </w:tr>
      <w:tr w14:paraId="3DB4E1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93D1BC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6ABFB52">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84E60B6">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C0816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A27F3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D93F8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B49FD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9681F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2BA604">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40C28EC">
            <w:pPr>
              <w:widowControl/>
              <w:spacing w:line="560" w:lineRule="exact"/>
              <w:jc w:val="center"/>
            </w:pPr>
            <w:r>
              <w:rPr>
                <w:rFonts w:hint="eastAsia" w:ascii="Calibri" w:hAnsi="Calibri" w:cs="Calibri"/>
                <w:kern w:val="0"/>
                <w:sz w:val="20"/>
                <w:szCs w:val="20"/>
                <w:lang w:val="en-US" w:eastAsia="zh-CN" w:bidi="ar"/>
              </w:rPr>
              <w:t>0</w:t>
            </w:r>
          </w:p>
        </w:tc>
      </w:tr>
      <w:tr w14:paraId="3AED9E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ECEAD0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00FCB7F">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4CBF7F3D">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1716FA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DB5FB7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C7048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406E1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7BD95D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89F9DD">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1C524ED">
            <w:pPr>
              <w:widowControl/>
              <w:spacing w:line="560" w:lineRule="exact"/>
              <w:jc w:val="center"/>
            </w:pPr>
            <w:r>
              <w:rPr>
                <w:rFonts w:hint="eastAsia" w:ascii="Calibri" w:hAnsi="Calibri" w:cs="Calibri"/>
                <w:kern w:val="0"/>
                <w:sz w:val="20"/>
                <w:szCs w:val="20"/>
                <w:lang w:val="en-US" w:eastAsia="zh-CN" w:bidi="ar"/>
              </w:rPr>
              <w:t>0</w:t>
            </w:r>
          </w:p>
        </w:tc>
      </w:tr>
      <w:tr w14:paraId="205D7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ADD9FFE">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2476328C">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4312303">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6962C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575AF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A54B2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07037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C8CB2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C55E0B">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45C3C7F">
            <w:pPr>
              <w:widowControl/>
              <w:spacing w:line="560" w:lineRule="exact"/>
              <w:jc w:val="center"/>
            </w:pPr>
            <w:r>
              <w:rPr>
                <w:rFonts w:hint="eastAsia" w:ascii="Calibri" w:hAnsi="Calibri" w:cs="Calibri"/>
                <w:kern w:val="0"/>
                <w:sz w:val="20"/>
                <w:szCs w:val="20"/>
                <w:lang w:val="en-US" w:eastAsia="zh-CN" w:bidi="ar"/>
              </w:rPr>
              <w:t>0</w:t>
            </w:r>
          </w:p>
        </w:tc>
      </w:tr>
      <w:tr w14:paraId="207ABB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346201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10064EAA">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AE39854">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72EBC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7D85B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14FA9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D7111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12298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4C6207">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48AD5C1">
            <w:pPr>
              <w:widowControl/>
              <w:spacing w:line="560" w:lineRule="exact"/>
              <w:jc w:val="center"/>
            </w:pPr>
            <w:r>
              <w:rPr>
                <w:rFonts w:hint="eastAsia" w:ascii="Calibri" w:hAnsi="Calibri" w:cs="Calibri"/>
                <w:kern w:val="0"/>
                <w:sz w:val="20"/>
                <w:szCs w:val="20"/>
                <w:lang w:val="en-US" w:eastAsia="zh-CN" w:bidi="ar"/>
              </w:rPr>
              <w:t>0</w:t>
            </w:r>
          </w:p>
        </w:tc>
      </w:tr>
      <w:tr w14:paraId="65D9E7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0BD4481">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14:paraId="3FB67003">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CB729D3">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023D2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E424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9F50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5DBDB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36B70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C28B18">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5D85CE">
            <w:pPr>
              <w:widowControl/>
              <w:spacing w:line="560" w:lineRule="exact"/>
              <w:jc w:val="center"/>
            </w:pPr>
            <w:r>
              <w:rPr>
                <w:rFonts w:hint="eastAsia" w:ascii="Calibri" w:hAnsi="Calibri" w:cs="Calibri"/>
                <w:kern w:val="0"/>
                <w:sz w:val="20"/>
                <w:szCs w:val="20"/>
                <w:lang w:val="en-US" w:eastAsia="zh-CN" w:bidi="ar"/>
              </w:rPr>
              <w:t>0</w:t>
            </w:r>
          </w:p>
        </w:tc>
      </w:tr>
      <w:tr w14:paraId="1502D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00E032">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28F46C71">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80A35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7AF3B371">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58D7B617">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2973B1EF">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55B1B6D2">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1A424B83">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3029E6">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r>
      <w:tr w14:paraId="14CC9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5253B98">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shd w:val="clear"/>
            <w:noWrap w:val="0"/>
            <w:vAlign w:val="center"/>
          </w:tcPr>
          <w:p w14:paraId="48CEE545">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shd w:val="clear"/>
            <w:noWrap w:val="0"/>
            <w:vAlign w:val="center"/>
          </w:tcPr>
          <w:p w14:paraId="36A5E44F">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shd w:val="clear"/>
            <w:noWrap w:val="0"/>
            <w:vAlign w:val="center"/>
          </w:tcPr>
          <w:p w14:paraId="6DB917C0">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shd w:val="clear"/>
            <w:noWrap w:val="0"/>
            <w:vAlign w:val="center"/>
          </w:tcPr>
          <w:p w14:paraId="05435EA4">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noWrap w:val="0"/>
            <w:vAlign w:val="center"/>
          </w:tcPr>
          <w:p w14:paraId="53CFF243">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noWrap w:val="0"/>
            <w:vAlign w:val="center"/>
          </w:tcPr>
          <w:p w14:paraId="53906470">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shd w:val="clear"/>
            <w:noWrap w:val="0"/>
            <w:vAlign w:val="center"/>
          </w:tcPr>
          <w:p w14:paraId="361FD547">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r>
    </w:tbl>
    <w:p w14:paraId="62DBB230">
      <w:pPr>
        <w:pStyle w:val="2"/>
        <w:spacing w:line="560" w:lineRule="exact"/>
        <w:ind w:left="420" w:leftChars="200"/>
        <w:rPr>
          <w:rFonts w:hint="eastAsia"/>
        </w:rPr>
      </w:pPr>
    </w:p>
    <w:p w14:paraId="6D11DBCB">
      <w:pPr>
        <w:pStyle w:val="2"/>
        <w:spacing w:line="560" w:lineRule="exact"/>
        <w:ind w:left="420" w:leftChars="200"/>
        <w:rPr>
          <w:rFonts w:hint="eastAsia"/>
        </w:rPr>
      </w:pPr>
    </w:p>
    <w:p w14:paraId="25FEB4E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551E3171">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08C76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0397D311">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1F00975">
            <w:pPr>
              <w:widowControl/>
              <w:spacing w:line="560" w:lineRule="exact"/>
              <w:jc w:val="center"/>
            </w:pPr>
            <w:r>
              <w:rPr>
                <w:rFonts w:hint="eastAsia" w:ascii="宋体" w:hAnsi="宋体" w:cs="宋体"/>
                <w:kern w:val="0"/>
                <w:sz w:val="20"/>
                <w:szCs w:val="20"/>
                <w:lang w:bidi="ar"/>
              </w:rPr>
              <w:t>行政诉讼</w:t>
            </w:r>
          </w:p>
        </w:tc>
      </w:tr>
      <w:tr w14:paraId="65E68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74E45DF">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2AE6250">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3D4B9CE">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E020EAA">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CB62EF0">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79942FAE">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F2D52C7">
            <w:pPr>
              <w:widowControl/>
              <w:spacing w:line="560" w:lineRule="exact"/>
              <w:jc w:val="center"/>
            </w:pPr>
            <w:r>
              <w:rPr>
                <w:rFonts w:hint="eastAsia" w:ascii="宋体" w:hAnsi="宋体" w:cs="宋体"/>
                <w:kern w:val="0"/>
                <w:sz w:val="20"/>
                <w:szCs w:val="20"/>
                <w:lang w:bidi="ar"/>
              </w:rPr>
              <w:t>复议后起诉</w:t>
            </w:r>
          </w:p>
        </w:tc>
      </w:tr>
      <w:tr w14:paraId="79D152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7411319">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CC89579">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40827E">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34AE57">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189956">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68736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92B5D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AE7937">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960081">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26DECE">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F0617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49312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19F24D">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49C35C">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15E9D4">
            <w:pPr>
              <w:widowControl/>
              <w:spacing w:line="560" w:lineRule="exact"/>
              <w:jc w:val="center"/>
            </w:pPr>
            <w:r>
              <w:rPr>
                <w:rFonts w:hint="eastAsia" w:ascii="宋体" w:hAnsi="宋体" w:cs="宋体"/>
                <w:color w:val="000000"/>
                <w:kern w:val="0"/>
                <w:sz w:val="20"/>
                <w:szCs w:val="20"/>
                <w:lang w:bidi="ar"/>
              </w:rPr>
              <w:t>总计</w:t>
            </w:r>
          </w:p>
        </w:tc>
      </w:tr>
      <w:tr w14:paraId="64A4B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0EDC0578">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5873525E">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2C1C5984">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2B48AADA">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4F9B070E">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5C02BF24">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49"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0328AAEE">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393B730C">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1FD74336">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4E2E5DA7">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1"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70F142D2">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1"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3D9B5FC7">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1"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0DCCF73A">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1"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1D64A273">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51" w:type="dxa"/>
            <w:tcBorders>
              <w:top w:val="nil"/>
              <w:left w:val="single" w:color="auto" w:sz="8" w:space="0"/>
              <w:bottom w:val="single" w:color="auto" w:sz="8" w:space="0"/>
              <w:right w:val="single" w:color="auto" w:sz="8" w:space="0"/>
            </w:tcBorders>
            <w:shd w:val="clear"/>
            <w:noWrap w:val="0"/>
            <w:tcMar>
              <w:left w:w="108" w:type="dxa"/>
              <w:right w:w="108" w:type="dxa"/>
            </w:tcMar>
            <w:vAlign w:val="center"/>
          </w:tcPr>
          <w:p w14:paraId="268552AE">
            <w:pPr>
              <w:widowControl/>
              <w:jc w:val="center"/>
              <w:rPr>
                <w:rFonts w:hint="eastAsia" w:ascii="宋体" w:hAnsi="Times New Roman" w:cs="宋体" w:eastAsiaTheme="minorEastAsia"/>
                <w:kern w:val="2"/>
                <w:sz w:val="24"/>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bl>
    <w:p w14:paraId="015B5837">
      <w:pPr>
        <w:widowControl/>
        <w:spacing w:line="560" w:lineRule="exact"/>
        <w:jc w:val="left"/>
      </w:pPr>
    </w:p>
    <w:p w14:paraId="3EECF055">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14:paraId="2B097399">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2024年，</w:t>
      </w:r>
      <w:r>
        <w:rPr>
          <w:rFonts w:hint="eastAsia" w:ascii="仿宋_GB2312" w:hAnsi="宋体" w:eastAsia="仿宋_GB2312" w:cs="宋体"/>
          <w:spacing w:val="8"/>
          <w:kern w:val="0"/>
          <w:sz w:val="32"/>
          <w:szCs w:val="32"/>
        </w:rPr>
        <w:t>我</w:t>
      </w:r>
      <w:r>
        <w:rPr>
          <w:rFonts w:hint="eastAsia" w:ascii="仿宋_GB2312" w:hAnsi="宋体" w:eastAsia="仿宋_GB2312" w:cs="宋体"/>
          <w:spacing w:val="8"/>
          <w:kern w:val="0"/>
          <w:sz w:val="32"/>
          <w:szCs w:val="32"/>
          <w:lang w:eastAsia="zh-CN"/>
        </w:rPr>
        <w:t>中心</w:t>
      </w:r>
      <w:r>
        <w:rPr>
          <w:rFonts w:hint="eastAsia" w:ascii="仿宋_GB2312" w:hAnsi="宋体" w:eastAsia="仿宋_GB2312" w:cs="宋体"/>
          <w:spacing w:val="8"/>
          <w:kern w:val="0"/>
          <w:sz w:val="32"/>
          <w:szCs w:val="32"/>
        </w:rPr>
        <w:t>政府信息公开工作虽然取得一定的成效，但在具体推进过程中还存在一些问题。一是相关工作人员对政府信息公开工作处理业务水平还需加强；二是信息公开的全面性有待提高，内容还需进一步丰富</w:t>
      </w:r>
      <w:r>
        <w:rPr>
          <w:rFonts w:hint="eastAsia" w:ascii="仿宋_GB2312" w:hAnsi="宋体" w:eastAsia="仿宋_GB2312" w:cs="宋体"/>
          <w:spacing w:val="8"/>
          <w:kern w:val="0"/>
          <w:sz w:val="32"/>
          <w:szCs w:val="32"/>
          <w:lang w:eastAsia="zh-CN"/>
        </w:rPr>
        <w:t>。</w:t>
      </w:r>
    </w:p>
    <w:p w14:paraId="4A5A7E7B">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2025年，我中心将着重从以下几方面着手进一步做好政府信息公开工作：一是强化业务培训，整合政务公开力量和资源，建立健全相关机制，提升政务公开工作水平。二是</w:t>
      </w:r>
      <w:bookmarkStart w:id="0" w:name="_GoBack"/>
      <w:bookmarkEnd w:id="0"/>
      <w:r>
        <w:rPr>
          <w:rFonts w:hint="eastAsia" w:ascii="仿宋_GB2312" w:hAnsi="宋体" w:eastAsia="仿宋_GB2312" w:cs="宋体"/>
          <w:spacing w:val="8"/>
          <w:kern w:val="0"/>
          <w:sz w:val="32"/>
          <w:szCs w:val="32"/>
          <w:lang w:val="en-US" w:eastAsia="zh-CN"/>
        </w:rPr>
        <w:t>将会通过加强和相关部门信息沟通，打破信息茧房，提高信息公开的全面性。</w:t>
      </w:r>
      <w:r>
        <w:rPr>
          <w:rFonts w:hint="eastAsia" w:ascii="仿宋_GB2312" w:hAnsi="宋体" w:eastAsia="仿宋_GB2312" w:cs="宋体"/>
          <w:spacing w:val="8"/>
          <w:kern w:val="0"/>
          <w:sz w:val="32"/>
          <w:szCs w:val="32"/>
        </w:rPr>
        <w:t>　</w:t>
      </w:r>
    </w:p>
    <w:p w14:paraId="0A3348B1">
      <w:pPr>
        <w:widowControl/>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194811E">
      <w:pPr>
        <w:widowControl/>
        <w:spacing w:line="560" w:lineRule="exact"/>
        <w:jc w:val="left"/>
        <w:rPr>
          <w:rFonts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年度北京市通州区投资促进服务中心单位收取信息处理费情况为：发出收费通知的件数为0件，总金额为0元，实际收取的总金额为0元。</w:t>
      </w:r>
    </w:p>
    <w:p w14:paraId="52F85023">
      <w:pPr>
        <w:widowControl/>
        <w:spacing w:line="560" w:lineRule="exact"/>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北京市通州区人民政府网站网址为http://www.bjtzh.gov.cn/，如需了解更多政府信息，请登录查询。</w:t>
      </w:r>
    </w:p>
    <w:p w14:paraId="469F59E8">
      <w:pPr>
        <w:widowControl/>
        <w:spacing w:line="560" w:lineRule="exact"/>
        <w:jc w:val="left"/>
        <w:rPr>
          <w:rFonts w:hint="eastAsia" w:ascii="仿宋_GB2312" w:hAnsi="宋体" w:eastAsia="仿宋_GB2312" w:cs="宋体"/>
          <w:color w:val="9BC2E6"/>
          <w:spacing w:val="8"/>
          <w:kern w:val="0"/>
          <w:sz w:val="32"/>
          <w:szCs w:val="32"/>
        </w:rPr>
      </w:pPr>
    </w:p>
    <w:p w14:paraId="196EA2A5">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14:paraId="2DAF5466">
      <w:pPr>
        <w:pStyle w:val="2"/>
        <w:spacing w:line="560" w:lineRule="exact"/>
        <w:rPr>
          <w:rFonts w:hint="eastAsia"/>
        </w:rPr>
      </w:pPr>
    </w:p>
    <w:p w14:paraId="4CDB4FA7">
      <w:pPr>
        <w:pStyle w:val="2"/>
        <w:spacing w:line="560" w:lineRule="exact"/>
        <w:rPr>
          <w:rFonts w:hint="eastAsia"/>
        </w:rPr>
      </w:pPr>
    </w:p>
    <w:p w14:paraId="49A04D7F">
      <w:pPr>
        <w:spacing w:line="560" w:lineRule="exact"/>
        <w:rPr>
          <w:rFonts w:hint="eastAsia" w:ascii="黑体" w:hAnsi="黑体" w:eastAsia="黑体" w:cs="黑体"/>
          <w:color w:val="000000"/>
          <w:sz w:val="32"/>
          <w:szCs w:val="32"/>
        </w:rPr>
      </w:pPr>
    </w:p>
    <w:p w14:paraId="7BE8528B">
      <w:pPr>
        <w:spacing w:line="560" w:lineRule="exact"/>
        <w:rPr>
          <w:rFonts w:hint="eastAsia" w:ascii="黑体" w:hAnsi="黑体" w:eastAsia="黑体" w:cs="黑体"/>
          <w:color w:val="000000"/>
          <w:sz w:val="32"/>
          <w:szCs w:val="32"/>
        </w:rPr>
      </w:pPr>
    </w:p>
    <w:p w14:paraId="36A0779A">
      <w:pPr>
        <w:spacing w:line="560" w:lineRule="exact"/>
        <w:rPr>
          <w:rFonts w:hint="eastAsia" w:ascii="黑体" w:hAnsi="黑体" w:eastAsia="黑体" w:cs="黑体"/>
          <w:color w:val="000000"/>
          <w:sz w:val="32"/>
          <w:szCs w:val="32"/>
        </w:rPr>
      </w:pPr>
    </w:p>
    <w:p w14:paraId="582E29EB">
      <w:pPr>
        <w:spacing w:line="560" w:lineRule="exact"/>
        <w:rPr>
          <w:rFonts w:hint="eastAsia" w:ascii="黑体" w:hAnsi="黑体" w:eastAsia="黑体" w:cs="黑体"/>
          <w:color w:val="000000"/>
          <w:sz w:val="32"/>
          <w:szCs w:val="32"/>
        </w:rPr>
      </w:pPr>
    </w:p>
    <w:p w14:paraId="0E8A25D3">
      <w:pPr>
        <w:spacing w:line="560" w:lineRule="exact"/>
        <w:rPr>
          <w:rFonts w:hint="eastAsia" w:ascii="黑体" w:hAnsi="黑体" w:eastAsia="黑体" w:cs="黑体"/>
          <w:color w:val="000000"/>
          <w:sz w:val="32"/>
          <w:szCs w:val="32"/>
        </w:rPr>
      </w:pPr>
    </w:p>
    <w:p w14:paraId="7D472DC2">
      <w:pPr>
        <w:spacing w:line="560" w:lineRule="exact"/>
        <w:rPr>
          <w:rFonts w:hint="eastAsia" w:ascii="黑体" w:hAnsi="黑体" w:eastAsia="黑体" w:cs="黑体"/>
          <w:color w:val="000000"/>
          <w:sz w:val="32"/>
          <w:szCs w:val="32"/>
        </w:rPr>
      </w:pPr>
    </w:p>
    <w:p w14:paraId="4DBC389F">
      <w:pPr>
        <w:spacing w:line="560" w:lineRule="exact"/>
        <w:rPr>
          <w:rFonts w:hint="eastAsia" w:ascii="黑体" w:hAnsi="黑体" w:eastAsia="黑体" w:cs="黑体"/>
          <w:color w:val="000000"/>
          <w:sz w:val="32"/>
          <w:szCs w:val="32"/>
        </w:rPr>
      </w:pPr>
    </w:p>
    <w:p w14:paraId="506F8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8030F"/>
    <w:multiLevelType w:val="singleLevel"/>
    <w:tmpl w:val="DC98030F"/>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abstractNum w:abstractNumId="2">
    <w:nsid w:val="4261AB54"/>
    <w:multiLevelType w:val="singleLevel"/>
    <w:tmpl w:val="4261AB5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85E88"/>
    <w:rsid w:val="0131747F"/>
    <w:rsid w:val="01C506B1"/>
    <w:rsid w:val="0D0C0CD0"/>
    <w:rsid w:val="1D1233D7"/>
    <w:rsid w:val="1E673ED5"/>
    <w:rsid w:val="25DE1BBE"/>
    <w:rsid w:val="28996270"/>
    <w:rsid w:val="290851A4"/>
    <w:rsid w:val="6CA91F70"/>
    <w:rsid w:val="6DB85E88"/>
    <w:rsid w:val="7826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2025-01-08T06:10:00Z</dcterms:created>
  <dc:creator>春光明媚</dc:creator>
  <cp:lastModifiedBy>春光明媚</cp:lastModifiedBy>
  <dcterms:modified xsi:type="dcterms:W3CDTF">2025-01-08T08:04:04Z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2B9ACF15CD284750BEF1DCF457DBBCFF_11</vt:lpwstr>
  </property>
  <property fmtid="{D5CDD505-2E9C-101B-9397-08002B2CF9AE}" pid="4" name="KSOTemplateDocerSaveRecord">
    <vt:lpwstr>eyJoZGlkIjoiMmNlMDNkNjAwYjE1Y2FhY2M0MDA2MmY3ODc2MjU5N2IiLCJ1c2VySWQiOiI3NTIzODU5MDAifQ==</vt:lpwstr>
  </property>
</Properties>
</file>