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bookmarkStart w:id="0" w:name="_GoBack"/>
      <w:r>
        <w:rPr>
          <w:rFonts w:hint="eastAsia" w:ascii="方正小标宋简体" w:hAnsi="方正小标宋简体" w:eastAsia="方正小标宋简体" w:cs="方正小标宋简体"/>
          <w:sz w:val="44"/>
          <w:szCs w:val="44"/>
        </w:rPr>
        <w:t>北京市通州区</w:t>
      </w:r>
      <w:r>
        <w:rPr>
          <w:rFonts w:hint="eastAsia" w:ascii="宋体" w:hAnsi="宋体" w:cs="宋体"/>
          <w:b/>
          <w:sz w:val="44"/>
          <w:szCs w:val="44"/>
        </w:rPr>
        <w:t>漷</w:t>
      </w:r>
      <w:r>
        <w:rPr>
          <w:rFonts w:ascii="方正小标宋简体" w:hAnsi="方正小标宋简体" w:eastAsia="方正小标宋简体" w:cs="方正小标宋简体"/>
          <w:sz w:val="44"/>
          <w:szCs w:val="44"/>
        </w:rPr>
        <w:t>县镇人民政府</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政府信息公开工作年度报告</w:t>
      </w:r>
    </w:p>
    <w:bookmarkEnd w:id="0"/>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4"/>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仿宋_GB2312" w:hAnsi="宋体" w:eastAsia="仿宋_GB2312" w:cs="宋体"/>
          <w:spacing w:val="8"/>
          <w:kern w:val="0"/>
          <w:sz w:val="32"/>
          <w:szCs w:val="32"/>
        </w:rPr>
      </w:pPr>
      <w:r>
        <w:rPr>
          <w:rFonts w:hint="eastAsia" w:ascii="楷体_GB2312" w:hAnsi="楷体_GB2312" w:eastAsia="楷体_GB2312" w:cs="楷体_GB2312"/>
          <w:spacing w:val="8"/>
          <w:kern w:val="0"/>
          <w:sz w:val="32"/>
          <w:szCs w:val="32"/>
          <w:lang w:val="en-US" w:eastAsia="zh-CN"/>
        </w:rPr>
        <w:t>（一）加强组织领导</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宋体"/>
          <w:spacing w:val="8"/>
          <w:kern w:val="0"/>
          <w:sz w:val="32"/>
          <w:szCs w:val="32"/>
        </w:rPr>
      </w:pPr>
      <w:r>
        <w:rPr>
          <w:rFonts w:hint="default" w:ascii="仿宋_GB2312" w:hAnsi="宋体" w:eastAsia="仿宋_GB2312" w:cs="宋体"/>
          <w:spacing w:val="8"/>
          <w:kern w:val="0"/>
          <w:sz w:val="32"/>
          <w:szCs w:val="32"/>
          <w:lang w:val="en-US" w:eastAsia="zh-CN"/>
        </w:rPr>
        <w:t>为扎实推进政府信息公开工作迈向新台阶，我镇积极构建“主要领导挂帅抓总、分管领导跟进落实、职能部门各司其职”的高效工作格局。通过强化组织领导，进一步明确政府信息公开工作的目标方向、细化职责分工、优化工作流程，为信息公开工作的安全、有序、高效开展提供了坚实保障，确保每一项公开信息都能准确、及时地传达给公众，不断提升政府工作的透明度与公信力。</w:t>
      </w:r>
      <w:r>
        <w:rPr>
          <w:rFonts w:hint="eastAsia" w:ascii="仿宋_GB2312" w:hAnsi="宋体" w:eastAsia="仿宋_GB2312" w:cs="宋体"/>
          <w:spacing w:val="8"/>
          <w:kern w:val="0"/>
          <w:sz w:val="32"/>
          <w:szCs w:val="32"/>
        </w:rPr>
        <w:t xml:space="preserve"> </w:t>
      </w:r>
    </w:p>
    <w:p>
      <w:pPr>
        <w:pStyle w:val="4"/>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楷体_GB2312" w:hAnsi="楷体_GB2312" w:eastAsia="楷体_GB2312" w:cs="楷体_GB2312"/>
          <w:spacing w:val="8"/>
          <w:kern w:val="0"/>
          <w:sz w:val="32"/>
          <w:szCs w:val="32"/>
          <w:lang w:val="en-US" w:eastAsia="zh-CN"/>
        </w:rPr>
      </w:pPr>
      <w:r>
        <w:rPr>
          <w:rFonts w:hint="eastAsia" w:ascii="楷体_GB2312" w:hAnsi="楷体_GB2312" w:eastAsia="楷体_GB2312" w:cs="楷体_GB2312"/>
          <w:spacing w:val="8"/>
          <w:kern w:val="0"/>
          <w:sz w:val="32"/>
          <w:szCs w:val="32"/>
          <w:lang w:val="en-US" w:eastAsia="zh-CN"/>
        </w:rPr>
        <w:t>（二）主动公开情况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我镇始终秉持着高度的法治意识与责任担当，坚定不移地贯彻执行《中华人民共和国政府信息公开条例》，将其作为开展政府信息公开工作的根本遵循和行动指南。在持续推进政务公开进程中，我镇以更大的决心和力度拓展信息公开的广度与深度，不断丰富公开内容、创新公开形式，全力保障公民的知情权、参与权与监督权。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楷体_GB2312" w:hAnsi="楷体_GB2312" w:eastAsia="楷体_GB2312" w:cs="楷体_GB2312"/>
          <w:spacing w:val="8"/>
          <w:kern w:val="0"/>
          <w:sz w:val="32"/>
          <w:szCs w:val="32"/>
          <w:lang w:val="en-US" w:eastAsia="zh-CN" w:bidi="ar-SA"/>
        </w:rPr>
      </w:pPr>
      <w:r>
        <w:rPr>
          <w:rFonts w:hint="eastAsia" w:ascii="仿宋_GB2312" w:hAnsi="宋体" w:eastAsia="仿宋_GB2312" w:cs="宋体"/>
          <w:spacing w:val="8"/>
          <w:kern w:val="0"/>
          <w:sz w:val="32"/>
          <w:szCs w:val="32"/>
          <w:lang w:val="en-US" w:eastAsia="zh-CN"/>
        </w:rPr>
        <w:t>（三）</w:t>
      </w:r>
      <w:r>
        <w:rPr>
          <w:rFonts w:hint="eastAsia" w:ascii="楷体_GB2312" w:hAnsi="楷体_GB2312" w:eastAsia="楷体_GB2312" w:cs="楷体_GB2312"/>
          <w:spacing w:val="8"/>
          <w:kern w:val="0"/>
          <w:sz w:val="32"/>
          <w:szCs w:val="32"/>
          <w:lang w:val="en-US" w:eastAsia="zh-CN" w:bidi="ar-SA"/>
        </w:rPr>
        <w:t>依申请公开情况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规范依申请公开受理、审查、处理、答复等流程，确保依法依规满足群众的信息需求。在收到申请后，及时与申请人沟通，了解其需求和用途，在规定的时限内给予答复。对于复杂的申请，组织相关部门进行会商研究，确保答复的准确性和完整性。同时，建立依申请公开档案管理制度，对申请材料、答复文书等进行归档保存，以备查阅。</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楷体_GB2312" w:hAnsi="楷体_GB2312" w:eastAsia="楷体_GB2312" w:cs="楷体_GB2312"/>
          <w:b w:val="0"/>
          <w:bCs w:val="0"/>
          <w:spacing w:val="8"/>
          <w:kern w:val="0"/>
          <w:sz w:val="32"/>
          <w:szCs w:val="32"/>
          <w:lang w:val="en-US" w:eastAsia="zh-CN" w:bidi="ar-SA"/>
        </w:rPr>
      </w:pPr>
      <w:r>
        <w:rPr>
          <w:rFonts w:hint="eastAsia" w:ascii="楷体_GB2312" w:hAnsi="楷体_GB2312" w:eastAsia="楷体_GB2312" w:cs="楷体_GB2312"/>
          <w:b w:val="0"/>
          <w:bCs w:val="0"/>
          <w:spacing w:val="8"/>
          <w:kern w:val="0"/>
          <w:sz w:val="32"/>
          <w:szCs w:val="32"/>
          <w:lang w:val="en-US" w:eastAsia="zh-CN" w:bidi="ar-SA"/>
        </w:rPr>
        <w:t>（四）政府信息管理情况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健全</w:t>
      </w:r>
      <w:r>
        <w:rPr>
          <w:rFonts w:hint="default" w:ascii="仿宋_GB2312" w:hAnsi="宋体" w:eastAsia="仿宋_GB2312" w:cs="宋体"/>
          <w:spacing w:val="8"/>
          <w:kern w:val="0"/>
          <w:sz w:val="32"/>
          <w:szCs w:val="32"/>
          <w:lang w:val="en-US" w:eastAsia="zh-CN"/>
        </w:rPr>
        <w:t>《漷县镇政府信息公开指南》</w:t>
      </w:r>
      <w:r>
        <w:rPr>
          <w:rFonts w:hint="eastAsia" w:ascii="仿宋_GB2312" w:hAnsi="宋体" w:eastAsia="仿宋_GB2312" w:cs="宋体"/>
          <w:spacing w:val="8"/>
          <w:kern w:val="0"/>
          <w:sz w:val="32"/>
          <w:szCs w:val="32"/>
        </w:rPr>
        <w:t>，明确信息采集、审核、发布、更新等环节的工作要求和责任。严格执行信息保密审查制度，对拟公开的信息进行严格保密审查，确保不发生泄密事件。加强对信息公开后舆情的监测和回应，及时处理群众的反馈和投诉，避免因信息公开引发不良影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宋体"/>
          <w:spacing w:val="8"/>
          <w:kern w:val="0"/>
          <w:sz w:val="32"/>
          <w:szCs w:val="32"/>
        </w:rPr>
      </w:pPr>
      <w:r>
        <w:rPr>
          <w:rFonts w:hint="eastAsia" w:ascii="楷体_GB2312" w:hAnsi="楷体_GB2312" w:eastAsia="楷体_GB2312" w:cs="楷体_GB2312"/>
          <w:b w:val="0"/>
          <w:bCs w:val="0"/>
          <w:spacing w:val="8"/>
          <w:kern w:val="0"/>
          <w:sz w:val="32"/>
          <w:szCs w:val="32"/>
          <w:lang w:val="en-US" w:eastAsia="zh-CN" w:bidi="ar-SA"/>
        </w:rPr>
        <w:t>（五）政府信息公开平台建设情况</w:t>
      </w:r>
      <w:r>
        <w:rPr>
          <w:rFonts w:hint="eastAsia" w:ascii="仿宋_GB2312" w:hAnsi="宋体" w:eastAsia="仿宋_GB2312" w:cs="宋体"/>
          <w:spacing w:val="8"/>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不断优化政府网站的信息公开专栏，完善栏目设置和功能，方便群众查询和获取信息。加强政务新媒体建设，</w:t>
      </w:r>
      <w:r>
        <w:rPr>
          <w:rFonts w:hint="eastAsia" w:ascii="仿宋_GB2312" w:hAnsi="宋体" w:eastAsia="仿宋_GB2312" w:cs="宋体"/>
          <w:spacing w:val="8"/>
          <w:kern w:val="0"/>
          <w:sz w:val="32"/>
          <w:szCs w:val="32"/>
          <w:lang w:val="en-US" w:eastAsia="zh-CN"/>
        </w:rPr>
        <w:t>运用</w:t>
      </w:r>
      <w:r>
        <w:rPr>
          <w:rFonts w:hint="eastAsia" w:ascii="仿宋_GB2312" w:hAnsi="宋体" w:eastAsia="仿宋_GB2312" w:cs="宋体"/>
          <w:spacing w:val="8"/>
          <w:kern w:val="0"/>
          <w:sz w:val="32"/>
          <w:szCs w:val="32"/>
        </w:rPr>
        <w:t>微信公众号</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漷县书院</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，及时发布政府信息和工作动态，拓宽了信息公开渠道。同时，注重平台的维护和管理，确保信息公开平台的安全稳定运行。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楷体_GB2312" w:hAnsi="楷体_GB2312" w:eastAsia="楷体_GB2312" w:cs="楷体_GB2312"/>
          <w:b w:val="0"/>
          <w:bCs w:val="0"/>
          <w:spacing w:val="8"/>
          <w:kern w:val="0"/>
          <w:sz w:val="32"/>
          <w:szCs w:val="32"/>
          <w:lang w:val="en-US" w:eastAsia="zh-CN" w:bidi="ar-SA"/>
        </w:rPr>
      </w:pPr>
      <w:r>
        <w:rPr>
          <w:rFonts w:hint="eastAsia" w:ascii="楷体_GB2312" w:hAnsi="楷体_GB2312" w:eastAsia="楷体_GB2312" w:cs="楷体_GB2312"/>
          <w:b w:val="0"/>
          <w:bCs w:val="0"/>
          <w:spacing w:val="8"/>
          <w:kern w:val="0"/>
          <w:sz w:val="32"/>
          <w:szCs w:val="32"/>
          <w:lang w:val="en-US" w:eastAsia="zh-CN" w:bidi="ar-SA"/>
        </w:rPr>
        <w:t>（六）政府信息公开教育培训情况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我镇将宣传教育与业务培训作为推动政府信息公开工作稳步前行的关键着力点，双管齐下，协同发力。一方面，积极举办政务开放日活动，以生动鲜活、贴近群众的形式深入宣传贯彻政府信息公开条例，让公众真切感受到政府信息公开的重要意义与价值内涵</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 xml:space="preserve">另一方面，聚焦依申请公开流程，设置专门的咨询区域，安排业务骨干为公众答疑解惑，详细阐释依申请公开的申请条件、申请方式、办理流程以及答复期限等核心要点，帮助公众厘清概念、掌握方法，从而显著提升公众对政府信息公开工作的认知水平与参与热情。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楷体_GB2312" w:hAnsi="楷体_GB2312" w:eastAsia="楷体_GB2312" w:cs="楷体_GB2312"/>
          <w:b w:val="0"/>
          <w:bCs w:val="0"/>
          <w:spacing w:val="8"/>
          <w:kern w:val="0"/>
          <w:sz w:val="32"/>
          <w:szCs w:val="32"/>
          <w:lang w:val="en-US" w:eastAsia="zh-CN" w:bidi="ar-SA"/>
        </w:rPr>
      </w:pPr>
      <w:r>
        <w:rPr>
          <w:rFonts w:hint="eastAsia" w:ascii="楷体_GB2312" w:hAnsi="楷体_GB2312" w:eastAsia="楷体_GB2312" w:cs="楷体_GB2312"/>
          <w:b w:val="0"/>
          <w:bCs w:val="0"/>
          <w:spacing w:val="8"/>
          <w:kern w:val="0"/>
          <w:sz w:val="32"/>
          <w:szCs w:val="32"/>
          <w:lang w:val="en-US" w:eastAsia="zh-CN" w:bidi="ar-SA"/>
        </w:rPr>
        <w:t>（七）政府信息公开监督保障情况</w:t>
      </w:r>
    </w:p>
    <w:p>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在推进我镇政府信息公开工作中，构建完善的工作体系。着力完善信息公开申请受理、保密审查、监督检查等制度，优化申请受理流程，严格保密审查，强化监督检查，为工作筑牢根基，保障制度执行与工作推进。</w:t>
      </w:r>
    </w:p>
    <w:p>
      <w:pPr>
        <w:pStyle w:val="2"/>
        <w:rPr>
          <w:rFonts w:hint="eastAsia"/>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spacing w:line="560" w:lineRule="exact"/>
        <w:rPr>
          <w:rFonts w:hint="eastAsia"/>
        </w:rPr>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宋体" w:hAnsi="宋体" w:cs="宋体"/>
                <w:color w:val="000000"/>
                <w:kern w:val="0"/>
                <w:sz w:val="20"/>
                <w:szCs w:val="20"/>
                <w:lang w:val="en-US" w:eastAsia="zh-CN" w:bidi="ar"/>
              </w:rPr>
              <w:t>1403</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pStyle w:val="2"/>
        <w:spacing w:line="560" w:lineRule="exact"/>
        <w:rPr>
          <w:rFonts w:hint="eastAsia"/>
        </w:rPr>
      </w:pP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7"/>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22"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691"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91" w:type="dxa"/>
            <w:vMerge w:val="restart"/>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691"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91" w:type="dxa"/>
            <w:vMerge w:val="continue"/>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6"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31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34</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60"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7</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7</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160"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Calibri" w:hAnsi="Calibri" w:cs="Calibri"/>
                <w:kern w:val="0"/>
                <w:sz w:val="20"/>
                <w:szCs w:val="20"/>
                <w:lang w:val="en-US" w:eastAsia="zh-CN" w:bidi="ar"/>
              </w:rPr>
              <w:t>12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1"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900" w:lineRule="exact"/>
              <w:jc w:val="center"/>
              <w:textAlignment w:val="auto"/>
              <w:rPr>
                <w:rFonts w:hint="default"/>
                <w:lang w:val="en-US"/>
              </w:rPr>
            </w:pPr>
            <w:r>
              <w:rPr>
                <w:rFonts w:hint="eastAsia" w:ascii="Calibri" w:hAnsi="Calibri" w:cs="Calibri"/>
                <w:kern w:val="0"/>
                <w:sz w:val="20"/>
                <w:szCs w:val="20"/>
                <w:lang w:val="en-US" w:eastAsia="zh-CN" w:bidi="ar"/>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4"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91"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91"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eastAsiaTheme="minorEastAsia"/>
                <w:lang w:val="en-US" w:eastAsia="zh-CN"/>
              </w:rPr>
            </w:pPr>
            <w:r>
              <w:rPr>
                <w:rFonts w:hint="eastAsia" w:ascii="Calibri" w:hAnsi="Calibri" w:cs="Calibri"/>
                <w:kern w:val="0"/>
                <w:sz w:val="20"/>
                <w:szCs w:val="20"/>
                <w:lang w:val="en-US" w:eastAsia="zh-CN" w:bidi="ar"/>
              </w:rPr>
              <w:t>12</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eastAsiaTheme="minorEastAsia"/>
                <w:lang w:val="en-US" w:eastAsia="zh-CN"/>
              </w:rPr>
            </w:pPr>
            <w:r>
              <w:rPr>
                <w:rFonts w:hint="eastAsia" w:ascii="Calibri" w:hAnsi="Calibri" w:cs="Calibri"/>
                <w:kern w:val="0"/>
                <w:sz w:val="20"/>
                <w:szCs w:val="20"/>
                <w:lang w:val="en-US" w:eastAsia="zh-CN" w:bidi="ar"/>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7" w:type="dxa"/>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Calibri" w:hAnsi="Calibri" w:cs="Calibri"/>
                <w:kern w:val="0"/>
                <w:sz w:val="20"/>
                <w:szCs w:val="20"/>
                <w:lang w:val="en-US" w:eastAsia="zh-CN" w:bidi="ar"/>
              </w:rPr>
            </w:pPr>
          </w:p>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Calibri" w:hAnsi="Calibri" w:cs="Calibri"/>
                <w:kern w:val="0"/>
                <w:sz w:val="20"/>
                <w:szCs w:val="20"/>
                <w:lang w:val="en-US" w:eastAsia="zh-CN" w:bidi="ar"/>
              </w:rPr>
            </w:pPr>
          </w:p>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160"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35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38</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outset" w:color="auto" w:sz="6" w:space="0"/>
              <w:left w:val="single" w:color="auto" w:sz="0" w:space="0"/>
              <w:bottom w:val="outset" w:color="auto" w:sz="6" w:space="0"/>
              <w:right w:val="outset" w:color="auto" w:sz="6" w:space="0"/>
            </w:tcBorders>
            <w:noWrap w:val="0"/>
            <w:vAlign w:val="center"/>
          </w:tcPr>
          <w:p>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pPr>
        <w:pStyle w:val="2"/>
        <w:spacing w:line="560" w:lineRule="exact"/>
        <w:ind w:left="420" w:leftChars="200"/>
        <w:rPr>
          <w:rFonts w:hint="eastAsia"/>
        </w:rPr>
      </w:pPr>
    </w:p>
    <w:p>
      <w:pPr>
        <w:pStyle w:val="2"/>
        <w:spacing w:line="560" w:lineRule="exact"/>
        <w:ind w:left="420"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asciiTheme="minorHAnsi" w:hAnsiTheme="minorHAnsi" w:cstheme="minorBidi"/>
                <w:kern w:val="2"/>
                <w:sz w:val="21"/>
                <w:szCs w:val="24"/>
                <w:lang w:val="en-US" w:eastAsia="zh-CN" w:bidi="ar-SA"/>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3</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asciiTheme="minorHAnsi" w:hAnsiTheme="minorHAnsi" w:cstheme="minorBidi"/>
                <w:kern w:val="2"/>
                <w:sz w:val="21"/>
                <w:szCs w:val="24"/>
                <w:lang w:val="en-US" w:eastAsia="zh-CN" w:bidi="ar-SA"/>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6</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kern w:val="0"/>
                <w:sz w:val="20"/>
                <w:szCs w:val="20"/>
                <w:lang w:val="en-US" w:eastAsia="zh-CN" w:bidi="ar"/>
              </w:rPr>
              <w:t>1</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kern w:val="0"/>
                <w:sz w:val="20"/>
                <w:szCs w:val="20"/>
                <w:lang w:val="en-US" w:eastAsia="zh-CN" w:bidi="ar"/>
              </w:rPr>
              <w:t>1</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kern w:val="0"/>
                <w:sz w:val="20"/>
                <w:szCs w:val="20"/>
                <w:lang w:val="en-US" w:eastAsia="zh-CN" w:bidi="ar"/>
              </w:rPr>
              <w:t>11</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asciiTheme="minorHAnsi" w:hAnsiTheme="minorHAnsi" w:cstheme="minorBidi"/>
                <w:kern w:val="2"/>
                <w:sz w:val="21"/>
                <w:szCs w:val="24"/>
                <w:lang w:val="en-US" w:eastAsia="zh-CN" w:bidi="ar-SA"/>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asciiTheme="minorHAnsi" w:hAnsiTheme="minorHAnsi" w:cstheme="minorBidi"/>
                <w:kern w:val="2"/>
                <w:sz w:val="21"/>
                <w:szCs w:val="24"/>
                <w:lang w:val="en-US" w:eastAsia="zh-CN" w:bidi="ar-SA"/>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asciiTheme="minorHAnsi" w:hAnsiTheme="minorHAnsi" w:cstheme="minorBidi"/>
                <w:kern w:val="2"/>
                <w:sz w:val="21"/>
                <w:szCs w:val="24"/>
                <w:lang w:val="en-US" w:eastAsia="zh-CN" w:bidi="ar-SA"/>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kern w:val="0"/>
                <w:sz w:val="20"/>
                <w:szCs w:val="20"/>
                <w:lang w:val="en-US" w:eastAsia="zh-CN" w:bidi="ar"/>
              </w:rPr>
              <w:t>1</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asciiTheme="minorHAnsi" w:hAnsiTheme="minorHAnsi" w:cstheme="minorBidi"/>
                <w:kern w:val="2"/>
                <w:sz w:val="21"/>
                <w:szCs w:val="24"/>
                <w:lang w:val="en-US" w:eastAsia="zh-CN" w:bidi="ar-SA"/>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asciiTheme="minorHAnsi" w:hAnsiTheme="minorHAnsi" w:cstheme="minorBidi"/>
                <w:kern w:val="2"/>
                <w:sz w:val="21"/>
                <w:szCs w:val="24"/>
                <w:lang w:val="en-US" w:eastAsia="zh-CN" w:bidi="ar-SA"/>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1</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hAnsiTheme="minorHAnsi" w:eastAsiaTheme="minorEastAsia" w:cstheme="minorBidi"/>
                <w:kern w:val="2"/>
                <w:sz w:val="24"/>
                <w:szCs w:val="24"/>
                <w:lang w:val="en-US" w:eastAsia="zh-CN" w:bidi="ar-SA"/>
              </w:rPr>
            </w:pPr>
            <w:r>
              <w:rPr>
                <w:rFonts w:hint="eastAsia" w:ascii="宋体"/>
                <w:sz w:val="24"/>
                <w:lang w:val="en-US" w:eastAsia="zh-CN"/>
              </w:rPr>
              <w:t>2</w:t>
            </w:r>
          </w:p>
        </w:tc>
      </w:tr>
    </w:tbl>
    <w:p>
      <w:pPr>
        <w:widowControl/>
        <w:spacing w:line="560" w:lineRule="exact"/>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numPr>
          <w:ilvl w:val="0"/>
          <w:numId w:val="0"/>
        </w:numPr>
        <w:ind w:firstLine="672" w:firstLineChars="200"/>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存在的主要问题：一是在信息公开的内容层面，存在缺陷。具体表现为公开的信息缺乏全面性与深入度，部分与民众切身利益紧密相连的关键信息，在公开时存在准确性欠佳、完整性缺失的问题，未能充分满足群众的知情权，亟待改进完善，以提升信息公开的质量和效能，确保群众能够获取真实、完整、有用的信息。二是在政务公开人员素养方面，当前各部门间在信息共享及协同合作方面存在梗阻，致使信息流通不畅，难以形成高效合力，进而影响政务公开工作的推进效率，对公众对政务信息及时、准确获取的需求有所欠缺，还需加强部门间的协同联动，提升人员综合素养，以打破信息壁垒，优化政务公开工作成效。</w:t>
      </w:r>
    </w:p>
    <w:p>
      <w:pPr>
        <w:numPr>
          <w:ilvl w:val="0"/>
          <w:numId w:val="0"/>
        </w:numPr>
        <w:ind w:firstLine="672" w:firstLineChars="200"/>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改进情况：一是为提升政务信息透明度，健全了《通州区漷县镇政府信息公开工作规范》，着手制定出更全面、细致且精准的信息公开目录及标准体系，确保信息公开无死角、无遗漏，将公开范围覆盖至所有应公开事项，以充分保障公民、法人和其他组织的知情权、参与权和监督权，推进阳光政府建设，提升政府公信力和执行力。二是为进一步强化各部门在政务公开工作中的协同性与联动性，组织召开了政务公开工作协调会议，促进各部门间的信息交流与经验分享，形成工作合力，共同推动政务信息的全面、准确、及时公开，以提升政务公开工作的质量和效能，更好地服务于社会公众，保障民众的知情权和监督权，促进政府治理体系和治理能力现代化建设迈向新台阶。</w:t>
      </w:r>
    </w:p>
    <w:p>
      <w:pPr>
        <w:numPr>
          <w:ilvl w:val="0"/>
          <w:numId w:val="0"/>
        </w:numPr>
        <w:ind w:firstLine="672" w:firstLineChars="200"/>
        <w:rPr>
          <w:rFonts w:hint="eastAsia" w:ascii="仿宋_GB2312" w:hAnsi="宋体" w:eastAsia="仿宋_GB2312" w:cs="宋体"/>
          <w:spacing w:val="8"/>
          <w:kern w:val="0"/>
          <w:sz w:val="32"/>
          <w:szCs w:val="32"/>
          <w:lang w:val="en-US" w:eastAsia="zh-CN"/>
        </w:rPr>
      </w:pP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2"/>
        <w:keepNext w:val="0"/>
        <w:keepLines w:val="0"/>
        <w:pageBreakBefore w:val="0"/>
        <w:widowControl/>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val="en-US" w:eastAsia="zh-CN" w:bidi="ar-SA"/>
        </w:rPr>
      </w:pPr>
      <w:r>
        <w:rPr>
          <w:rFonts w:ascii="宋体" w:hAnsi="宋体" w:cs="宋体"/>
          <w:spacing w:val="8"/>
          <w:kern w:val="0"/>
          <w:sz w:val="32"/>
          <w:szCs w:val="32"/>
        </w:rPr>
        <w:t>　</w:t>
      </w:r>
      <w:r>
        <w:rPr>
          <w:rFonts w:hint="eastAsia" w:ascii="仿宋_GB2312" w:hAnsi="宋体" w:eastAsia="仿宋_GB2312" w:cs="宋体"/>
          <w:spacing w:val="8"/>
          <w:kern w:val="0"/>
          <w:sz w:val="32"/>
          <w:szCs w:val="32"/>
          <w:lang w:val="en-US" w:eastAsia="zh-CN" w:bidi="ar-SA"/>
        </w:rPr>
        <w:t>根据《政府信息公开信息处理费管理办法》(国办函〔2020〕109号)，2024年度北京市通州区漷县镇人民政府收取信息处理费情况为：发出收费通知的件数为0件，总金额为0元，实际收取的总金额为0元。</w:t>
      </w:r>
    </w:p>
    <w:p>
      <w:pPr>
        <w:widowControl/>
        <w:spacing w:line="560" w:lineRule="exact"/>
        <w:jc w:val="left"/>
        <w:rPr>
          <w:rFonts w:hint="eastAsia" w:ascii="仿宋_GB2312" w:hAnsi="宋体" w:eastAsia="仿宋_GB2312" w:cs="宋体"/>
          <w:color w:val="9BC2E6"/>
          <w:spacing w:val="8"/>
          <w:kern w:val="0"/>
          <w:sz w:val="32"/>
          <w:szCs w:val="32"/>
        </w:rPr>
      </w:pPr>
      <w:r>
        <w:rPr>
          <w:rFonts w:hint="eastAsia" w:ascii="仿宋_GB2312" w:hAnsi="宋体" w:eastAsia="仿宋_GB2312" w:cs="宋体"/>
          <w:spacing w:val="8"/>
          <w:kern w:val="0"/>
          <w:sz w:val="32"/>
          <w:szCs w:val="32"/>
          <w:lang w:val="en-US" w:eastAsia="zh-CN" w:bidi="ar-SA"/>
        </w:rPr>
        <w:t>北京市通州区人民政府网站网址为http://www.bjtzh.gov.cn/，如需了解更多政府信息，请登录查询。</w:t>
      </w:r>
    </w:p>
    <w:p>
      <w:pPr>
        <w:pStyle w:val="2"/>
        <w:spacing w:line="560" w:lineRule="exact"/>
        <w:rPr>
          <w:rFonts w:hint="eastAsia"/>
        </w:rPr>
      </w:pPr>
      <w:r>
        <w:rPr>
          <w:rFonts w:hint="eastAsia" w:ascii="微软雅黑" w:hAnsi="微软雅黑" w:eastAsia="微软雅黑" w:cs="宋体"/>
          <w:color w:val="404040"/>
          <w:kern w:val="0"/>
          <w:sz w:val="32"/>
          <w:szCs w:val="32"/>
        </w:rPr>
        <w:t xml:space="preserve"> </w:t>
      </w:r>
    </w:p>
    <w:p>
      <w:pPr>
        <w:pStyle w:val="2"/>
        <w:spacing w:line="560" w:lineRule="exact"/>
        <w:rPr>
          <w:rFonts w:hint="eastAsia"/>
        </w:rPr>
      </w:pPr>
    </w:p>
    <w:p>
      <w:pPr>
        <w:pStyle w:val="2"/>
        <w:spacing w:line="560" w:lineRule="exact"/>
        <w:rPr>
          <w:rFonts w:hint="eastAsia"/>
        </w:rPr>
      </w:pPr>
    </w:p>
    <w:p>
      <w:pPr>
        <w:spacing w:line="560" w:lineRule="exact"/>
        <w:rPr>
          <w:rFonts w:hint="eastAsia" w:ascii="黑体" w:hAnsi="黑体" w:eastAsia="黑体" w:cs="黑体"/>
          <w:color w:val="000000"/>
          <w:sz w:val="32"/>
          <w:szCs w:val="32"/>
        </w:rPr>
      </w:pPr>
    </w:p>
    <w:p>
      <w:pPr>
        <w:pStyle w:val="2"/>
        <w:jc w:val="both"/>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djODNhNmU5MGMyNTg1ODJiZThhMzlkZWE3YmIifQ=="/>
  </w:docVars>
  <w:rsids>
    <w:rsidRoot w:val="30807B4B"/>
    <w:rsid w:val="00442DB0"/>
    <w:rsid w:val="05833070"/>
    <w:rsid w:val="05D85E3B"/>
    <w:rsid w:val="05E4647C"/>
    <w:rsid w:val="0ABA6173"/>
    <w:rsid w:val="0AE80091"/>
    <w:rsid w:val="0B9064BE"/>
    <w:rsid w:val="0C082AAD"/>
    <w:rsid w:val="0CC11C92"/>
    <w:rsid w:val="0E36675F"/>
    <w:rsid w:val="0F071AFE"/>
    <w:rsid w:val="11205883"/>
    <w:rsid w:val="13002EED"/>
    <w:rsid w:val="134E798B"/>
    <w:rsid w:val="14A80DA5"/>
    <w:rsid w:val="17D26A70"/>
    <w:rsid w:val="1A7D285E"/>
    <w:rsid w:val="1B2C1A76"/>
    <w:rsid w:val="1B543C65"/>
    <w:rsid w:val="1C6B4B57"/>
    <w:rsid w:val="1DBF0083"/>
    <w:rsid w:val="1FFB0140"/>
    <w:rsid w:val="24010760"/>
    <w:rsid w:val="25315F52"/>
    <w:rsid w:val="258276A3"/>
    <w:rsid w:val="26913541"/>
    <w:rsid w:val="299920BB"/>
    <w:rsid w:val="2BEB3657"/>
    <w:rsid w:val="2CE40508"/>
    <w:rsid w:val="2D47153F"/>
    <w:rsid w:val="2D862FF9"/>
    <w:rsid w:val="2ED871E9"/>
    <w:rsid w:val="30807B4B"/>
    <w:rsid w:val="31413674"/>
    <w:rsid w:val="318DF538"/>
    <w:rsid w:val="3221404A"/>
    <w:rsid w:val="327FC6D4"/>
    <w:rsid w:val="332871CB"/>
    <w:rsid w:val="33BD4470"/>
    <w:rsid w:val="34817233"/>
    <w:rsid w:val="385E5017"/>
    <w:rsid w:val="3967423C"/>
    <w:rsid w:val="3B546DFA"/>
    <w:rsid w:val="3BE8322F"/>
    <w:rsid w:val="3BF015BF"/>
    <w:rsid w:val="3C246C86"/>
    <w:rsid w:val="3F177636"/>
    <w:rsid w:val="3FD15EAF"/>
    <w:rsid w:val="40DD0B8E"/>
    <w:rsid w:val="44F55CE1"/>
    <w:rsid w:val="488E7D6F"/>
    <w:rsid w:val="4A751FBB"/>
    <w:rsid w:val="4B7A615D"/>
    <w:rsid w:val="4CF21E21"/>
    <w:rsid w:val="4CF54579"/>
    <w:rsid w:val="4E767533"/>
    <w:rsid w:val="52305BB2"/>
    <w:rsid w:val="535D2A8E"/>
    <w:rsid w:val="537A699B"/>
    <w:rsid w:val="53A771E4"/>
    <w:rsid w:val="53D538D6"/>
    <w:rsid w:val="54FB6504"/>
    <w:rsid w:val="566E25A6"/>
    <w:rsid w:val="56980686"/>
    <w:rsid w:val="584339B6"/>
    <w:rsid w:val="5B45742E"/>
    <w:rsid w:val="5B885BB0"/>
    <w:rsid w:val="5F0C50B4"/>
    <w:rsid w:val="628544F4"/>
    <w:rsid w:val="63941218"/>
    <w:rsid w:val="64EB447B"/>
    <w:rsid w:val="661750EF"/>
    <w:rsid w:val="67201D7D"/>
    <w:rsid w:val="67384093"/>
    <w:rsid w:val="691875C8"/>
    <w:rsid w:val="6BB04CA5"/>
    <w:rsid w:val="6C660F51"/>
    <w:rsid w:val="6C7926D4"/>
    <w:rsid w:val="6C876DE3"/>
    <w:rsid w:val="6D5D5120"/>
    <w:rsid w:val="6D677B57"/>
    <w:rsid w:val="6DE128CD"/>
    <w:rsid w:val="6EAD309C"/>
    <w:rsid w:val="6FE850EB"/>
    <w:rsid w:val="74550C88"/>
    <w:rsid w:val="74841EA1"/>
    <w:rsid w:val="75432B9D"/>
    <w:rsid w:val="761A65D5"/>
    <w:rsid w:val="782567A5"/>
    <w:rsid w:val="79333E39"/>
    <w:rsid w:val="7BDB1E9F"/>
    <w:rsid w:val="7C55591F"/>
    <w:rsid w:val="7D407391"/>
    <w:rsid w:val="7E827061"/>
    <w:rsid w:val="7ECB27F6"/>
    <w:rsid w:val="7FFA135B"/>
    <w:rsid w:val="B79B2EF7"/>
    <w:rsid w:val="D95D3FC6"/>
    <w:rsid w:val="EA7E8771"/>
    <w:rsid w:val="EB0BB7E6"/>
    <w:rsid w:val="FDEA7CF5"/>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qFormat/>
    <w:uiPriority w:val="0"/>
    <w:rPr>
      <w:rFonts w:eastAsia="宋体"/>
      <w:bCs/>
      <w:color w:val="auto"/>
      <w:szCs w:val="24"/>
    </w:rPr>
  </w:style>
  <w:style w:type="paragraph" w:styleId="4">
    <w:name w:val="toc 3"/>
    <w:basedOn w:val="1"/>
    <w:next w:val="1"/>
    <w:semiHidden/>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5743</Words>
  <Characters>6080</Characters>
  <Lines>0</Lines>
  <Paragraphs>0</Paragraphs>
  <TotalTime>219</TotalTime>
  <ScaleCrop>false</ScaleCrop>
  <LinksUpToDate>false</LinksUpToDate>
  <CharactersWithSpaces>6343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2020-12-16T15:14:00Z</dcterms:created>
  <dc:creator>HS</dc:creator>
  <cp:lastModifiedBy>user</cp:lastModifiedBy>
  <cp:lastPrinted>2025-01-10T11:38:00Z</cp:lastPrinted>
  <dcterms:modified xsi:type="dcterms:W3CDTF">2025-01-16T16:56:35Z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FE31FDA3AF9A44E7908C228B7DFF7827_13</vt:lpwstr>
  </property>
</Properties>
</file>