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EE6E7">
      <w:pPr>
        <w:jc w:val="center"/>
        <w:rPr>
          <w:rFonts w:ascii="寰蒋闆呴粦" w:hAnsi="微软雅黑" w:eastAsia="寰蒋闆呴粦"/>
          <w:b/>
          <w:color w:val="242424"/>
          <w:sz w:val="44"/>
          <w:szCs w:val="44"/>
        </w:rPr>
      </w:pPr>
    </w:p>
    <w:p w14:paraId="1800B1A9">
      <w:pPr>
        <w:jc w:val="center"/>
        <w:rPr>
          <w:rFonts w:ascii="寰蒋闆呴粦" w:hAnsi="微软雅黑" w:eastAsia="寰蒋闆呴粦"/>
          <w:b/>
          <w:color w:val="242424"/>
          <w:sz w:val="44"/>
          <w:szCs w:val="44"/>
        </w:rPr>
      </w:pPr>
    </w:p>
    <w:p w14:paraId="3EC082E8">
      <w:pPr>
        <w:jc w:val="center"/>
        <w:rPr>
          <w:rFonts w:ascii="寰蒋闆呴粦" w:hAnsi="微软雅黑" w:eastAsia="寰蒋闆呴粦"/>
          <w:b/>
          <w:color w:val="242424"/>
          <w:sz w:val="44"/>
          <w:szCs w:val="44"/>
        </w:rPr>
      </w:pPr>
      <w:r>
        <w:rPr>
          <w:rFonts w:hint="eastAsia" w:ascii="寰蒋闆呴粦" w:hAnsi="微软雅黑" w:eastAsia="寰蒋闆呴粦"/>
          <w:b/>
          <w:color w:val="242424"/>
          <w:sz w:val="44"/>
          <w:szCs w:val="44"/>
        </w:rPr>
        <w:t>北京市通州区住房和城乡建设委员会2018年政府信息公开工作年度报告</w:t>
      </w:r>
    </w:p>
    <w:p w14:paraId="687C16D8">
      <w:pPr>
        <w:jc w:val="center"/>
        <w:rPr>
          <w:rFonts w:ascii="寰蒋闆呴粦" w:hAnsi="微软雅黑" w:eastAsia="寰蒋闆呴粦"/>
          <w:b/>
          <w:color w:val="242424"/>
          <w:sz w:val="44"/>
          <w:szCs w:val="44"/>
        </w:rPr>
      </w:pPr>
    </w:p>
    <w:p w14:paraId="1B7E2C99">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本报告是根据《中华人民共和国政府信息公开条例》（以下简称《条例》）要求，由北京市通州区住房和城乡建设委员会编制的2018年度政府信息公开年度报告。全文包括概述；主动公开政府信息的情况；依申请公开政府信息和不予公开政府信息的情况；政府信息公开的收费以及免除费用的情况；因政府信息公开申请行政复议、提起行政诉讼的情况；政府信息公开工作存在不足及改进措施。</w:t>
      </w:r>
    </w:p>
    <w:p w14:paraId="453DC29D">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本报告中所列数据的统计期限自2018年1月1日至2018年12月31日止。本报告的电子版可在通州区政务门户网站“北京通州”（http://www.bjtzh.gov.cn/）下载。如对报告有任何疑问，请与通州区住房和城乡建设委员会办公室联系（地址:北京市通州区车站路49号；邮编：101100；联系电话：010-69546294 ）。</w:t>
      </w:r>
    </w:p>
    <w:p w14:paraId="3ED0FB49">
      <w:pPr>
        <w:widowControl/>
        <w:shd w:val="clear" w:color="auto" w:fill="FFFFFF"/>
        <w:spacing w:line="560" w:lineRule="atLeast"/>
        <w:ind w:firstLine="640"/>
        <w:rPr>
          <w:rFonts w:ascii="Calibri" w:hAnsi="Calibri" w:eastAsia="宋体" w:cs="宋体"/>
          <w:color w:val="505050"/>
          <w:kern w:val="0"/>
          <w:szCs w:val="21"/>
        </w:rPr>
      </w:pPr>
      <w:r>
        <w:rPr>
          <w:rFonts w:hint="eastAsia" w:ascii="黑体" w:hAnsi="黑体" w:eastAsia="黑体" w:cs="宋体"/>
          <w:color w:val="505050"/>
          <w:kern w:val="0"/>
          <w:sz w:val="32"/>
          <w:szCs w:val="32"/>
        </w:rPr>
        <w:t>一、概述</w:t>
      </w:r>
    </w:p>
    <w:p w14:paraId="60E608AA">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2018年，我委以贯彻落实《信息公开条例》为抓手，紧紧围绕中心工作，强化组织领导,健全完善制度，全面加强政府信息公开工作，切实提升政府公信力，保障群众的知情权和监督权，不断推进政府信息公开工作规范化、制度化和常态化，进一步促进法治政府建设。</w:t>
      </w:r>
    </w:p>
    <w:p w14:paraId="63A78E8A">
      <w:pPr>
        <w:widowControl/>
        <w:shd w:val="clear" w:color="auto" w:fill="FFFFFF"/>
        <w:spacing w:line="560" w:lineRule="atLeast"/>
        <w:ind w:firstLine="640"/>
        <w:rPr>
          <w:rFonts w:ascii="Calibri" w:hAnsi="Calibri" w:eastAsia="宋体" w:cs="宋体"/>
          <w:color w:val="505050"/>
          <w:kern w:val="0"/>
          <w:szCs w:val="21"/>
        </w:rPr>
      </w:pPr>
      <w:r>
        <w:rPr>
          <w:rFonts w:hint="eastAsia" w:ascii="楷体" w:hAnsi="楷体" w:eastAsia="楷体" w:cs="宋体"/>
          <w:b/>
          <w:bCs/>
          <w:color w:val="505050"/>
          <w:kern w:val="0"/>
          <w:sz w:val="32"/>
          <w:szCs w:val="32"/>
        </w:rPr>
        <w:t>（一）加强组织领导　</w:t>
      </w:r>
      <w:r>
        <w:rPr>
          <w:rFonts w:hint="eastAsia" w:ascii="仿宋" w:hAnsi="仿宋" w:eastAsia="仿宋" w:cs="宋体"/>
          <w:color w:val="505050"/>
          <w:kern w:val="0"/>
          <w:sz w:val="32"/>
          <w:szCs w:val="32"/>
        </w:rPr>
        <w:t>　</w:t>
      </w:r>
    </w:p>
    <w:p w14:paraId="21036B3D">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我委高度重视对政府信息公开工作的组织领导，建立健全了以“一把手”为组长的政务公开工作领导小组，领导小组下设办公室，指定专人具体负责政务公开工作。具体工作中，通过定期召开政务公开会议，对政务公开工作进行指导、协调、通报，为推进我委政府信息公开提供了有力的组织保证。</w:t>
      </w:r>
    </w:p>
    <w:p w14:paraId="6E05E594">
      <w:pPr>
        <w:widowControl/>
        <w:shd w:val="clear" w:color="auto" w:fill="FFFFFF"/>
        <w:spacing w:line="560" w:lineRule="atLeast"/>
        <w:ind w:firstLine="640"/>
        <w:rPr>
          <w:rFonts w:ascii="Calibri" w:hAnsi="Calibri" w:eastAsia="宋体" w:cs="宋体"/>
          <w:color w:val="505050"/>
          <w:kern w:val="0"/>
          <w:szCs w:val="21"/>
        </w:rPr>
      </w:pPr>
      <w:r>
        <w:rPr>
          <w:rFonts w:hint="eastAsia" w:ascii="楷体" w:hAnsi="楷体" w:eastAsia="楷体" w:cs="宋体"/>
          <w:b/>
          <w:bCs/>
          <w:color w:val="505050"/>
          <w:kern w:val="0"/>
          <w:sz w:val="32"/>
          <w:szCs w:val="32"/>
        </w:rPr>
        <w:t>（二）加强制度建设</w:t>
      </w:r>
    </w:p>
    <w:p w14:paraId="1A0DCC83">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为确保政府信息公开工作规范化、制度化和常态化，2018年，依据《信息公开条例》和市、区关于信息公开工作相关规定，进一步健全完善了政府信息公开及依申请公开制度等一系列制度，使政府信息公开工作切实做到有据可依、有章可循。同时，建立了信息公开审查工作机制，完善了公文类政府信息公开属性审核制度，进一步规范工作流程，加强信息保密审查工作，不断规范和提高信息公开工作。</w:t>
      </w:r>
    </w:p>
    <w:p w14:paraId="12A753C5">
      <w:pPr>
        <w:widowControl/>
        <w:shd w:val="clear" w:color="auto" w:fill="FFFFFF"/>
        <w:spacing w:line="560" w:lineRule="atLeast"/>
        <w:ind w:firstLine="640"/>
        <w:rPr>
          <w:rFonts w:ascii="Calibri" w:hAnsi="Calibri" w:eastAsia="宋体" w:cs="宋体"/>
          <w:color w:val="505050"/>
          <w:kern w:val="0"/>
          <w:szCs w:val="21"/>
        </w:rPr>
      </w:pPr>
      <w:r>
        <w:rPr>
          <w:rFonts w:hint="eastAsia" w:ascii="黑体" w:hAnsi="黑体" w:eastAsia="黑体" w:cs="宋体"/>
          <w:color w:val="505050"/>
          <w:kern w:val="0"/>
          <w:sz w:val="32"/>
          <w:szCs w:val="32"/>
        </w:rPr>
        <w:t>二、主动公开情况</w:t>
      </w:r>
    </w:p>
    <w:p w14:paraId="4669495A">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按照《条例》第15条规定，我委通过网站主动公开相关信息，群众可以通过“首都之窗”政府信息公开专栏及通州区住房和城乡建设委员会网站查询我委主动公开的政府信息。网站先后设置“机构职责、机构信息、领导介绍、机构设置、相关法律法规及规范性文件、年度工作计划、行政许可事项、行业管理、保障性住房、政府信息公开年报等多个栏目，使政府信息公开内容更为全面，以更好地接受社会及群众监督。2018年共主动公开信息324条，全文电子化率达100%。接受公民、法人及其他组织就相关政府信息的咨询163人次。其中，现场咨询46人次，占总数的28.2%；电话咨询117人次，占总数的71.8%。</w:t>
      </w:r>
      <w:r>
        <w:rPr>
          <w:rFonts w:ascii="Calibri" w:hAnsi="Calibri" w:eastAsia="宋体" w:cs="宋体"/>
          <w:color w:val="505050"/>
          <w:kern w:val="0"/>
          <w:szCs w:val="21"/>
        </w:rPr>
        <w:t> </w:t>
      </w:r>
    </w:p>
    <w:p w14:paraId="2E0DC566">
      <w:pPr>
        <w:widowControl/>
        <w:shd w:val="clear" w:color="auto" w:fill="FFFFFF"/>
        <w:spacing w:line="560" w:lineRule="atLeast"/>
        <w:ind w:firstLine="640"/>
        <w:rPr>
          <w:rFonts w:ascii="Calibri" w:hAnsi="Calibri" w:eastAsia="宋体" w:cs="宋体"/>
          <w:color w:val="505050"/>
          <w:kern w:val="0"/>
          <w:szCs w:val="21"/>
        </w:rPr>
      </w:pPr>
      <w:r>
        <w:rPr>
          <w:rFonts w:hint="eastAsia" w:ascii="黑体" w:hAnsi="黑体" w:eastAsia="黑体" w:cs="宋体"/>
          <w:color w:val="505050"/>
          <w:kern w:val="0"/>
          <w:sz w:val="32"/>
          <w:szCs w:val="32"/>
        </w:rPr>
        <w:t>三、依申请公开情况</w:t>
      </w:r>
    </w:p>
    <w:p w14:paraId="4C41BDA1">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按照《条例》第13条规定，全区各行政机关自《条例》实施之日起正式受理公民、法人或者其他组织根据自身生产、生活、科研等特殊需要提出的政府信息公开申请。为落实《条例》确定的政府信息依申请公开制度，我委通过办公室受理政府信息公开申请。</w:t>
      </w:r>
    </w:p>
    <w:p w14:paraId="02E55F4F">
      <w:pPr>
        <w:widowControl/>
        <w:shd w:val="clear" w:color="auto" w:fill="FFFFFF"/>
        <w:spacing w:line="560" w:lineRule="atLeast"/>
        <w:ind w:firstLine="640"/>
        <w:rPr>
          <w:rFonts w:ascii="Calibri" w:hAnsi="Calibri" w:eastAsia="宋体" w:cs="宋体"/>
          <w:color w:val="505050"/>
          <w:kern w:val="0"/>
          <w:szCs w:val="21"/>
        </w:rPr>
      </w:pPr>
      <w:r>
        <w:rPr>
          <w:rFonts w:hint="eastAsia" w:ascii="楷体" w:hAnsi="楷体" w:eastAsia="楷体" w:cs="宋体"/>
          <w:b/>
          <w:bCs/>
          <w:color w:val="505050"/>
          <w:kern w:val="0"/>
          <w:sz w:val="32"/>
          <w:szCs w:val="32"/>
        </w:rPr>
        <w:t>（一）申请情况</w:t>
      </w:r>
    </w:p>
    <w:p w14:paraId="179C8CA5">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2018年我委接到申请总数为214件，与2017年度相比，减少了22件。从申请的信息内容来看，申请公开拆迁许可相关文件资料66件，占总数的30.8%；申请公开房屋竣工验收相关信息71件， 占总数的33.2%；申请公开建筑工程施工许可证的33件，占总数的15.4%；其他内容申请44件，占总数的20.6%。</w:t>
      </w:r>
    </w:p>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6"/>
        <w:gridCol w:w="8300"/>
      </w:tblGrid>
      <w:tr w14:paraId="7DE02232">
        <w:tblPrEx>
          <w:tblCellMar>
            <w:top w:w="0" w:type="dxa"/>
            <w:left w:w="0" w:type="dxa"/>
            <w:bottom w:w="0" w:type="dxa"/>
            <w:right w:w="0" w:type="dxa"/>
          </w:tblCellMar>
        </w:tblPrEx>
        <w:trPr>
          <w:gridAfter w:val="1"/>
          <w:wAfter w:w="8300" w:type="dxa"/>
          <w:tblCellSpacing w:w="0" w:type="dxa"/>
        </w:trPr>
        <w:tc>
          <w:tcPr>
            <w:tcW w:w="285" w:type="dxa"/>
            <w:vAlign w:val="center"/>
          </w:tcPr>
          <w:p w14:paraId="10141A7C">
            <w:pPr>
              <w:widowControl/>
              <w:jc w:val="left"/>
              <w:rPr>
                <w:rFonts w:ascii="宋体" w:hAnsi="宋体" w:eastAsia="宋体" w:cs="宋体"/>
                <w:kern w:val="0"/>
                <w:sz w:val="1"/>
                <w:szCs w:val="18"/>
              </w:rPr>
            </w:pPr>
          </w:p>
        </w:tc>
      </w:tr>
      <w:tr w14:paraId="48C46D48">
        <w:tblPrEx>
          <w:tblCellMar>
            <w:top w:w="0" w:type="dxa"/>
            <w:left w:w="0" w:type="dxa"/>
            <w:bottom w:w="0" w:type="dxa"/>
            <w:right w:w="0" w:type="dxa"/>
          </w:tblCellMar>
        </w:tblPrEx>
        <w:trPr>
          <w:tblCellSpacing w:w="0" w:type="dxa"/>
        </w:trPr>
        <w:tc>
          <w:tcPr>
            <w:tcW w:w="0" w:type="auto"/>
            <w:vAlign w:val="center"/>
          </w:tcPr>
          <w:p w14:paraId="4EBF53CD">
            <w:pPr>
              <w:widowControl/>
              <w:jc w:val="left"/>
              <w:rPr>
                <w:rFonts w:ascii="宋体" w:hAnsi="宋体" w:eastAsia="宋体" w:cs="宋体"/>
                <w:kern w:val="0"/>
                <w:sz w:val="18"/>
                <w:szCs w:val="18"/>
              </w:rPr>
            </w:pPr>
          </w:p>
        </w:tc>
        <w:tc>
          <w:tcPr>
            <w:tcW w:w="0" w:type="auto"/>
            <w:vAlign w:val="center"/>
          </w:tcPr>
          <w:p w14:paraId="197BEF57">
            <w:pPr>
              <w:widowControl/>
              <w:jc w:val="left"/>
              <w:rPr>
                <w:rFonts w:ascii="宋体" w:hAnsi="宋体" w:eastAsia="宋体" w:cs="宋体"/>
                <w:kern w:val="0"/>
                <w:sz w:val="18"/>
                <w:szCs w:val="18"/>
              </w:rPr>
            </w:pPr>
            <w:r>
              <w:rPr>
                <w:rFonts w:ascii="宋体" w:hAnsi="宋体" w:eastAsia="宋体" w:cs="宋体"/>
                <w:kern w:val="0"/>
                <w:sz w:val="18"/>
                <w:szCs w:val="18"/>
              </w:rPr>
              <w:drawing>
                <wp:inline distT="0" distB="0" distL="0" distR="0">
                  <wp:extent cx="5286375" cy="3171825"/>
                  <wp:effectExtent l="19050" t="0" r="9525" b="0"/>
                  <wp:docPr id="1" name="图片 1" descr="http://172.26.54.36:8080/website-webapp/common/preview_resource.action?id=177921f8862b436e9570f7600a769060&amp;type=png&amp;jcr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72.26.54.36:8080/website-webapp/common/preview_resource.action?id=177921f8862b436e9570f7600a769060&amp;type=png&amp;jcrVer=1.0"/>
                          <pic:cNvPicPr>
                            <a:picLocks noChangeAspect="1" noChangeArrowheads="1"/>
                          </pic:cNvPicPr>
                        </pic:nvPicPr>
                        <pic:blipFill>
                          <a:blip r:embed="rId4" cstate="print"/>
                          <a:srcRect/>
                          <a:stretch>
                            <a:fillRect/>
                          </a:stretch>
                        </pic:blipFill>
                        <pic:spPr>
                          <a:xfrm>
                            <a:off x="0" y="0"/>
                            <a:ext cx="5286375" cy="3171825"/>
                          </a:xfrm>
                          <a:prstGeom prst="rect">
                            <a:avLst/>
                          </a:prstGeom>
                          <a:noFill/>
                          <a:ln w="9525">
                            <a:noFill/>
                            <a:miter lim="800000"/>
                            <a:headEnd/>
                            <a:tailEnd/>
                          </a:ln>
                        </pic:spPr>
                      </pic:pic>
                    </a:graphicData>
                  </a:graphic>
                </wp:inline>
              </w:drawing>
            </w:r>
          </w:p>
        </w:tc>
      </w:tr>
    </w:tbl>
    <w:p w14:paraId="2702CB04">
      <w:pPr>
        <w:widowControl/>
        <w:shd w:val="clear" w:color="auto" w:fill="FFFFFF"/>
        <w:spacing w:line="560" w:lineRule="atLeast"/>
        <w:ind w:firstLine="420"/>
        <w:rPr>
          <w:rFonts w:ascii="Calibri" w:hAnsi="Calibri" w:eastAsia="宋体" w:cs="宋体"/>
          <w:color w:val="505050"/>
          <w:kern w:val="0"/>
          <w:szCs w:val="21"/>
        </w:rPr>
      </w:pPr>
      <w:r>
        <w:rPr>
          <w:rFonts w:ascii="Calibri" w:hAnsi="Calibri" w:eastAsia="宋体" w:cs="宋体"/>
          <w:color w:val="505050"/>
          <w:kern w:val="0"/>
          <w:szCs w:val="21"/>
        </w:rPr>
        <w:br w:type="textWrapping" w:clear="all"/>
      </w:r>
    </w:p>
    <w:p w14:paraId="65F22A07">
      <w:pPr>
        <w:widowControl/>
        <w:shd w:val="clear" w:color="auto" w:fill="FFFFFF"/>
        <w:spacing w:line="560" w:lineRule="atLeast"/>
        <w:ind w:firstLine="640"/>
        <w:rPr>
          <w:rFonts w:ascii="Calibri" w:hAnsi="Calibri" w:eastAsia="宋体" w:cs="宋体"/>
          <w:color w:val="505050"/>
          <w:kern w:val="0"/>
          <w:szCs w:val="21"/>
        </w:rPr>
      </w:pPr>
      <w:r>
        <w:rPr>
          <w:rFonts w:hint="eastAsia" w:ascii="楷体" w:hAnsi="楷体" w:eastAsia="楷体" w:cs="宋体"/>
          <w:b/>
          <w:bCs/>
          <w:color w:val="505050"/>
          <w:kern w:val="0"/>
          <w:sz w:val="32"/>
          <w:szCs w:val="32"/>
        </w:rPr>
        <w:t>（二）答复情况</w:t>
      </w:r>
    </w:p>
    <w:p w14:paraId="40A6F248">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已到答复期的214件申请全部按期答复，其中：已主动公开信息48件，占总数的22.4%；同意公开54件，占总数的25.2%；部分公开24件，占总数的11.2%；信息不存在58件，占总数的27.1%；非本单位信息30件占总数的14%。</w:t>
      </w:r>
    </w:p>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645"/>
        <w:gridCol w:w="7530"/>
      </w:tblGrid>
      <w:tr w14:paraId="37D43320">
        <w:trPr>
          <w:gridAfter w:val="1"/>
          <w:wAfter w:w="7530" w:type="dxa"/>
          <w:tblCellSpacing w:w="0" w:type="dxa"/>
        </w:trPr>
        <w:tc>
          <w:tcPr>
            <w:tcW w:w="645" w:type="dxa"/>
            <w:vAlign w:val="center"/>
          </w:tcPr>
          <w:p w14:paraId="6D97B100">
            <w:pPr>
              <w:widowControl/>
              <w:jc w:val="left"/>
              <w:rPr>
                <w:rFonts w:ascii="宋体" w:hAnsi="宋体" w:eastAsia="宋体" w:cs="宋体"/>
                <w:kern w:val="0"/>
                <w:sz w:val="1"/>
                <w:szCs w:val="18"/>
              </w:rPr>
            </w:pPr>
          </w:p>
        </w:tc>
      </w:tr>
      <w:tr w14:paraId="2AE6ECD2">
        <w:tblPrEx>
          <w:tblCellMar>
            <w:top w:w="0" w:type="dxa"/>
            <w:left w:w="0" w:type="dxa"/>
            <w:bottom w:w="0" w:type="dxa"/>
            <w:right w:w="0" w:type="dxa"/>
          </w:tblCellMar>
        </w:tblPrEx>
        <w:trPr>
          <w:tblCellSpacing w:w="0" w:type="dxa"/>
        </w:trPr>
        <w:tc>
          <w:tcPr>
            <w:tcW w:w="0" w:type="auto"/>
            <w:vAlign w:val="center"/>
          </w:tcPr>
          <w:p w14:paraId="4D5ED5F7">
            <w:pPr>
              <w:widowControl/>
              <w:jc w:val="left"/>
              <w:rPr>
                <w:rFonts w:ascii="宋体" w:hAnsi="宋体" w:eastAsia="宋体" w:cs="宋体"/>
                <w:kern w:val="0"/>
                <w:sz w:val="18"/>
                <w:szCs w:val="18"/>
              </w:rPr>
            </w:pPr>
          </w:p>
        </w:tc>
        <w:tc>
          <w:tcPr>
            <w:tcW w:w="0" w:type="auto"/>
            <w:vAlign w:val="center"/>
          </w:tcPr>
          <w:p w14:paraId="7D08FD88">
            <w:pPr>
              <w:widowControl/>
              <w:jc w:val="left"/>
              <w:rPr>
                <w:rFonts w:ascii="宋体" w:hAnsi="宋体" w:eastAsia="宋体" w:cs="宋体"/>
                <w:kern w:val="0"/>
                <w:sz w:val="18"/>
                <w:szCs w:val="18"/>
              </w:rPr>
            </w:pPr>
            <w:r>
              <w:rPr>
                <w:rFonts w:ascii="宋体" w:hAnsi="宋体" w:eastAsia="宋体" w:cs="宋体"/>
                <w:kern w:val="0"/>
                <w:sz w:val="18"/>
                <w:szCs w:val="18"/>
              </w:rPr>
              <w:drawing>
                <wp:inline distT="0" distB="0" distL="0" distR="0">
                  <wp:extent cx="4752975" cy="3181350"/>
                  <wp:effectExtent l="19050" t="0" r="9525" b="0"/>
                  <wp:docPr id="2" name="图片 2" descr="http://172.26.54.36:8080/website-webapp/common/preview_resource.action?id=6586857726a84dfb9aa6c7a189a37403&amp;type=png&amp;jcr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172.26.54.36:8080/website-webapp/common/preview_resource.action?id=6586857726a84dfb9aa6c7a189a37403&amp;type=png&amp;jcrVer=1.0"/>
                          <pic:cNvPicPr>
                            <a:picLocks noChangeAspect="1" noChangeArrowheads="1"/>
                          </pic:cNvPicPr>
                        </pic:nvPicPr>
                        <pic:blipFill>
                          <a:blip r:embed="rId5" cstate="print"/>
                          <a:srcRect/>
                          <a:stretch>
                            <a:fillRect/>
                          </a:stretch>
                        </pic:blipFill>
                        <pic:spPr>
                          <a:xfrm>
                            <a:off x="0" y="0"/>
                            <a:ext cx="4752975" cy="3181350"/>
                          </a:xfrm>
                          <a:prstGeom prst="rect">
                            <a:avLst/>
                          </a:prstGeom>
                          <a:noFill/>
                          <a:ln w="9525">
                            <a:noFill/>
                            <a:miter lim="800000"/>
                            <a:headEnd/>
                            <a:tailEnd/>
                          </a:ln>
                        </pic:spPr>
                      </pic:pic>
                    </a:graphicData>
                  </a:graphic>
                </wp:inline>
              </w:drawing>
            </w:r>
          </w:p>
        </w:tc>
      </w:tr>
    </w:tbl>
    <w:p w14:paraId="7B2D7351">
      <w:pPr>
        <w:widowControl/>
        <w:shd w:val="clear" w:color="auto" w:fill="FFFFFF"/>
        <w:spacing w:line="560" w:lineRule="atLeast"/>
        <w:ind w:firstLine="640"/>
        <w:rPr>
          <w:rFonts w:ascii="Calibri" w:hAnsi="Calibri" w:eastAsia="宋体" w:cs="宋体"/>
          <w:color w:val="505050"/>
          <w:kern w:val="0"/>
          <w:szCs w:val="21"/>
        </w:rPr>
      </w:pPr>
      <w:r>
        <w:rPr>
          <w:rFonts w:ascii="Calibri" w:hAnsi="Calibri" w:eastAsia="宋体" w:cs="宋体"/>
          <w:color w:val="505050"/>
          <w:kern w:val="0"/>
          <w:szCs w:val="21"/>
        </w:rPr>
        <w:br w:type="textWrapping" w:clear="all"/>
      </w:r>
    </w:p>
    <w:p w14:paraId="0D570D87">
      <w:pPr>
        <w:widowControl/>
        <w:shd w:val="clear" w:color="auto" w:fill="FFFFFF"/>
        <w:spacing w:line="560" w:lineRule="atLeast"/>
        <w:ind w:firstLine="640"/>
        <w:rPr>
          <w:rFonts w:ascii="Calibri" w:hAnsi="Calibri" w:eastAsia="宋体" w:cs="宋体"/>
          <w:color w:val="505050"/>
          <w:kern w:val="0"/>
          <w:szCs w:val="21"/>
        </w:rPr>
      </w:pPr>
      <w:r>
        <w:rPr>
          <w:rFonts w:hint="eastAsia" w:ascii="楷体" w:hAnsi="楷体" w:eastAsia="楷体" w:cs="宋体"/>
          <w:b/>
          <w:bCs/>
          <w:color w:val="505050"/>
          <w:kern w:val="0"/>
          <w:sz w:val="32"/>
          <w:szCs w:val="32"/>
        </w:rPr>
        <w:t>（三）依申请公开政府信息收费情况</w:t>
      </w:r>
    </w:p>
    <w:p w14:paraId="1261BE5B">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按《北京市行政机关依申请提供政府信息收费办法（试行）》要求。我委申请公开政府信息检索、复制、邮寄等服务未收取费用。</w:t>
      </w:r>
    </w:p>
    <w:p w14:paraId="509E4F35">
      <w:pPr>
        <w:widowControl/>
        <w:shd w:val="clear" w:color="auto" w:fill="FFFFFF"/>
        <w:spacing w:line="560" w:lineRule="atLeast"/>
        <w:ind w:firstLine="640"/>
        <w:rPr>
          <w:rFonts w:ascii="Calibri" w:hAnsi="Calibri" w:eastAsia="宋体" w:cs="宋体"/>
          <w:color w:val="505050"/>
          <w:kern w:val="0"/>
          <w:szCs w:val="21"/>
        </w:rPr>
      </w:pPr>
      <w:r>
        <w:rPr>
          <w:rFonts w:hint="eastAsia" w:ascii="黑体" w:hAnsi="黑体" w:eastAsia="黑体" w:cs="宋体"/>
          <w:color w:val="505050"/>
          <w:kern w:val="0"/>
          <w:sz w:val="32"/>
          <w:szCs w:val="32"/>
        </w:rPr>
        <w:t>四、复议和诉讼情况</w:t>
      </w:r>
    </w:p>
    <w:p w14:paraId="6BA46F98">
      <w:pPr>
        <w:widowControl/>
        <w:shd w:val="clear" w:color="auto" w:fill="FFFFFF"/>
        <w:spacing w:line="560" w:lineRule="atLeast"/>
        <w:ind w:firstLine="480"/>
        <w:rPr>
          <w:rFonts w:ascii="Calibri" w:hAnsi="Calibri" w:eastAsia="宋体" w:cs="宋体"/>
          <w:color w:val="505050"/>
          <w:kern w:val="0"/>
          <w:szCs w:val="21"/>
        </w:rPr>
      </w:pPr>
      <w:r>
        <w:rPr>
          <w:rFonts w:hint="eastAsia" w:ascii="仿宋" w:hAnsi="仿宋" w:eastAsia="仿宋" w:cs="宋体"/>
          <w:color w:val="505050"/>
          <w:kern w:val="0"/>
          <w:sz w:val="32"/>
          <w:szCs w:val="32"/>
        </w:rPr>
        <w:t>按照《条例》第33条规定，公民、法人或者其他组织认为行政机关在政府信息公开工作中的具体行政行为侵犯其合法权益的，可以依法申请行政复议或者提起行政诉讼。</w:t>
      </w:r>
    </w:p>
    <w:p w14:paraId="359A8D94">
      <w:pPr>
        <w:widowControl/>
        <w:shd w:val="clear" w:color="auto" w:fill="FFFFFF"/>
        <w:spacing w:line="560" w:lineRule="atLeast"/>
        <w:ind w:firstLine="640"/>
        <w:rPr>
          <w:rFonts w:ascii="Calibri" w:hAnsi="Calibri" w:eastAsia="宋体" w:cs="宋体"/>
          <w:color w:val="505050"/>
          <w:kern w:val="0"/>
          <w:szCs w:val="21"/>
        </w:rPr>
      </w:pPr>
      <w:r>
        <w:rPr>
          <w:rFonts w:hint="eastAsia" w:ascii="楷体" w:hAnsi="楷体" w:eastAsia="楷体" w:cs="宋体"/>
          <w:b/>
          <w:bCs/>
          <w:color w:val="505050"/>
          <w:kern w:val="0"/>
          <w:sz w:val="32"/>
          <w:szCs w:val="32"/>
        </w:rPr>
        <w:t>（一）行政复议</w:t>
      </w:r>
    </w:p>
    <w:p w14:paraId="4714F664">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针对本单位政府信息公开行政复议申请10件。其中维持行政行为8件，撤销行政行为并重新答复1件，未审结1件。</w:t>
      </w:r>
    </w:p>
    <w:p w14:paraId="757B9969">
      <w:pPr>
        <w:widowControl/>
        <w:shd w:val="clear" w:color="auto" w:fill="FFFFFF"/>
        <w:spacing w:line="560" w:lineRule="atLeast"/>
        <w:ind w:firstLine="640"/>
        <w:rPr>
          <w:rFonts w:ascii="Calibri" w:hAnsi="Calibri" w:eastAsia="宋体" w:cs="宋体"/>
          <w:color w:val="505050"/>
          <w:kern w:val="0"/>
          <w:szCs w:val="21"/>
        </w:rPr>
      </w:pPr>
      <w:r>
        <w:rPr>
          <w:rFonts w:hint="eastAsia" w:ascii="楷体" w:hAnsi="楷体" w:eastAsia="楷体" w:cs="宋体"/>
          <w:b/>
          <w:bCs/>
          <w:color w:val="505050"/>
          <w:kern w:val="0"/>
          <w:sz w:val="32"/>
          <w:szCs w:val="32"/>
        </w:rPr>
        <w:t>（二）行政诉讼</w:t>
      </w:r>
    </w:p>
    <w:p w14:paraId="593D74F8">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针对本单位政府信息公开的行政诉讼案件17件。其中驳回原告诉讼请求11件，撤销行政行为并重新答复3件，部分撤销行政行为并重新答复1件，裁定驳回2件。</w:t>
      </w:r>
    </w:p>
    <w:p w14:paraId="531DB0F6">
      <w:pPr>
        <w:widowControl/>
        <w:shd w:val="clear" w:color="auto" w:fill="FFFFFF"/>
        <w:spacing w:line="560" w:lineRule="atLeast"/>
        <w:ind w:firstLine="640"/>
        <w:rPr>
          <w:rFonts w:ascii="Calibri" w:hAnsi="Calibri" w:eastAsia="宋体" w:cs="宋体"/>
          <w:color w:val="505050"/>
          <w:kern w:val="0"/>
          <w:szCs w:val="21"/>
        </w:rPr>
      </w:pPr>
      <w:r>
        <w:rPr>
          <w:rFonts w:hint="eastAsia" w:ascii="黑体" w:hAnsi="黑体" w:eastAsia="黑体" w:cs="宋体"/>
          <w:color w:val="505050"/>
          <w:kern w:val="0"/>
          <w:sz w:val="32"/>
          <w:szCs w:val="32"/>
        </w:rPr>
        <w:t>五、存在不足及改进措施</w:t>
      </w:r>
    </w:p>
    <w:p w14:paraId="1DC1217C">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条例》实施以来，我委信息公开工作虽然取得了一些成绩，但也存在着一些问题，一是依申请工作能力需要进一步增强。近年来，依申请公开申请数量逐年增加，申请人法律意识也不断增强，在答复公开申请时经常遇到疑点难点问题，业务办理人员需要通过进一步加强专业知识学习，提高办理水平。二是公开内容不够全面。需进一步完善公众关注度高的规范性文件、重大决策及政策解读的主动公开工作，不断丰富解读形式，提高解读效果。2019年我委将从以下四个方面改进：</w:t>
      </w:r>
    </w:p>
    <w:p w14:paraId="311C92B0">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一是大力开展工作人员政府信息公开工作知识的学习和培训，增强信息公开工作人员法律和责任意识，进一步提高业务能力和工作水平。</w:t>
      </w:r>
    </w:p>
    <w:p w14:paraId="3C45B565">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二是认真贯彻落实政府信息公开有关的各项规章制度，进一步规范政府信息公开工作，持续强化信息公开工作队伍建设，形成常抓不懈的工作机制。</w:t>
      </w:r>
    </w:p>
    <w:p w14:paraId="716AF70C">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三是突出抓好门户网站的维护工作，积极公开社会关注度高、公众利益密切相关的信息，提高群众对信息查询渠道的知晓率，丰富和深化信息公开的内容。</w:t>
      </w:r>
    </w:p>
    <w:p w14:paraId="5AB1CC3B">
      <w:pPr>
        <w:widowControl/>
        <w:shd w:val="clear" w:color="auto" w:fill="FFFFFF"/>
        <w:spacing w:line="560" w:lineRule="atLeast"/>
        <w:ind w:firstLine="640"/>
        <w:rPr>
          <w:rFonts w:ascii="Calibri" w:hAnsi="Calibri" w:eastAsia="宋体" w:cs="宋体"/>
          <w:color w:val="505050"/>
          <w:kern w:val="0"/>
          <w:szCs w:val="21"/>
        </w:rPr>
      </w:pPr>
      <w:r>
        <w:rPr>
          <w:rFonts w:hint="eastAsia" w:ascii="仿宋" w:hAnsi="仿宋" w:eastAsia="仿宋" w:cs="宋体"/>
          <w:color w:val="505050"/>
          <w:kern w:val="0"/>
          <w:sz w:val="32"/>
          <w:szCs w:val="32"/>
        </w:rPr>
        <w:t>四是按照“公开为原则，不公开为例外”的总体要求，进一步梳理我委依法履职中，所掌握的政府信息，按《条例》及相关规定要求，及时更新，定期维护，确保政府信息公开工作能按照既定的工作流程有效运作，方便公众查询。</w:t>
      </w:r>
    </w:p>
    <w:p w14:paraId="5566FFF5">
      <w:pPr>
        <w:widowControl/>
        <w:shd w:val="clear" w:color="auto" w:fill="FFFFFF"/>
        <w:spacing w:line="560" w:lineRule="atLeast"/>
        <w:ind w:firstLine="640"/>
        <w:rPr>
          <w:rFonts w:ascii="Calibri" w:hAnsi="Calibri" w:eastAsia="宋体" w:cs="宋体"/>
          <w:color w:val="505050"/>
          <w:kern w:val="0"/>
          <w:szCs w:val="21"/>
        </w:rPr>
      </w:pPr>
    </w:p>
    <w:p w14:paraId="25FC6BED">
      <w:pPr>
        <w:widowControl/>
        <w:shd w:val="clear" w:color="auto" w:fill="FFFFFF"/>
        <w:spacing w:line="560" w:lineRule="atLeast"/>
        <w:ind w:firstLine="640"/>
        <w:rPr>
          <w:rFonts w:ascii="Calibri" w:hAnsi="Calibri" w:eastAsia="宋体" w:cs="宋体"/>
          <w:color w:val="505050"/>
          <w:kern w:val="0"/>
          <w:szCs w:val="21"/>
        </w:rPr>
      </w:pPr>
    </w:p>
    <w:p w14:paraId="4CF6E715">
      <w:pPr>
        <w:widowControl/>
        <w:shd w:val="clear" w:color="auto" w:fill="FFFFFF"/>
        <w:spacing w:line="560" w:lineRule="atLeast"/>
        <w:ind w:firstLine="480"/>
        <w:rPr>
          <w:rFonts w:ascii="Calibri" w:hAnsi="Calibri" w:eastAsia="宋体" w:cs="宋体"/>
          <w:color w:val="505050"/>
          <w:kern w:val="0"/>
          <w:szCs w:val="21"/>
        </w:rPr>
      </w:pPr>
      <w:r>
        <w:rPr>
          <w:rFonts w:hint="eastAsia" w:ascii="宋体" w:hAnsi="宋体" w:eastAsia="宋体" w:cs="宋体"/>
          <w:color w:val="505050"/>
          <w:kern w:val="0"/>
          <w:sz w:val="32"/>
          <w:szCs w:val="32"/>
        </w:rPr>
        <w:t> </w:t>
      </w:r>
    </w:p>
    <w:p w14:paraId="4FDCB397">
      <w:pPr>
        <w:widowControl/>
        <w:shd w:val="clear" w:color="auto" w:fill="FFFFFF"/>
        <w:spacing w:line="560" w:lineRule="atLeast"/>
        <w:ind w:firstLine="480"/>
        <w:rPr>
          <w:rFonts w:ascii="Calibri" w:hAnsi="Calibri" w:eastAsia="宋体" w:cs="宋体"/>
          <w:color w:val="505050"/>
          <w:kern w:val="0"/>
          <w:szCs w:val="21"/>
        </w:rPr>
      </w:pPr>
    </w:p>
    <w:p w14:paraId="703A42B3">
      <w:pPr>
        <w:widowControl/>
        <w:shd w:val="clear" w:color="auto" w:fill="FFFFFF"/>
        <w:spacing w:line="560" w:lineRule="atLeast"/>
        <w:ind w:firstLine="1600"/>
        <w:jc w:val="center"/>
        <w:rPr>
          <w:rFonts w:ascii="Calibri" w:hAnsi="Calibri" w:eastAsia="宋体" w:cs="宋体"/>
          <w:color w:val="505050"/>
          <w:kern w:val="0"/>
          <w:szCs w:val="21"/>
        </w:rPr>
      </w:pPr>
      <w:r>
        <w:rPr>
          <w:rFonts w:hint="eastAsia" w:ascii="仿宋" w:hAnsi="仿宋" w:eastAsia="仿宋" w:cs="宋体"/>
          <w:color w:val="505050"/>
          <w:kern w:val="0"/>
          <w:sz w:val="32"/>
          <w:szCs w:val="32"/>
        </w:rPr>
        <w:t>北京市通州区住房和城乡建设委员会</w:t>
      </w:r>
    </w:p>
    <w:p w14:paraId="5A592F37">
      <w:pPr>
        <w:widowControl/>
        <w:shd w:val="clear" w:color="auto" w:fill="FFFFFF"/>
        <w:spacing w:line="560" w:lineRule="atLeast"/>
        <w:ind w:firstLine="2880"/>
        <w:jc w:val="center"/>
        <w:rPr>
          <w:rFonts w:ascii="Calibri" w:hAnsi="Calibri" w:eastAsia="宋体" w:cs="宋体"/>
          <w:color w:val="505050"/>
          <w:kern w:val="0"/>
          <w:szCs w:val="21"/>
        </w:rPr>
      </w:pPr>
      <w:r>
        <w:rPr>
          <w:rFonts w:hint="eastAsia" w:ascii="仿宋" w:hAnsi="仿宋" w:eastAsia="仿宋" w:cs="宋体"/>
          <w:color w:val="505050"/>
          <w:kern w:val="0"/>
          <w:sz w:val="32"/>
          <w:szCs w:val="32"/>
        </w:rPr>
        <w:t>二〇一九年三月</w:t>
      </w:r>
    </w:p>
    <w:p w14:paraId="00889DF5">
      <w:pPr>
        <w:jc w:val="center"/>
        <w:rPr>
          <w:rFonts w:hint="eastAsia"/>
          <w:b/>
          <w:sz w:val="44"/>
          <w:szCs w:val="44"/>
        </w:rPr>
      </w:pPr>
    </w:p>
    <w:tbl>
      <w:tblPr>
        <w:tblStyle w:val="5"/>
        <w:tblW w:w="5000" w:type="pct"/>
        <w:tblInd w:w="0" w:type="dxa"/>
        <w:tblLayout w:type="autofit"/>
        <w:tblCellMar>
          <w:top w:w="0" w:type="dxa"/>
          <w:left w:w="0" w:type="dxa"/>
          <w:bottom w:w="0" w:type="dxa"/>
          <w:right w:w="0" w:type="dxa"/>
        </w:tblCellMar>
      </w:tblPr>
      <w:tblGrid>
        <w:gridCol w:w="7280"/>
        <w:gridCol w:w="517"/>
        <w:gridCol w:w="725"/>
      </w:tblGrid>
      <w:tr w14:paraId="2380066F">
        <w:tblPrEx>
          <w:tblCellMar>
            <w:top w:w="0" w:type="dxa"/>
            <w:left w:w="0" w:type="dxa"/>
            <w:bottom w:w="0" w:type="dxa"/>
            <w:right w:w="0" w:type="dxa"/>
          </w:tblCellMar>
        </w:tblPrEx>
        <w:trPr>
          <w:trHeight w:val="799" w:hRule="atLeast"/>
        </w:trPr>
        <w:tc>
          <w:tcPr>
            <w:tcW w:w="5000" w:type="pct"/>
            <w:gridSpan w:val="3"/>
            <w:tcMar>
              <w:top w:w="0" w:type="dxa"/>
              <w:left w:w="108" w:type="dxa"/>
              <w:bottom w:w="0" w:type="dxa"/>
              <w:right w:w="108" w:type="dxa"/>
            </w:tcMar>
            <w:vAlign w:val="bottom"/>
          </w:tcPr>
          <w:p w14:paraId="3938447E">
            <w:pPr>
              <w:widowControl/>
              <w:spacing w:line="360" w:lineRule="atLeast"/>
              <w:ind w:firstLine="480"/>
              <w:jc w:val="center"/>
              <w:rPr>
                <w:rFonts w:ascii="Calibri" w:hAnsi="Calibri" w:eastAsia="宋体" w:cs="宋体"/>
                <w:color w:val="505050"/>
                <w:kern w:val="0"/>
                <w:szCs w:val="21"/>
              </w:rPr>
            </w:pPr>
            <w:bookmarkStart w:id="0" w:name="OLE_LINK1"/>
            <w:r>
              <w:rPr>
                <w:rFonts w:ascii="Arial" w:hAnsi="Arial" w:eastAsia="宋体" w:cs="Arial"/>
                <w:b/>
                <w:bCs/>
                <w:color w:val="FF8080"/>
                <w:kern w:val="0"/>
                <w:sz w:val="24"/>
                <w:szCs w:val="24"/>
              </w:rPr>
              <w:t xml:space="preserve">    </w:t>
            </w:r>
          </w:p>
          <w:p w14:paraId="690691E6">
            <w:pPr>
              <w:widowControl/>
              <w:spacing w:line="360" w:lineRule="atLeast"/>
              <w:ind w:firstLine="480"/>
              <w:jc w:val="center"/>
              <w:rPr>
                <w:rFonts w:ascii="Calibri" w:hAnsi="Calibri" w:eastAsia="宋体" w:cs="宋体"/>
                <w:color w:val="505050"/>
                <w:kern w:val="0"/>
                <w:szCs w:val="21"/>
              </w:rPr>
            </w:pPr>
            <w:r>
              <w:rPr>
                <w:rFonts w:ascii="Arial" w:hAnsi="Arial" w:eastAsia="宋体" w:cs="Arial"/>
                <w:b/>
                <w:bCs/>
                <w:color w:val="FF8080"/>
                <w:kern w:val="0"/>
                <w:sz w:val="24"/>
                <w:szCs w:val="24"/>
              </w:rPr>
              <w:t> </w:t>
            </w:r>
          </w:p>
          <w:p w14:paraId="462ED236">
            <w:pPr>
              <w:widowControl/>
              <w:spacing w:line="360" w:lineRule="atLeast"/>
              <w:ind w:firstLine="480"/>
              <w:jc w:val="center"/>
              <w:rPr>
                <w:rFonts w:ascii="Calibri" w:hAnsi="Calibri" w:eastAsia="宋体" w:cs="宋体"/>
                <w:color w:val="505050"/>
                <w:kern w:val="0"/>
                <w:szCs w:val="21"/>
              </w:rPr>
            </w:pPr>
            <w:r>
              <w:rPr>
                <w:rFonts w:ascii="Arial" w:hAnsi="Arial" w:eastAsia="宋体" w:cs="Arial"/>
                <w:b/>
                <w:bCs/>
                <w:color w:val="FF8080"/>
                <w:kern w:val="0"/>
                <w:sz w:val="24"/>
                <w:szCs w:val="24"/>
              </w:rPr>
              <w:t> </w:t>
            </w:r>
          </w:p>
          <w:p w14:paraId="4307B21A">
            <w:pPr>
              <w:widowControl/>
              <w:spacing w:line="360" w:lineRule="atLeast"/>
              <w:ind w:firstLine="480"/>
              <w:jc w:val="center"/>
              <w:rPr>
                <w:rFonts w:ascii="Calibri" w:hAnsi="Calibri" w:eastAsia="宋体" w:cs="宋体"/>
                <w:color w:val="505050"/>
                <w:kern w:val="0"/>
                <w:szCs w:val="21"/>
              </w:rPr>
            </w:pPr>
            <w:r>
              <w:rPr>
                <w:rFonts w:ascii="Arial" w:hAnsi="Arial" w:eastAsia="宋体" w:cs="Arial"/>
                <w:b/>
                <w:bCs/>
                <w:color w:val="505050"/>
                <w:kern w:val="0"/>
                <w:sz w:val="24"/>
                <w:szCs w:val="24"/>
              </w:rPr>
              <w:t> </w:t>
            </w:r>
          </w:p>
          <w:p w14:paraId="209F869C">
            <w:pPr>
              <w:widowControl/>
              <w:spacing w:line="360" w:lineRule="atLeast"/>
              <w:ind w:firstLine="480"/>
              <w:jc w:val="center"/>
              <w:rPr>
                <w:rFonts w:ascii="Calibri" w:hAnsi="Calibri" w:eastAsia="宋体" w:cs="宋体"/>
                <w:color w:val="505050"/>
                <w:kern w:val="0"/>
                <w:szCs w:val="21"/>
              </w:rPr>
            </w:pPr>
            <w:r>
              <w:rPr>
                <w:rFonts w:ascii="Arial" w:hAnsi="Arial" w:eastAsia="宋体" w:cs="Arial"/>
                <w:b/>
                <w:bCs/>
                <w:color w:val="505050"/>
                <w:kern w:val="0"/>
                <w:sz w:val="24"/>
                <w:szCs w:val="24"/>
              </w:rPr>
              <w:t> </w:t>
            </w:r>
            <w:r>
              <w:rPr>
                <w:rFonts w:hint="eastAsia" w:ascii="宋体" w:hAnsi="宋体" w:eastAsia="宋体" w:cs="宋体"/>
                <w:b/>
                <w:bCs/>
                <w:color w:val="505050"/>
                <w:kern w:val="0"/>
                <w:sz w:val="24"/>
                <w:szCs w:val="24"/>
              </w:rPr>
              <w:t>政府信息公开情况统计表</w:t>
            </w:r>
            <w:r>
              <w:rPr>
                <w:rFonts w:ascii="Arial" w:hAnsi="Arial" w:eastAsia="宋体" w:cs="Arial"/>
                <w:b/>
                <w:bCs/>
                <w:color w:val="505050"/>
                <w:kern w:val="0"/>
                <w:sz w:val="24"/>
                <w:szCs w:val="24"/>
              </w:rPr>
              <w:br w:type="textWrapping"/>
            </w:r>
            <w:r>
              <w:rPr>
                <w:rFonts w:hint="eastAsia" w:ascii="宋体" w:hAnsi="宋体" w:eastAsia="宋体" w:cs="宋体"/>
                <w:b/>
                <w:bCs/>
                <w:color w:val="505050"/>
                <w:kern w:val="0"/>
                <w:sz w:val="24"/>
                <w:szCs w:val="24"/>
              </w:rPr>
              <w:t>（</w:t>
            </w:r>
            <w:r>
              <w:rPr>
                <w:rFonts w:ascii="Arial" w:hAnsi="Arial" w:eastAsia="宋体" w:cs="Arial"/>
                <w:b/>
                <w:bCs/>
                <w:color w:val="505050"/>
                <w:kern w:val="0"/>
                <w:sz w:val="24"/>
                <w:szCs w:val="24"/>
              </w:rPr>
              <w:t>2018</w:t>
            </w:r>
            <w:r>
              <w:rPr>
                <w:rFonts w:hint="eastAsia" w:ascii="宋体" w:hAnsi="宋体" w:eastAsia="宋体" w:cs="宋体"/>
                <w:b/>
                <w:bCs/>
                <w:color w:val="505050"/>
                <w:kern w:val="0"/>
                <w:sz w:val="24"/>
                <w:szCs w:val="24"/>
              </w:rPr>
              <w:t>年度）</w:t>
            </w:r>
          </w:p>
        </w:tc>
      </w:tr>
      <w:tr w14:paraId="3DF5CE0D">
        <w:tblPrEx>
          <w:tblCellMar>
            <w:top w:w="0" w:type="dxa"/>
            <w:left w:w="0" w:type="dxa"/>
            <w:bottom w:w="0" w:type="dxa"/>
            <w:right w:w="0" w:type="dxa"/>
          </w:tblCellMar>
        </w:tblPrEx>
        <w:trPr>
          <w:trHeight w:val="255" w:hRule="atLeast"/>
        </w:trPr>
        <w:tc>
          <w:tcPr>
            <w:tcW w:w="4426" w:type="pct"/>
            <w:noWrap/>
            <w:tcMar>
              <w:top w:w="0" w:type="dxa"/>
              <w:left w:w="108" w:type="dxa"/>
              <w:bottom w:w="0" w:type="dxa"/>
              <w:right w:w="108" w:type="dxa"/>
            </w:tcMar>
            <w:vAlign w:val="bottom"/>
          </w:tcPr>
          <w:p w14:paraId="600BCBE3">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填报单位（盖章）：</w:t>
            </w:r>
          </w:p>
        </w:tc>
        <w:tc>
          <w:tcPr>
            <w:tcW w:w="247" w:type="pct"/>
            <w:shd w:val="clear" w:color="auto" w:fill="FFFFFF"/>
            <w:noWrap/>
            <w:tcMar>
              <w:top w:w="0" w:type="dxa"/>
              <w:left w:w="108" w:type="dxa"/>
              <w:bottom w:w="0" w:type="dxa"/>
              <w:right w:w="108" w:type="dxa"/>
            </w:tcMar>
            <w:vAlign w:val="center"/>
          </w:tcPr>
          <w:p w14:paraId="2AB2C20E">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　</w:t>
            </w:r>
          </w:p>
        </w:tc>
        <w:tc>
          <w:tcPr>
            <w:tcW w:w="327" w:type="pct"/>
            <w:shd w:val="clear" w:color="auto" w:fill="FFFFFF"/>
            <w:noWrap/>
            <w:tcMar>
              <w:top w:w="0" w:type="dxa"/>
              <w:left w:w="108" w:type="dxa"/>
              <w:bottom w:w="0" w:type="dxa"/>
              <w:right w:w="108" w:type="dxa"/>
            </w:tcMar>
            <w:vAlign w:val="center"/>
          </w:tcPr>
          <w:p w14:paraId="6C70C8BF">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　</w:t>
            </w:r>
          </w:p>
        </w:tc>
      </w:tr>
      <w:tr w14:paraId="3214793C">
        <w:tblPrEx>
          <w:tblCellMar>
            <w:top w:w="0" w:type="dxa"/>
            <w:left w:w="0" w:type="dxa"/>
            <w:bottom w:w="0" w:type="dxa"/>
            <w:right w:w="0" w:type="dxa"/>
          </w:tblCellMar>
        </w:tblPrEx>
        <w:trPr>
          <w:trHeight w:val="435" w:hRule="atLeast"/>
        </w:trPr>
        <w:tc>
          <w:tcPr>
            <w:tcW w:w="4426" w:type="pct"/>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bottom"/>
          </w:tcPr>
          <w:p w14:paraId="755B5BFC">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统</w:t>
            </w: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计</w:t>
            </w: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指</w:t>
            </w: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标</w:t>
            </w:r>
          </w:p>
        </w:tc>
        <w:tc>
          <w:tcPr>
            <w:tcW w:w="247"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76D31E">
            <w:pPr>
              <w:widowControl/>
              <w:jc w:val="left"/>
              <w:rPr>
                <w:rFonts w:ascii="宋体" w:hAnsi="宋体" w:eastAsia="宋体" w:cs="宋体"/>
                <w:kern w:val="0"/>
                <w:sz w:val="18"/>
                <w:szCs w:val="18"/>
              </w:rPr>
            </w:pPr>
            <w:r>
              <w:rPr>
                <w:rFonts w:hint="eastAsia" w:ascii="宋体" w:hAnsi="宋体" w:eastAsia="宋体" w:cs="宋体"/>
                <w:kern w:val="0"/>
                <w:sz w:val="18"/>
                <w:szCs w:val="18"/>
              </w:rPr>
              <w:t>单位</w:t>
            </w:r>
          </w:p>
        </w:tc>
        <w:tc>
          <w:tcPr>
            <w:tcW w:w="327"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tcPr>
          <w:p w14:paraId="613945ED">
            <w:pPr>
              <w:widowControl/>
              <w:spacing w:line="360" w:lineRule="atLeast"/>
              <w:jc w:val="left"/>
              <w:rPr>
                <w:rFonts w:ascii="Calibri" w:hAnsi="Calibri" w:eastAsia="宋体" w:cs="宋体"/>
                <w:color w:val="505050"/>
                <w:kern w:val="0"/>
                <w:szCs w:val="21"/>
              </w:rPr>
            </w:pPr>
            <w:r>
              <w:rPr>
                <w:rFonts w:hint="eastAsia" w:ascii="宋体" w:hAnsi="宋体" w:eastAsia="宋体" w:cs="宋体"/>
                <w:color w:val="505050"/>
                <w:kern w:val="0"/>
                <w:sz w:val="20"/>
                <w:szCs w:val="20"/>
              </w:rPr>
              <w:t>统计数</w:t>
            </w:r>
          </w:p>
        </w:tc>
      </w:tr>
      <w:tr w14:paraId="40CC2322">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861BDC8">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一、主动公开情况</w:t>
            </w:r>
          </w:p>
        </w:tc>
        <w:tc>
          <w:tcPr>
            <w:tcW w:w="247" w:type="pct"/>
            <w:shd w:val="clear" w:color="auto" w:fill="FFFFFF"/>
            <w:noWrap/>
            <w:tcMar>
              <w:top w:w="0" w:type="dxa"/>
              <w:left w:w="108" w:type="dxa"/>
              <w:bottom w:w="0" w:type="dxa"/>
              <w:right w:w="108" w:type="dxa"/>
            </w:tcMar>
            <w:vAlign w:val="center"/>
          </w:tcPr>
          <w:p w14:paraId="1E623FCF">
            <w:pPr>
              <w:widowControl/>
              <w:spacing w:line="360" w:lineRule="atLeast"/>
              <w:jc w:val="left"/>
              <w:rPr>
                <w:rFonts w:ascii="Calibri" w:hAnsi="Calibri" w:eastAsia="宋体" w:cs="宋体"/>
                <w:color w:val="505050"/>
                <w:kern w:val="0"/>
                <w:szCs w:val="21"/>
              </w:rPr>
            </w:pPr>
          </w:p>
        </w:tc>
        <w:tc>
          <w:tcPr>
            <w:tcW w:w="3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37F10DEE">
            <w:pPr>
              <w:widowControl/>
              <w:spacing w:line="360" w:lineRule="atLeast"/>
              <w:ind w:firstLine="480"/>
              <w:jc w:val="right"/>
              <w:rPr>
                <w:rFonts w:ascii="Calibri" w:hAnsi="Calibri" w:eastAsia="宋体" w:cs="宋体"/>
                <w:color w:val="505050"/>
                <w:kern w:val="0"/>
                <w:szCs w:val="21"/>
              </w:rPr>
            </w:pPr>
            <w:r>
              <w:rPr>
                <w:rFonts w:hint="eastAsia" w:ascii="宋体" w:hAnsi="宋体" w:eastAsia="宋体" w:cs="宋体"/>
                <w:color w:val="505050"/>
                <w:kern w:val="0"/>
                <w:sz w:val="20"/>
                <w:szCs w:val="20"/>
              </w:rPr>
              <w:t>　</w:t>
            </w:r>
          </w:p>
        </w:tc>
      </w:tr>
      <w:tr w14:paraId="35058145">
        <w:tblPrEx>
          <w:tblCellMar>
            <w:top w:w="0" w:type="dxa"/>
            <w:left w:w="0" w:type="dxa"/>
            <w:bottom w:w="0" w:type="dxa"/>
            <w:right w:w="0" w:type="dxa"/>
          </w:tblCellMar>
        </w:tblPrEx>
        <w:trPr>
          <w:trHeight w:val="360"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90AB67A">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（一）主动公开政府信息数（不同渠道和方式公开相同信息计</w:t>
            </w:r>
            <w:r>
              <w:rPr>
                <w:rFonts w:ascii="Arial" w:hAnsi="Arial" w:eastAsia="宋体" w:cs="Arial"/>
                <w:color w:val="505050"/>
                <w:kern w:val="0"/>
                <w:sz w:val="20"/>
                <w:szCs w:val="20"/>
              </w:rPr>
              <w:t>1</w:t>
            </w:r>
            <w:r>
              <w:rPr>
                <w:rFonts w:hint="eastAsia" w:ascii="宋体" w:hAnsi="宋体" w:eastAsia="宋体" w:cs="宋体"/>
                <w:color w:val="505050"/>
                <w:kern w:val="0"/>
                <w:sz w:val="20"/>
                <w:szCs w:val="20"/>
              </w:rPr>
              <w:t>条）</w:t>
            </w:r>
          </w:p>
        </w:tc>
        <w:tc>
          <w:tcPr>
            <w:tcW w:w="247"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9F1498">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0E58A16F">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324</w:t>
            </w:r>
          </w:p>
        </w:tc>
      </w:tr>
      <w:tr w14:paraId="18EF5408">
        <w:tblPrEx>
          <w:tblCellMar>
            <w:top w:w="0" w:type="dxa"/>
            <w:left w:w="0" w:type="dxa"/>
            <w:bottom w:w="0" w:type="dxa"/>
            <w:right w:w="0" w:type="dxa"/>
          </w:tblCellMar>
        </w:tblPrEx>
        <w:trPr>
          <w:trHeight w:val="360"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6380F10">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其中：主动公开规范性文件数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C63E37">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6F87B60E">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6</w:t>
            </w:r>
          </w:p>
        </w:tc>
      </w:tr>
      <w:tr w14:paraId="75FA04AB">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3F705509">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制发规范性文件总数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8A7D10">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C5F28ED">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3</w:t>
            </w:r>
          </w:p>
        </w:tc>
      </w:tr>
      <w:tr w14:paraId="6472A2A6">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8C29F5E">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（二）重点领域公开政府信息数（不同渠道和方式公开相同信息计</w:t>
            </w:r>
            <w:r>
              <w:rPr>
                <w:rFonts w:ascii="Arial" w:hAnsi="Arial" w:eastAsia="宋体" w:cs="Arial"/>
                <w:color w:val="505050"/>
                <w:kern w:val="0"/>
                <w:sz w:val="20"/>
                <w:szCs w:val="20"/>
              </w:rPr>
              <w:t>1</w:t>
            </w:r>
            <w:r>
              <w:rPr>
                <w:rFonts w:hint="eastAsia" w:ascii="宋体" w:hAnsi="宋体" w:eastAsia="宋体" w:cs="宋体"/>
                <w:color w:val="505050"/>
                <w:kern w:val="0"/>
                <w:sz w:val="20"/>
                <w:szCs w:val="20"/>
              </w:rPr>
              <w:t>条）</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45E0EC">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D753964">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89</w:t>
            </w:r>
          </w:p>
        </w:tc>
      </w:tr>
      <w:tr w14:paraId="294CE31A">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08EEC4A">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其中：主动公开财政预算决算、</w:t>
            </w:r>
            <w:r>
              <w:rPr>
                <w:rFonts w:ascii="Arial" w:hAnsi="Arial" w:eastAsia="宋体" w:cs="Arial"/>
                <w:color w:val="505050"/>
                <w:kern w:val="0"/>
                <w:sz w:val="20"/>
                <w:szCs w:val="20"/>
              </w:rPr>
              <w:t>“</w:t>
            </w:r>
            <w:r>
              <w:rPr>
                <w:rFonts w:hint="eastAsia" w:ascii="宋体" w:hAnsi="宋体" w:eastAsia="宋体" w:cs="宋体"/>
                <w:color w:val="505050"/>
                <w:kern w:val="0"/>
                <w:sz w:val="20"/>
                <w:szCs w:val="20"/>
              </w:rPr>
              <w:t>三公</w:t>
            </w:r>
            <w:r>
              <w:rPr>
                <w:rFonts w:ascii="Arial" w:hAnsi="Arial" w:eastAsia="宋体" w:cs="Arial"/>
                <w:color w:val="505050"/>
                <w:kern w:val="0"/>
                <w:sz w:val="20"/>
                <w:szCs w:val="20"/>
              </w:rPr>
              <w:t>”</w:t>
            </w:r>
            <w:r>
              <w:rPr>
                <w:rFonts w:hint="eastAsia" w:ascii="宋体" w:hAnsi="宋体" w:eastAsia="宋体" w:cs="宋体"/>
                <w:color w:val="505050"/>
                <w:kern w:val="0"/>
                <w:sz w:val="20"/>
                <w:szCs w:val="20"/>
              </w:rPr>
              <w:t>经费和行政经费信息数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E9672F">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E258B8C">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1</w:t>
            </w:r>
          </w:p>
        </w:tc>
      </w:tr>
      <w:tr w14:paraId="4BE99504">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99F1196">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主动公开保障性安居工程建设计划、项目开工和竣工情况，保障性住房的分配和退出等信息数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80A5D8">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852F04B">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24</w:t>
            </w:r>
          </w:p>
        </w:tc>
      </w:tr>
      <w:tr w14:paraId="1C4BF795">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C5311A7">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主动公开食品安全标准，食品生产经营许可、专项检查整治等信息数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AAA8DD">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511ECF9">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06DA6156">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D4B1A4E">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主动公开环境核查审批、环境状况公报和重特大突发环境事件等信息数</w:t>
            </w:r>
            <w:bookmarkStart w:id="1" w:name="_GoBack"/>
            <w:bookmarkEnd w:id="1"/>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9476F3">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ABA1251">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15</w:t>
            </w:r>
          </w:p>
        </w:tc>
      </w:tr>
      <w:tr w14:paraId="76F33762">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B1C2D58">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主动公开招投标违法违规行为及处理情况、国有资金占控股或者主导地位依法应当招标的项目等信息数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8D0DEE">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5FA8883">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6219DE5E">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61A1E67">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主动公开生产安全事故的政府举措、处置进展、风险预警、防范措施等信息数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1F973E">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049A98BD">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4</w:t>
            </w:r>
          </w:p>
        </w:tc>
      </w:tr>
      <w:tr w14:paraId="69F22F51">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CB83C5A">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主动公开农用地转为建设用地批准、征收集体土地批准、征地公告征地补偿安置公示、集体土地征收结案等信息数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5E2F25">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245A727C">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22</w:t>
            </w:r>
          </w:p>
        </w:tc>
      </w:tr>
      <w:tr w14:paraId="7A35695C">
        <w:tblPrEx>
          <w:tblCellMar>
            <w:top w:w="0" w:type="dxa"/>
            <w:left w:w="0" w:type="dxa"/>
            <w:bottom w:w="0" w:type="dxa"/>
            <w:right w:w="0" w:type="dxa"/>
          </w:tblCellMar>
        </w:tblPrEx>
        <w:trPr>
          <w:trHeight w:val="360"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2A5BA76">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主动公开政府指导价、政府定价和收费标准调整的项目、价格、依据、执行时间和范围等信息数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B2B31D">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41584446">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4</w:t>
            </w:r>
          </w:p>
        </w:tc>
      </w:tr>
      <w:tr w14:paraId="1B291361">
        <w:tblPrEx>
          <w:tblCellMar>
            <w:top w:w="0" w:type="dxa"/>
            <w:left w:w="0" w:type="dxa"/>
            <w:bottom w:w="0" w:type="dxa"/>
            <w:right w:w="0" w:type="dxa"/>
          </w:tblCellMar>
        </w:tblPrEx>
        <w:trPr>
          <w:trHeight w:val="360"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35FD379F">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主动公开本市企业信用信息系统中的警示信息和良好信息等信息数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9C76F3">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3E2CADA">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6</w:t>
            </w:r>
          </w:p>
        </w:tc>
      </w:tr>
      <w:tr w14:paraId="7CC3D99E">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2202807">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主动公开政府部门预算执行审计结果等信息数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8AB258">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FAA2409">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623228D7">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3AD0EEC0">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主动公开行政机关对与人民群众利益密切相关的公共企事业单位进行监督管理的信息数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AE67B0">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C8CD286">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0AC875C8">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5AF890C6">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主动公开市人民政府决定主动公开的其他信息数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CA9F84">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6DE8C27">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5</w:t>
            </w:r>
          </w:p>
        </w:tc>
      </w:tr>
      <w:tr w14:paraId="6967DE49">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6B783E4">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（三）通过不同渠道和方式公开政府信息的情况</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FC73C3">
            <w:pPr>
              <w:widowControl/>
              <w:spacing w:line="360" w:lineRule="atLeast"/>
              <w:rPr>
                <w:rFonts w:ascii="Calibri" w:hAnsi="Calibri" w:eastAsia="宋体" w:cs="宋体"/>
                <w:color w:val="505050"/>
                <w:kern w:val="0"/>
                <w:szCs w:val="21"/>
              </w:rPr>
            </w:pP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57496BC">
            <w:pPr>
              <w:widowControl/>
              <w:spacing w:line="360" w:lineRule="atLeast"/>
              <w:ind w:firstLine="480"/>
              <w:jc w:val="right"/>
              <w:rPr>
                <w:rFonts w:ascii="Calibri" w:hAnsi="Calibri" w:eastAsia="宋体" w:cs="宋体"/>
                <w:color w:val="505050"/>
                <w:kern w:val="0"/>
                <w:szCs w:val="21"/>
              </w:rPr>
            </w:pPr>
          </w:p>
        </w:tc>
      </w:tr>
      <w:tr w14:paraId="1496CFFA">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5C8051D1">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1.</w:t>
            </w:r>
            <w:r>
              <w:rPr>
                <w:rFonts w:hint="eastAsia" w:ascii="宋体" w:hAnsi="宋体" w:eastAsia="宋体" w:cs="宋体"/>
                <w:color w:val="505050"/>
                <w:kern w:val="0"/>
                <w:sz w:val="20"/>
                <w:szCs w:val="20"/>
              </w:rPr>
              <w:t>政府公报公开政府信息数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6941DF0">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41B8CBC6">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52C0594C">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35F1C963">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2.</w:t>
            </w:r>
            <w:r>
              <w:rPr>
                <w:rFonts w:hint="eastAsia" w:ascii="宋体" w:hAnsi="宋体" w:eastAsia="宋体" w:cs="宋体"/>
                <w:color w:val="505050"/>
                <w:kern w:val="0"/>
                <w:sz w:val="20"/>
                <w:szCs w:val="20"/>
              </w:rPr>
              <w:t>政府网站公开政府信息数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12A5B0">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09C57208">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324</w:t>
            </w:r>
          </w:p>
        </w:tc>
      </w:tr>
      <w:tr w14:paraId="37CC209A">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4DD8953">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3.</w:t>
            </w:r>
            <w:r>
              <w:rPr>
                <w:rFonts w:hint="eastAsia" w:ascii="宋体" w:hAnsi="宋体" w:eastAsia="宋体" w:cs="宋体"/>
                <w:color w:val="505050"/>
                <w:kern w:val="0"/>
                <w:sz w:val="20"/>
                <w:szCs w:val="20"/>
              </w:rPr>
              <w:t>政务微博公开政府信息数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B601F8">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E110E45">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6EDEC3D8">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4844805">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4.</w:t>
            </w:r>
            <w:r>
              <w:rPr>
                <w:rFonts w:hint="eastAsia" w:ascii="宋体" w:hAnsi="宋体" w:eastAsia="宋体" w:cs="宋体"/>
                <w:color w:val="505050"/>
                <w:kern w:val="0"/>
                <w:sz w:val="20"/>
                <w:szCs w:val="20"/>
              </w:rPr>
              <w:t>政务微信公开政府信息数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B1E3AA">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AC11D0E">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20</w:t>
            </w:r>
          </w:p>
        </w:tc>
      </w:tr>
      <w:tr w14:paraId="458C40D5">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259FA44">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5.</w:t>
            </w:r>
            <w:r>
              <w:rPr>
                <w:rFonts w:hint="eastAsia" w:ascii="宋体" w:hAnsi="宋体" w:eastAsia="宋体" w:cs="宋体"/>
                <w:color w:val="505050"/>
                <w:kern w:val="0"/>
                <w:sz w:val="20"/>
                <w:szCs w:val="20"/>
              </w:rPr>
              <w:t>其他方式公开政府信息数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3B8CC8">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F4D4C0B">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53DAEC90">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308AACC">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二、回应解读情况</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D0416B">
            <w:pPr>
              <w:widowControl/>
              <w:spacing w:line="360" w:lineRule="atLeast"/>
              <w:rPr>
                <w:rFonts w:ascii="Calibri" w:hAnsi="Calibri" w:eastAsia="宋体" w:cs="宋体"/>
                <w:color w:val="505050"/>
                <w:kern w:val="0"/>
                <w:szCs w:val="21"/>
              </w:rPr>
            </w:pP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876328C">
            <w:pPr>
              <w:widowControl/>
              <w:spacing w:line="360" w:lineRule="atLeast"/>
              <w:ind w:firstLine="480"/>
              <w:jc w:val="right"/>
              <w:rPr>
                <w:rFonts w:ascii="Calibri" w:hAnsi="Calibri" w:eastAsia="宋体" w:cs="宋体"/>
                <w:color w:val="505050"/>
                <w:kern w:val="0"/>
                <w:szCs w:val="21"/>
              </w:rPr>
            </w:pPr>
          </w:p>
        </w:tc>
      </w:tr>
      <w:tr w14:paraId="77974599">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05A49F3">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（一）回应公众关注热点或重大舆情数（不同方式回应同一热点或舆情计</w:t>
            </w:r>
            <w:r>
              <w:rPr>
                <w:rFonts w:ascii="Arial" w:hAnsi="Arial" w:eastAsia="宋体" w:cs="Arial"/>
                <w:color w:val="505050"/>
                <w:kern w:val="0"/>
                <w:sz w:val="20"/>
                <w:szCs w:val="20"/>
              </w:rPr>
              <w:t>1</w:t>
            </w:r>
            <w:r>
              <w:rPr>
                <w:rFonts w:hint="eastAsia" w:ascii="宋体" w:hAnsi="宋体" w:eastAsia="宋体" w:cs="宋体"/>
                <w:color w:val="505050"/>
                <w:kern w:val="0"/>
                <w:sz w:val="20"/>
                <w:szCs w:val="20"/>
              </w:rPr>
              <w:t>次）</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ADB8B2">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C6EAEC1">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10</w:t>
            </w:r>
          </w:p>
        </w:tc>
      </w:tr>
      <w:tr w14:paraId="7054F7E0">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76793FFE">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（二）通过不同渠道和方式回应解读的情况</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603947">
            <w:pPr>
              <w:widowControl/>
              <w:spacing w:line="360" w:lineRule="atLeast"/>
              <w:rPr>
                <w:rFonts w:ascii="Calibri" w:hAnsi="Calibri" w:eastAsia="宋体" w:cs="宋体"/>
                <w:color w:val="505050"/>
                <w:kern w:val="0"/>
                <w:szCs w:val="21"/>
              </w:rPr>
            </w:pP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B4C1D99">
            <w:pPr>
              <w:widowControl/>
              <w:spacing w:line="360" w:lineRule="atLeast"/>
              <w:ind w:firstLine="480"/>
              <w:jc w:val="right"/>
              <w:rPr>
                <w:rFonts w:ascii="Calibri" w:hAnsi="Calibri" w:eastAsia="宋体" w:cs="宋体"/>
                <w:color w:val="505050"/>
                <w:kern w:val="0"/>
                <w:szCs w:val="21"/>
              </w:rPr>
            </w:pPr>
          </w:p>
        </w:tc>
      </w:tr>
      <w:tr w14:paraId="25575189">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308B870">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1.</w:t>
            </w:r>
            <w:r>
              <w:rPr>
                <w:rFonts w:hint="eastAsia" w:ascii="宋体" w:hAnsi="宋体" w:eastAsia="宋体" w:cs="宋体"/>
                <w:color w:val="505050"/>
                <w:kern w:val="0"/>
                <w:sz w:val="20"/>
                <w:szCs w:val="20"/>
              </w:rPr>
              <w:t>参加或举办新闻发布会总次数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F9031E">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C110574">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49B1DFAB">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50E7786">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其中：主要负责同志参加新闻发布会次数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8CD61F">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95ABAAC">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29D1E8B3">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7A42F58">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2.</w:t>
            </w:r>
            <w:r>
              <w:rPr>
                <w:rFonts w:hint="eastAsia" w:ascii="宋体" w:hAnsi="宋体" w:eastAsia="宋体" w:cs="宋体"/>
                <w:color w:val="505050"/>
                <w:kern w:val="0"/>
                <w:sz w:val="20"/>
                <w:szCs w:val="20"/>
              </w:rPr>
              <w:t>政府网站在线访谈次数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9ED73A">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617792A">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38811264">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DBD580E">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其中：主要负责同志参加政府网站在线访谈次数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D7A6F8">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42896F26">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0048398C">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4B0DCA3">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3.</w:t>
            </w:r>
            <w:r>
              <w:rPr>
                <w:rFonts w:hint="eastAsia" w:ascii="宋体" w:hAnsi="宋体" w:eastAsia="宋体" w:cs="宋体"/>
                <w:color w:val="505050"/>
                <w:kern w:val="0"/>
                <w:sz w:val="20"/>
                <w:szCs w:val="20"/>
              </w:rPr>
              <w:t>政策解读稿件发布数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AA844C">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篇</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07081FE7">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772AFB4C">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5519795B">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4.</w:t>
            </w:r>
            <w:r>
              <w:rPr>
                <w:rFonts w:hint="eastAsia" w:ascii="宋体" w:hAnsi="宋体" w:eastAsia="宋体" w:cs="宋体"/>
                <w:color w:val="505050"/>
                <w:kern w:val="0"/>
                <w:sz w:val="20"/>
                <w:szCs w:val="20"/>
              </w:rPr>
              <w:t>微博微信回应事件数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9C75D3">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A5657C7">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45098720">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166EE5DB">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5.</w:t>
            </w:r>
            <w:r>
              <w:rPr>
                <w:rFonts w:hint="eastAsia" w:ascii="宋体" w:hAnsi="宋体" w:eastAsia="宋体" w:cs="宋体"/>
                <w:color w:val="505050"/>
                <w:kern w:val="0"/>
                <w:sz w:val="20"/>
                <w:szCs w:val="20"/>
              </w:rPr>
              <w:t>其他方式回应事件数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5D5BD6">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5C02A4E">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3150D3D8">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A09147F">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三、依申请公开情况</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2592CE">
            <w:pPr>
              <w:widowControl/>
              <w:spacing w:line="360" w:lineRule="atLeast"/>
              <w:rPr>
                <w:rFonts w:ascii="Calibri" w:hAnsi="Calibri" w:eastAsia="宋体" w:cs="宋体"/>
                <w:color w:val="505050"/>
                <w:kern w:val="0"/>
                <w:szCs w:val="21"/>
              </w:rPr>
            </w:pP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6E07B7A8">
            <w:pPr>
              <w:widowControl/>
              <w:spacing w:line="360" w:lineRule="atLeast"/>
              <w:ind w:firstLine="480"/>
              <w:jc w:val="right"/>
              <w:rPr>
                <w:rFonts w:ascii="Calibri" w:hAnsi="Calibri" w:eastAsia="宋体" w:cs="宋体"/>
                <w:color w:val="505050"/>
                <w:kern w:val="0"/>
                <w:szCs w:val="21"/>
              </w:rPr>
            </w:pPr>
          </w:p>
        </w:tc>
      </w:tr>
      <w:tr w14:paraId="4006A7B7">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768B827">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（一）收到申请数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810A50">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6DDA470F">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214</w:t>
            </w:r>
          </w:p>
        </w:tc>
      </w:tr>
      <w:tr w14:paraId="56C6AE3B">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13F4472">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1.</w:t>
            </w:r>
            <w:r>
              <w:rPr>
                <w:rFonts w:hint="eastAsia" w:ascii="宋体" w:hAnsi="宋体" w:eastAsia="宋体" w:cs="宋体"/>
                <w:color w:val="505050"/>
                <w:kern w:val="0"/>
                <w:sz w:val="20"/>
                <w:szCs w:val="20"/>
              </w:rPr>
              <w:t>当面申请数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713B9B">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6986446">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116</w:t>
            </w:r>
          </w:p>
        </w:tc>
      </w:tr>
      <w:tr w14:paraId="439B17D8">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27B1AF2">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2.</w:t>
            </w:r>
            <w:r>
              <w:rPr>
                <w:rFonts w:hint="eastAsia" w:ascii="宋体" w:hAnsi="宋体" w:eastAsia="宋体" w:cs="宋体"/>
                <w:color w:val="505050"/>
                <w:kern w:val="0"/>
                <w:sz w:val="20"/>
                <w:szCs w:val="20"/>
              </w:rPr>
              <w:t>传真申请数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EC14C0">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0BD5A9B">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6E27D1D9">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DC698F5">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3.</w:t>
            </w:r>
            <w:r>
              <w:rPr>
                <w:rFonts w:hint="eastAsia" w:ascii="宋体" w:hAnsi="宋体" w:eastAsia="宋体" w:cs="宋体"/>
                <w:color w:val="505050"/>
                <w:kern w:val="0"/>
                <w:sz w:val="20"/>
                <w:szCs w:val="20"/>
              </w:rPr>
              <w:t>网络申请数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248617">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7AEC889">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6CB5500A">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F493FB5">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4.</w:t>
            </w:r>
            <w:r>
              <w:rPr>
                <w:rFonts w:hint="eastAsia" w:ascii="宋体" w:hAnsi="宋体" w:eastAsia="宋体" w:cs="宋体"/>
                <w:color w:val="505050"/>
                <w:kern w:val="0"/>
                <w:sz w:val="20"/>
                <w:szCs w:val="20"/>
              </w:rPr>
              <w:t>信函申请数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57D90A">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28CA1AF1">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98</w:t>
            </w:r>
          </w:p>
        </w:tc>
      </w:tr>
      <w:tr w14:paraId="65FBA615">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AD729FA">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（二）申请办结数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3ED1E7">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76AF300">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214</w:t>
            </w:r>
          </w:p>
        </w:tc>
      </w:tr>
      <w:tr w14:paraId="60960779">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130C4052">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1.</w:t>
            </w:r>
            <w:r>
              <w:rPr>
                <w:rFonts w:hint="eastAsia" w:ascii="宋体" w:hAnsi="宋体" w:eastAsia="宋体" w:cs="宋体"/>
                <w:color w:val="505050"/>
                <w:kern w:val="0"/>
                <w:sz w:val="20"/>
                <w:szCs w:val="20"/>
              </w:rPr>
              <w:t>按时办结数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E4CD19">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472BD9FC">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214</w:t>
            </w:r>
          </w:p>
        </w:tc>
      </w:tr>
      <w:tr w14:paraId="3E893B73">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0194B4E">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2.</w:t>
            </w:r>
            <w:r>
              <w:rPr>
                <w:rFonts w:hint="eastAsia" w:ascii="宋体" w:hAnsi="宋体" w:eastAsia="宋体" w:cs="宋体"/>
                <w:color w:val="505050"/>
                <w:kern w:val="0"/>
                <w:sz w:val="20"/>
                <w:szCs w:val="20"/>
              </w:rPr>
              <w:t>延期办结数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9A24D3">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F62B215">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33D04519">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71404F07">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（三）申请答复数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CF3832">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4435A949">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214</w:t>
            </w:r>
          </w:p>
        </w:tc>
      </w:tr>
      <w:tr w14:paraId="1E31867D">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11B813D8">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1.</w:t>
            </w:r>
            <w:r>
              <w:rPr>
                <w:rFonts w:hint="eastAsia" w:ascii="宋体" w:hAnsi="宋体" w:eastAsia="宋体" w:cs="宋体"/>
                <w:color w:val="505050"/>
                <w:kern w:val="0"/>
                <w:sz w:val="20"/>
                <w:szCs w:val="20"/>
              </w:rPr>
              <w:t>属于已主动公开范围数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F57372">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4CFDE978">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20</w:t>
            </w:r>
          </w:p>
        </w:tc>
      </w:tr>
      <w:tr w14:paraId="58E7C6D2">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18ED657">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2.</w:t>
            </w:r>
            <w:r>
              <w:rPr>
                <w:rFonts w:hint="eastAsia" w:ascii="宋体" w:hAnsi="宋体" w:eastAsia="宋体" w:cs="宋体"/>
                <w:color w:val="505050"/>
                <w:kern w:val="0"/>
                <w:sz w:val="20"/>
                <w:szCs w:val="20"/>
              </w:rPr>
              <w:t>同意公开答复数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2DE17C">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D04F083">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104</w:t>
            </w:r>
          </w:p>
        </w:tc>
      </w:tr>
      <w:tr w14:paraId="16CE08B5">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C62EB67">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3.</w:t>
            </w:r>
            <w:r>
              <w:rPr>
                <w:rFonts w:hint="eastAsia" w:ascii="宋体" w:hAnsi="宋体" w:eastAsia="宋体" w:cs="宋体"/>
                <w:color w:val="505050"/>
                <w:kern w:val="0"/>
                <w:sz w:val="20"/>
                <w:szCs w:val="20"/>
              </w:rPr>
              <w:t>同意部分公开答复数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65BA4A">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0AE3879B">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1</w:t>
            </w:r>
          </w:p>
        </w:tc>
      </w:tr>
      <w:tr w14:paraId="382AF780">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573184C9">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4.</w:t>
            </w:r>
            <w:r>
              <w:rPr>
                <w:rFonts w:hint="eastAsia" w:ascii="宋体" w:hAnsi="宋体" w:eastAsia="宋体" w:cs="宋体"/>
                <w:color w:val="505050"/>
                <w:kern w:val="0"/>
                <w:sz w:val="20"/>
                <w:szCs w:val="20"/>
              </w:rPr>
              <w:t>不同意公开答复数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05F9D7">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6FFA07E3">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2</w:t>
            </w:r>
          </w:p>
        </w:tc>
      </w:tr>
      <w:tr w14:paraId="788D6B96">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02F3A80">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其中：涉及国家秘密</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23EF68">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1E99311">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7F717ADC">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CD64F06">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涉及商业秘密</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36896E">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3509E3A">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695EE66C">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BFE3544">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涉及个人隐私</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D6B8AF">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D204B87">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00C7B12E">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54E13D9">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危及国家安全、公共安全、经济安全和社会稳定</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355233">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5784BA7">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063B5A5B">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3810752">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不是《条例》所指政府信息</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FC1D53">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A6298B3">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2</w:t>
            </w:r>
          </w:p>
        </w:tc>
      </w:tr>
      <w:tr w14:paraId="3E90F0DC">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77DB062">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法律法规规定的其他情形</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35C29C">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B1E92B3">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3F11EE1C">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340148E8">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5.</w:t>
            </w:r>
            <w:r>
              <w:rPr>
                <w:rFonts w:hint="eastAsia" w:ascii="宋体" w:hAnsi="宋体" w:eastAsia="宋体" w:cs="宋体"/>
                <w:color w:val="505050"/>
                <w:kern w:val="0"/>
                <w:sz w:val="20"/>
                <w:szCs w:val="20"/>
              </w:rPr>
              <w:t>不属于本行政机关公开数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3C9F60">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B603420">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56</w:t>
            </w:r>
          </w:p>
        </w:tc>
      </w:tr>
      <w:tr w14:paraId="503C4752">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5BF0CCD">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6.</w:t>
            </w:r>
            <w:r>
              <w:rPr>
                <w:rFonts w:hint="eastAsia" w:ascii="宋体" w:hAnsi="宋体" w:eastAsia="宋体" w:cs="宋体"/>
                <w:color w:val="505050"/>
                <w:kern w:val="0"/>
                <w:sz w:val="20"/>
                <w:szCs w:val="20"/>
              </w:rPr>
              <w:t>申请信息不存在数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7CAC82">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49ADB517">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32</w:t>
            </w:r>
          </w:p>
        </w:tc>
      </w:tr>
      <w:tr w14:paraId="369B217B">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73E34E82">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7.</w:t>
            </w:r>
            <w:r>
              <w:rPr>
                <w:rFonts w:hint="eastAsia" w:ascii="宋体" w:hAnsi="宋体" w:eastAsia="宋体" w:cs="宋体"/>
                <w:color w:val="505050"/>
                <w:kern w:val="0"/>
                <w:sz w:val="20"/>
                <w:szCs w:val="20"/>
              </w:rPr>
              <w:t>告知作出更改补充数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40152D">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81EDADF">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4FBD6190">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1A4A6CA">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8.</w:t>
            </w:r>
            <w:r>
              <w:rPr>
                <w:rFonts w:hint="eastAsia" w:ascii="宋体" w:hAnsi="宋体" w:eastAsia="宋体" w:cs="宋体"/>
                <w:color w:val="505050"/>
                <w:kern w:val="0"/>
                <w:sz w:val="20"/>
                <w:szCs w:val="20"/>
              </w:rPr>
              <w:t>告知通过其他途径办理数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29448F">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1B2F38B">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45073DD2">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710583BC">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四、行政复议数量</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76BB635">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07FD6880">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10</w:t>
            </w:r>
          </w:p>
        </w:tc>
      </w:tr>
      <w:tr w14:paraId="3D763101">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1D4599C">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（一）维持具体行政行为数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98C3A6">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3E294BB">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8</w:t>
            </w:r>
          </w:p>
        </w:tc>
      </w:tr>
      <w:tr w14:paraId="073BA775">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4C2507C">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（二）被依法纠错数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67226B">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1BFCA6C">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1</w:t>
            </w:r>
          </w:p>
        </w:tc>
      </w:tr>
      <w:tr w14:paraId="5D6CF118">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619E5BE">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（三）其他情形数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2BB26B">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0E3E7D36">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1</w:t>
            </w:r>
          </w:p>
        </w:tc>
      </w:tr>
      <w:tr w14:paraId="6B07392E">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329D392D">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五、行政诉讼数量</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C5260B">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6F777BEF">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17</w:t>
            </w:r>
          </w:p>
        </w:tc>
      </w:tr>
      <w:tr w14:paraId="1C2F0E98">
        <w:tblPrEx>
          <w:tblCellMar>
            <w:top w:w="0" w:type="dxa"/>
            <w:left w:w="0" w:type="dxa"/>
            <w:bottom w:w="0" w:type="dxa"/>
            <w:right w:w="0" w:type="dxa"/>
          </w:tblCellMar>
        </w:tblPrEx>
        <w:trPr>
          <w:trHeight w:val="40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803F8F1">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（一）维持具体行政行为或者驳回原告诉讼请求数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8B959A">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A999F5C">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11</w:t>
            </w:r>
          </w:p>
        </w:tc>
      </w:tr>
      <w:tr w14:paraId="3B58AE06">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730ABFD2">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（二）被依法纠错数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9DC12C">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1BAFABC">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3</w:t>
            </w:r>
          </w:p>
        </w:tc>
      </w:tr>
      <w:tr w14:paraId="1A033EA3">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9A08E75">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（三）其他情形数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358E4D">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A11FBD8">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2</w:t>
            </w:r>
          </w:p>
        </w:tc>
      </w:tr>
      <w:tr w14:paraId="46B985C4">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2CCEA414">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六、举报投诉数量</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0F2D9A">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件</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2C14B29">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707D84A1">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700C654D">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七、依申请公开信息收取的费用</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4167C3">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元</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4E051D01">
            <w:pPr>
              <w:widowControl/>
              <w:spacing w:line="360" w:lineRule="atLeast"/>
              <w:ind w:firstLine="480"/>
              <w:jc w:val="right"/>
              <w:rPr>
                <w:rFonts w:ascii="Calibri" w:hAnsi="Calibri" w:eastAsia="宋体" w:cs="宋体"/>
                <w:color w:val="505050"/>
                <w:kern w:val="0"/>
                <w:szCs w:val="21"/>
              </w:rPr>
            </w:pPr>
          </w:p>
        </w:tc>
      </w:tr>
      <w:tr w14:paraId="6E370C62">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608A5E6">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八、机构建设和保障经费情况</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A8E728">
            <w:pPr>
              <w:widowControl/>
              <w:spacing w:line="360" w:lineRule="atLeast"/>
              <w:rPr>
                <w:rFonts w:ascii="Calibri" w:hAnsi="Calibri" w:eastAsia="宋体" w:cs="宋体"/>
                <w:color w:val="505050"/>
                <w:kern w:val="0"/>
                <w:szCs w:val="21"/>
              </w:rPr>
            </w:pP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1EB8A518">
            <w:pPr>
              <w:widowControl/>
              <w:spacing w:line="360" w:lineRule="atLeast"/>
              <w:ind w:firstLine="480"/>
              <w:jc w:val="right"/>
              <w:rPr>
                <w:rFonts w:ascii="Calibri" w:hAnsi="Calibri" w:eastAsia="宋体" w:cs="宋体"/>
                <w:color w:val="505050"/>
                <w:kern w:val="0"/>
                <w:szCs w:val="21"/>
              </w:rPr>
            </w:pPr>
          </w:p>
        </w:tc>
      </w:tr>
      <w:tr w14:paraId="5F707D90">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B660955">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（一）政府信息公开工作专门机构数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3C6BDB">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个</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23E9DBE4">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1</w:t>
            </w:r>
          </w:p>
        </w:tc>
      </w:tr>
      <w:tr w14:paraId="02CD068E">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9DFE6FE">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（二）设置政府信息公开查阅点数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76CE8C">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个</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0C9CC983">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2</w:t>
            </w:r>
          </w:p>
        </w:tc>
      </w:tr>
      <w:tr w14:paraId="2E592A63">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5837C937">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（三）从事政府信息公开工作人员数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10CC04">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人</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C3F0D43">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4</w:t>
            </w:r>
          </w:p>
        </w:tc>
      </w:tr>
      <w:tr w14:paraId="7D17859B">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16521E1">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1.</w:t>
            </w:r>
            <w:r>
              <w:rPr>
                <w:rFonts w:hint="eastAsia" w:ascii="宋体" w:hAnsi="宋体" w:eastAsia="宋体" w:cs="宋体"/>
                <w:color w:val="505050"/>
                <w:kern w:val="0"/>
                <w:sz w:val="20"/>
                <w:szCs w:val="20"/>
              </w:rPr>
              <w:t>专职人员数（不包括政府公报及政府网站工作人员数）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418FE4">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人</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206B45E">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1</w:t>
            </w:r>
          </w:p>
        </w:tc>
      </w:tr>
      <w:tr w14:paraId="772A0704">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7784C779">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2.</w:t>
            </w:r>
            <w:r>
              <w:rPr>
                <w:rFonts w:hint="eastAsia" w:ascii="宋体" w:hAnsi="宋体" w:eastAsia="宋体" w:cs="宋体"/>
                <w:color w:val="505050"/>
                <w:kern w:val="0"/>
                <w:sz w:val="20"/>
                <w:szCs w:val="20"/>
              </w:rPr>
              <w:t>兼职人员数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515F2C">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人</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2905749">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3</w:t>
            </w:r>
          </w:p>
        </w:tc>
      </w:tr>
      <w:tr w14:paraId="23DDE4D6">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569BC76A">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（四）政府信息公开专项经费（不包括用于政府公报编辑管理及政府网站建设维护等方面的经费）</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710A36">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元</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E4BB03C">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0</w:t>
            </w:r>
          </w:p>
        </w:tc>
      </w:tr>
      <w:tr w14:paraId="306896A9">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61015618">
            <w:pPr>
              <w:widowControl/>
              <w:spacing w:line="360" w:lineRule="atLeast"/>
              <w:ind w:firstLine="480"/>
              <w:jc w:val="left"/>
              <w:rPr>
                <w:rFonts w:ascii="Calibri" w:hAnsi="Calibri" w:eastAsia="宋体" w:cs="宋体"/>
                <w:color w:val="505050"/>
                <w:kern w:val="0"/>
                <w:szCs w:val="21"/>
              </w:rPr>
            </w:pPr>
            <w:r>
              <w:rPr>
                <w:rFonts w:hint="eastAsia" w:ascii="宋体" w:hAnsi="宋体" w:eastAsia="宋体" w:cs="宋体"/>
                <w:color w:val="505050"/>
                <w:kern w:val="0"/>
                <w:sz w:val="20"/>
                <w:szCs w:val="20"/>
              </w:rPr>
              <w:t>九、政府信息公开会议和培训情况</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913E1E8">
            <w:pPr>
              <w:widowControl/>
              <w:spacing w:line="360" w:lineRule="atLeast"/>
              <w:rPr>
                <w:rFonts w:ascii="Calibri" w:hAnsi="Calibri" w:eastAsia="宋体" w:cs="宋体"/>
                <w:color w:val="505050"/>
                <w:kern w:val="0"/>
                <w:szCs w:val="21"/>
              </w:rPr>
            </w:pP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C29C8AF">
            <w:pPr>
              <w:widowControl/>
              <w:spacing w:line="360" w:lineRule="atLeast"/>
              <w:ind w:firstLine="480"/>
              <w:jc w:val="right"/>
              <w:rPr>
                <w:rFonts w:ascii="Calibri" w:hAnsi="Calibri" w:eastAsia="宋体" w:cs="宋体"/>
                <w:color w:val="505050"/>
                <w:kern w:val="0"/>
                <w:szCs w:val="21"/>
              </w:rPr>
            </w:pPr>
          </w:p>
        </w:tc>
      </w:tr>
      <w:tr w14:paraId="671FE977">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06F657A5">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（一）召开政府信息公开工作会议或专题会议数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E4E16A">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3EE73891">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4</w:t>
            </w:r>
          </w:p>
        </w:tc>
      </w:tr>
      <w:tr w14:paraId="27ED1418">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0BA8E2F">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（二）举办各类培训班数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F908F6">
            <w:pPr>
              <w:widowControl/>
              <w:spacing w:line="360" w:lineRule="atLeast"/>
              <w:rPr>
                <w:rFonts w:ascii="Calibri" w:hAnsi="Calibri" w:eastAsia="宋体" w:cs="宋体"/>
                <w:color w:val="505050"/>
                <w:kern w:val="0"/>
                <w:szCs w:val="21"/>
              </w:rPr>
            </w:pPr>
            <w:r>
              <w:rPr>
                <w:rFonts w:hint="eastAsia" w:ascii="宋体" w:hAnsi="宋体" w:eastAsia="宋体" w:cs="宋体"/>
                <w:color w:val="505050"/>
                <w:kern w:val="0"/>
                <w:sz w:val="20"/>
                <w:szCs w:val="20"/>
              </w:rPr>
              <w:t>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7EAF1BCF">
            <w:pPr>
              <w:widowControl/>
              <w:spacing w:line="360" w:lineRule="atLeast"/>
              <w:ind w:firstLine="480"/>
              <w:jc w:val="right"/>
              <w:rPr>
                <w:rFonts w:ascii="Calibri" w:hAnsi="Calibri" w:eastAsia="宋体" w:cs="宋体"/>
                <w:color w:val="505050"/>
                <w:kern w:val="0"/>
                <w:szCs w:val="21"/>
              </w:rPr>
            </w:pPr>
            <w:r>
              <w:rPr>
                <w:rFonts w:ascii="Arial" w:hAnsi="Arial" w:eastAsia="宋体" w:cs="Arial"/>
                <w:color w:val="505050"/>
                <w:kern w:val="0"/>
                <w:sz w:val="20"/>
                <w:szCs w:val="20"/>
              </w:rPr>
              <w:t>1</w:t>
            </w:r>
          </w:p>
        </w:tc>
      </w:tr>
      <w:tr w14:paraId="06534C19">
        <w:tblPrEx>
          <w:tblCellMar>
            <w:top w:w="0" w:type="dxa"/>
            <w:left w:w="0" w:type="dxa"/>
            <w:bottom w:w="0" w:type="dxa"/>
            <w:right w:w="0" w:type="dxa"/>
          </w:tblCellMar>
        </w:tblPrEx>
        <w:trPr>
          <w:trHeight w:val="435" w:hRule="atLeast"/>
        </w:trPr>
        <w:tc>
          <w:tcPr>
            <w:tcW w:w="4426"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14:paraId="47A1F07E">
            <w:pPr>
              <w:widowControl/>
              <w:spacing w:line="360" w:lineRule="atLeast"/>
              <w:ind w:firstLine="480"/>
              <w:jc w:val="left"/>
              <w:rPr>
                <w:rFonts w:ascii="Calibri" w:hAnsi="Calibri" w:eastAsia="宋体" w:cs="宋体"/>
                <w:color w:val="505050"/>
                <w:kern w:val="0"/>
                <w:szCs w:val="21"/>
              </w:rPr>
            </w:pPr>
            <w:r>
              <w:rPr>
                <w:rFonts w:ascii="Arial" w:hAnsi="Arial" w:eastAsia="宋体" w:cs="Arial"/>
                <w:color w:val="505050"/>
                <w:kern w:val="0"/>
                <w:sz w:val="20"/>
                <w:szCs w:val="20"/>
              </w:rPr>
              <w:t xml:space="preserve">  </w:t>
            </w:r>
            <w:r>
              <w:rPr>
                <w:rFonts w:hint="eastAsia" w:ascii="宋体" w:hAnsi="宋体" w:eastAsia="宋体" w:cs="宋体"/>
                <w:color w:val="505050"/>
                <w:kern w:val="0"/>
                <w:sz w:val="20"/>
                <w:szCs w:val="20"/>
              </w:rPr>
              <w:t>（三）接受培训人员数</w:t>
            </w:r>
          </w:p>
        </w:tc>
        <w:tc>
          <w:tcPr>
            <w:tcW w:w="24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8FC287">
            <w:pPr>
              <w:widowControl/>
              <w:jc w:val="center"/>
              <w:rPr>
                <w:rFonts w:ascii="宋体" w:hAnsi="宋体" w:eastAsia="宋体" w:cs="宋体"/>
                <w:kern w:val="0"/>
                <w:sz w:val="18"/>
                <w:szCs w:val="18"/>
              </w:rPr>
            </w:pPr>
            <w:r>
              <w:rPr>
                <w:rFonts w:hint="eastAsia" w:ascii="宋体" w:hAnsi="宋体" w:eastAsia="宋体" w:cs="宋体"/>
                <w:kern w:val="0"/>
                <w:sz w:val="20"/>
                <w:szCs w:val="20"/>
              </w:rPr>
              <w:t>人次</w:t>
            </w:r>
          </w:p>
        </w:tc>
        <w:tc>
          <w:tcPr>
            <w:tcW w:w="327" w:type="pct"/>
            <w:tcBorders>
              <w:top w:val="nil"/>
              <w:left w:val="nil"/>
              <w:bottom w:val="single" w:color="auto" w:sz="8" w:space="0"/>
              <w:right w:val="single" w:color="auto" w:sz="8" w:space="0"/>
            </w:tcBorders>
            <w:noWrap/>
            <w:tcMar>
              <w:top w:w="0" w:type="dxa"/>
              <w:left w:w="108" w:type="dxa"/>
              <w:bottom w:w="0" w:type="dxa"/>
              <w:right w:w="108" w:type="dxa"/>
            </w:tcMar>
            <w:vAlign w:val="bottom"/>
          </w:tcPr>
          <w:p w14:paraId="5949C7BC">
            <w:pPr>
              <w:widowControl/>
              <w:spacing w:line="360" w:lineRule="atLeast"/>
              <w:jc w:val="right"/>
              <w:rPr>
                <w:rFonts w:ascii="Calibri" w:hAnsi="Calibri" w:eastAsia="宋体" w:cs="宋体"/>
                <w:color w:val="505050"/>
                <w:kern w:val="0"/>
                <w:szCs w:val="21"/>
              </w:rPr>
            </w:pPr>
            <w:r>
              <w:rPr>
                <w:rFonts w:ascii="Arial" w:hAnsi="Arial" w:eastAsia="宋体" w:cs="Arial"/>
                <w:color w:val="505050"/>
                <w:kern w:val="0"/>
                <w:sz w:val="20"/>
                <w:szCs w:val="20"/>
              </w:rPr>
              <w:t>20</w:t>
            </w:r>
          </w:p>
        </w:tc>
      </w:tr>
      <w:bookmarkEnd w:id="0"/>
    </w:tbl>
    <w:p w14:paraId="1DE46A6F">
      <w:pPr>
        <w:jc w:val="center"/>
        <w:rPr>
          <w:b/>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寰蒋闆呴粦">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1D50"/>
    <w:rsid w:val="00031D50"/>
    <w:rsid w:val="005F4738"/>
    <w:rsid w:val="00615308"/>
    <w:rsid w:val="006476D5"/>
    <w:rsid w:val="007D0847"/>
    <w:rsid w:val="008746C7"/>
    <w:rsid w:val="008872D1"/>
    <w:rsid w:val="00BC714B"/>
    <w:rsid w:val="771B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2240</Words>
  <Characters>2387</Characters>
  <Lines>476</Lines>
  <Paragraphs>667</Paragraphs>
  <TotalTime>0</TotalTime>
  <ScaleCrop>false</ScaleCrop>
  <LinksUpToDate>false</LinksUpToDate>
  <CharactersWithSpaces>2403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2019-03-21T08:11:00Z</dcterms:created>
  <dc:creator>guanjie LED</dc:creator>
  <cp:lastModifiedBy>薛志斌</cp:lastModifiedBy>
  <dcterms:modified xsi:type="dcterms:W3CDTF">2025-03-11T06:18:54Z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eyJoZGlkIjoiMWQzZWMwNzIwMzUzZjgwZDM2MTIwMGVhYmE0YmUyNmEiLCJ1c2VySWQiOiIxNjY2OTAwMDI3In0=</vt:lpwstr>
  </property>
  <property fmtid="{D5CDD505-2E9C-101B-9397-08002B2CF9AE}" pid="3" name="KSOProductBuildVer">
    <vt:lpwstr>2052-12.1.0.19302</vt:lpwstr>
  </property>
  <property fmtid="{D5CDD505-2E9C-101B-9397-08002B2CF9AE}" pid="4" name="ICV">
    <vt:lpwstr>B7834C90DB0C4C678470AC05EF996966_12</vt:lpwstr>
  </property>
</Properties>
</file>