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通州区商务委员会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b/>
          <w:kern w:val="0"/>
          <w:sz w:val="44"/>
          <w:szCs w:val="44"/>
        </w:rPr>
        <w:t>201</w:t>
      </w:r>
      <w:r>
        <w:rPr>
          <w:rFonts w:hint="eastAsia" w:ascii="方正小标宋简体" w:hAnsi="方正小标宋简体" w:eastAsia="方正小标宋简体" w:cs="方正小标宋简体"/>
          <w:b/>
          <w:kern w:val="0"/>
          <w:sz w:val="44"/>
          <w:szCs w:val="44"/>
          <w:lang w:val="en-US" w:eastAsia="zh-CN"/>
        </w:rPr>
        <w:t>8</w:t>
      </w:r>
      <w:r>
        <w:rPr>
          <w:rFonts w:hint="eastAsia" w:ascii="方正小标宋简体" w:hAnsi="方正小标宋简体" w:eastAsia="方正小标宋简体" w:cs="方正小标宋简体"/>
          <w:b/>
          <w:kern w:val="0"/>
          <w:sz w:val="44"/>
          <w:szCs w:val="44"/>
        </w:rPr>
        <w:t>年政府信息公开</w:t>
      </w:r>
      <w:r>
        <w:rPr>
          <w:rFonts w:hint="eastAsia" w:ascii="方正小标宋简体" w:hAnsi="方正小标宋简体" w:eastAsia="方正小标宋简体" w:cs="方正小标宋简体"/>
          <w:b/>
          <w:kern w:val="0"/>
          <w:sz w:val="44"/>
          <w:szCs w:val="44"/>
          <w:lang w:eastAsia="zh-CN"/>
        </w:rPr>
        <w:t>工作</w:t>
      </w:r>
      <w:r>
        <w:rPr>
          <w:rFonts w:hint="eastAsia" w:ascii="方正小标宋简体" w:hAnsi="方正小标宋简体" w:eastAsia="方正小标宋简体" w:cs="方正小标宋简体"/>
          <w:b/>
          <w:kern w:val="0"/>
          <w:sz w:val="44"/>
          <w:szCs w:val="44"/>
        </w:rPr>
        <w:t>年度报告</w:t>
      </w:r>
    </w:p>
    <w:p>
      <w:pPr>
        <w:widowControl/>
        <w:jc w:val="center"/>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w:t>
      </w:r>
      <w:r>
        <w:rPr>
          <w:rFonts w:hint="eastAsia" w:ascii="楷体_GB2312" w:hAnsi="楷体_GB2312" w:eastAsia="楷体_GB2312" w:cs="楷体_GB2312"/>
          <w:b w:val="0"/>
          <w:bCs/>
          <w:kern w:val="0"/>
          <w:sz w:val="32"/>
          <w:szCs w:val="32"/>
          <w:lang w:val="en-US" w:eastAsia="zh-CN"/>
        </w:rPr>
        <w:t>2019</w:t>
      </w:r>
      <w:r>
        <w:rPr>
          <w:rFonts w:hint="eastAsia" w:ascii="楷体_GB2312" w:hAnsi="楷体_GB2312" w:eastAsia="楷体_GB2312" w:cs="楷体_GB2312"/>
          <w:b w:val="0"/>
          <w:bCs/>
          <w:kern w:val="0"/>
          <w:sz w:val="32"/>
          <w:szCs w:val="32"/>
          <w:lang w:eastAsia="zh-CN"/>
        </w:rPr>
        <w:t>年</w:t>
      </w:r>
      <w:r>
        <w:rPr>
          <w:rFonts w:hint="eastAsia" w:ascii="楷体_GB2312" w:hAnsi="楷体_GB2312" w:eastAsia="楷体_GB2312" w:cs="楷体_GB2312"/>
          <w:b w:val="0"/>
          <w:bCs/>
          <w:kern w:val="0"/>
          <w:sz w:val="32"/>
          <w:szCs w:val="32"/>
          <w:lang w:val="en-US" w:eastAsia="zh-CN"/>
        </w:rPr>
        <w:t>3</w:t>
      </w:r>
      <w:r>
        <w:rPr>
          <w:rFonts w:hint="eastAsia" w:ascii="楷体_GB2312" w:hAnsi="楷体_GB2312" w:eastAsia="楷体_GB2312" w:cs="楷体_GB2312"/>
          <w:b w:val="0"/>
          <w:bCs/>
          <w:kern w:val="0"/>
          <w:sz w:val="32"/>
          <w:szCs w:val="32"/>
          <w:lang w:eastAsia="zh-CN"/>
        </w:rPr>
        <w:t>月</w:t>
      </w:r>
      <w:r>
        <w:rPr>
          <w:rFonts w:hint="eastAsia" w:ascii="楷体_GB2312" w:hAnsi="楷体_GB2312" w:eastAsia="楷体_GB2312" w:cs="楷体_GB2312"/>
          <w:b w:val="0"/>
          <w:bCs/>
          <w:kern w:val="0"/>
          <w:sz w:val="32"/>
          <w:szCs w:val="32"/>
        </w:rPr>
        <w:t>）</w:t>
      </w:r>
    </w:p>
    <w:p>
      <w:pPr>
        <w:widowControl/>
        <w:jc w:val="left"/>
        <w:rPr>
          <w:rFonts w:hint="eastAsia" w:ascii="仿宋_GB2312" w:hAnsi="ˎ̥"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本报告是根据《中华人民共和国政府信息公开条例》要求，由北京市通州区商务委员会编制的201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年度政府信息公开</w:t>
      </w:r>
      <w:r>
        <w:rPr>
          <w:rFonts w:hint="eastAsia" w:ascii="仿宋_GB2312" w:hAnsi="仿宋_GB2312" w:eastAsia="仿宋_GB2312" w:cs="仿宋_GB2312"/>
          <w:kern w:val="0"/>
          <w:sz w:val="32"/>
          <w:szCs w:val="32"/>
          <w:lang w:eastAsia="zh-CN"/>
        </w:rPr>
        <w:t>工作</w:t>
      </w:r>
      <w:r>
        <w:rPr>
          <w:rFonts w:hint="eastAsia" w:ascii="仿宋_GB2312" w:hAnsi="仿宋_GB2312" w:eastAsia="仿宋_GB2312" w:cs="仿宋_GB2312"/>
          <w:kern w:val="0"/>
          <w:sz w:val="32"/>
          <w:szCs w:val="32"/>
        </w:rPr>
        <w:t>年度报告。</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0"/>
          <w:sz w:val="32"/>
          <w:szCs w:val="32"/>
          <w:lang w:eastAsia="zh-CN"/>
        </w:rPr>
        <w:t>全文包括</w:t>
      </w:r>
      <w:r>
        <w:rPr>
          <w:rFonts w:hint="eastAsia" w:ascii="仿宋_GB2312" w:hAnsi="仿宋_GB2312" w:eastAsia="仿宋_GB2312" w:cs="仿宋_GB2312"/>
          <w:color w:val="auto"/>
          <w:kern w:val="2"/>
          <w:sz w:val="32"/>
          <w:szCs w:val="32"/>
          <w:lang w:val="en-US" w:eastAsia="zh-CN" w:bidi="ar-SA"/>
        </w:rPr>
        <w:t>落实《通州区2018年政务公开工作要点》，以及政府信息公开组织机构、制度建设、渠道场所、教育培训等工作情况；行政机关主动公开政府信息的情况；行政机关依申请公开政府信息和不予公开政府信息的情况（需对答复情况进行说明）；因政府信息公开申请行政复议、提起行政诉讼的情况；政府信息公开工作存在的不足以及改进措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报告中所列数据的统计期限自2018年1月1日起，至2018年12月31日止。本报告的电子版可在北京市通州区政府门户网站通州区商务委员会政府信息公开专栏（http://www.beijing.gov.cn/zfxxgk/tzq11L015/tzbm_index.shtml）下载。如对本报告有任何疑问，请联系通州区商务委员会，联系电话：69543319。</w:t>
      </w:r>
    </w:p>
    <w:p>
      <w:pPr>
        <w:pStyle w:val="4"/>
        <w:keepNext w:val="0"/>
        <w:keepLines w:val="0"/>
        <w:widowControl/>
        <w:suppressLineNumbers w:val="0"/>
        <w:spacing w:before="0" w:beforeAutospacing="0" w:after="0" w:afterAutospacing="0" w:line="560" w:lineRule="atLeast"/>
        <w:ind w:left="0" w:right="0" w:firstLine="640"/>
        <w:jc w:val="both"/>
        <w:rPr>
          <w:rFonts w:hint="eastAsia" w:ascii="黑体" w:hAnsi="黑体" w:eastAsia="黑体" w:cs="黑体"/>
          <w:b w:val="0"/>
          <w:bCs w:val="0"/>
          <w:sz w:val="21"/>
          <w:szCs w:val="21"/>
        </w:rPr>
      </w:pPr>
      <w:r>
        <w:rPr>
          <w:rFonts w:hint="eastAsia" w:ascii="黑体" w:hAnsi="黑体" w:eastAsia="黑体" w:cs="黑体"/>
          <w:b w:val="0"/>
          <w:bCs w:val="0"/>
          <w:sz w:val="32"/>
          <w:szCs w:val="32"/>
          <w:shd w:val="clear" w:fill="FFFFFF"/>
        </w:rPr>
        <w:t>一、落实《</w:t>
      </w:r>
      <w:r>
        <w:rPr>
          <w:rFonts w:hint="eastAsia" w:ascii="黑体" w:hAnsi="黑体" w:eastAsia="黑体" w:cs="黑体"/>
          <w:b w:val="0"/>
          <w:bCs w:val="0"/>
          <w:sz w:val="32"/>
          <w:szCs w:val="32"/>
          <w:shd w:val="clear" w:fill="FFFFFF"/>
          <w:lang w:eastAsia="zh-CN"/>
        </w:rPr>
        <w:t>通州区</w:t>
      </w:r>
      <w:r>
        <w:rPr>
          <w:rFonts w:hint="eastAsia" w:ascii="黑体" w:hAnsi="黑体" w:eastAsia="黑体" w:cs="黑体"/>
          <w:b w:val="0"/>
          <w:bCs w:val="0"/>
          <w:sz w:val="32"/>
          <w:szCs w:val="32"/>
          <w:shd w:val="clear" w:fill="FFFFFF"/>
        </w:rPr>
        <w:t>201</w:t>
      </w:r>
      <w:r>
        <w:rPr>
          <w:rFonts w:hint="eastAsia" w:ascii="黑体" w:hAnsi="黑体" w:eastAsia="黑体" w:cs="黑体"/>
          <w:b w:val="0"/>
          <w:bCs w:val="0"/>
          <w:sz w:val="32"/>
          <w:szCs w:val="32"/>
          <w:shd w:val="clear" w:fill="FFFFFF"/>
          <w:lang w:val="en-US" w:eastAsia="zh-CN"/>
        </w:rPr>
        <w:t>8</w:t>
      </w:r>
      <w:r>
        <w:rPr>
          <w:rFonts w:hint="eastAsia" w:ascii="黑体" w:hAnsi="黑体" w:eastAsia="黑体" w:cs="黑体"/>
          <w:b w:val="0"/>
          <w:bCs w:val="0"/>
          <w:sz w:val="32"/>
          <w:szCs w:val="32"/>
          <w:shd w:val="clear" w:fill="FFFFFF"/>
        </w:rPr>
        <w:t>年政务公开工作要点》情况</w:t>
      </w:r>
    </w:p>
    <w:p>
      <w:pPr>
        <w:pStyle w:val="4"/>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shd w:val="clear" w:fill="FFFFFF"/>
          <w:lang w:val="en-US" w:eastAsia="zh-CN"/>
        </w:rPr>
      </w:pPr>
      <w:r>
        <w:rPr>
          <w:rFonts w:ascii="仿宋" w:hAnsi="仿宋" w:eastAsia="仿宋" w:cs="仿宋"/>
          <w:sz w:val="32"/>
          <w:szCs w:val="32"/>
          <w:shd w:val="clear" w:fill="FFFFFF"/>
        </w:rPr>
        <w:t>1.</w:t>
      </w:r>
      <w:r>
        <w:rPr>
          <w:rFonts w:hint="default" w:ascii="仿宋" w:hAnsi="仿宋" w:eastAsia="仿宋" w:cs="仿宋"/>
          <w:sz w:val="32"/>
          <w:szCs w:val="32"/>
          <w:shd w:val="clear" w:fill="FFFFFF"/>
        </w:rPr>
        <w:t>推进</w:t>
      </w:r>
      <w:r>
        <w:rPr>
          <w:rFonts w:hint="eastAsia" w:ascii="仿宋" w:hAnsi="仿宋" w:eastAsia="仿宋" w:cs="仿宋"/>
          <w:sz w:val="32"/>
          <w:szCs w:val="32"/>
          <w:shd w:val="clear" w:fill="FFFFFF"/>
          <w:lang w:eastAsia="zh-CN"/>
        </w:rPr>
        <w:t>行政许可和行政处罚“双公示”工作</w:t>
      </w:r>
      <w:r>
        <w:rPr>
          <w:rFonts w:hint="default" w:ascii="仿宋" w:hAnsi="仿宋" w:eastAsia="仿宋" w:cs="仿宋"/>
          <w:sz w:val="32"/>
          <w:szCs w:val="32"/>
          <w:shd w:val="clear" w:fill="FFFFFF"/>
        </w:rPr>
        <w:t>。围绕“双随机、一公开”的目标，</w:t>
      </w:r>
      <w:r>
        <w:rPr>
          <w:rFonts w:hint="eastAsia" w:ascii="仿宋" w:hAnsi="仿宋" w:eastAsia="仿宋" w:cs="仿宋"/>
          <w:sz w:val="32"/>
          <w:szCs w:val="32"/>
          <w:shd w:val="clear" w:fill="FFFFFF"/>
          <w:lang w:eastAsia="zh-CN"/>
        </w:rPr>
        <w:t>及时</w:t>
      </w:r>
      <w:r>
        <w:rPr>
          <w:rFonts w:hint="default" w:ascii="仿宋" w:hAnsi="仿宋" w:eastAsia="仿宋" w:cs="仿宋"/>
          <w:sz w:val="32"/>
          <w:szCs w:val="32"/>
          <w:shd w:val="clear" w:fill="FFFFFF"/>
        </w:rPr>
        <w:t>在通州区政府门户网站</w:t>
      </w:r>
      <w:r>
        <w:rPr>
          <w:rFonts w:hint="eastAsia" w:ascii="仿宋" w:hAnsi="仿宋" w:eastAsia="仿宋" w:cs="仿宋"/>
          <w:sz w:val="32"/>
          <w:szCs w:val="32"/>
          <w:shd w:val="clear" w:fill="FFFFFF"/>
          <w:lang w:eastAsia="zh-CN"/>
        </w:rPr>
        <w:t>区商务委专栏和通州区政务门户网站及时公开各项行政决定信息，明确行政决定</w:t>
      </w:r>
      <w:r>
        <w:rPr>
          <w:rFonts w:hint="default" w:ascii="仿宋" w:hAnsi="仿宋" w:eastAsia="仿宋" w:cs="仿宋"/>
          <w:sz w:val="32"/>
          <w:szCs w:val="32"/>
          <w:shd w:val="clear" w:fill="FFFFFF"/>
        </w:rPr>
        <w:t>依据、主体、内容、方式并公开查处结果和查处情况。</w:t>
      </w:r>
      <w:r>
        <w:rPr>
          <w:rFonts w:hint="eastAsia" w:ascii="仿宋" w:hAnsi="仿宋" w:eastAsia="仿宋" w:cs="仿宋"/>
          <w:sz w:val="32"/>
          <w:szCs w:val="32"/>
          <w:shd w:val="clear" w:fill="FFFFFF"/>
          <w:lang w:val="en-US" w:eastAsia="zh-CN"/>
        </w:rPr>
        <w:t>2018年全年，累计公开行政许可事项3批次，行政处罚事项16批次。</w:t>
      </w:r>
    </w:p>
    <w:p>
      <w:pPr>
        <w:ind w:firstLine="640"/>
        <w:rPr>
          <w:rFonts w:hint="eastAsia" w:ascii="仿宋_GB2312" w:eastAsia="仿宋_GB2312"/>
          <w:b w:val="0"/>
          <w:bCs w:val="0"/>
          <w:color w:val="auto"/>
          <w:sz w:val="32"/>
          <w:szCs w:val="32"/>
          <w:lang w:val="en-US" w:eastAsia="zh-CN"/>
        </w:rPr>
      </w:pPr>
      <w:r>
        <w:rPr>
          <w:rFonts w:hint="eastAsia" w:ascii="仿宋" w:hAnsi="仿宋" w:eastAsia="仿宋" w:cs="仿宋"/>
          <w:color w:val="000000"/>
          <w:kern w:val="0"/>
          <w:sz w:val="32"/>
          <w:szCs w:val="32"/>
          <w:shd w:val="clear" w:fill="FFFFFF"/>
          <w:lang w:val="en-US" w:eastAsia="zh-CN" w:bidi="ar-SA"/>
        </w:rPr>
        <w:t>2.推进重点工作信息公开。围绕有序推进疏解整治促提升专项行动及时发布疏解退出有形商品交易市场进展和基本便民商业网点建设提升工作情况。2018全年，</w:t>
      </w:r>
      <w:r>
        <w:rPr>
          <w:rFonts w:hint="eastAsia" w:ascii="仿宋_GB2312" w:eastAsia="仿宋_GB2312"/>
          <w:b w:val="0"/>
          <w:bCs w:val="0"/>
          <w:color w:val="auto"/>
          <w:sz w:val="32"/>
          <w:szCs w:val="32"/>
          <w:lang w:val="en-US" w:eastAsia="zh-CN"/>
        </w:rPr>
        <w:t>按照</w:t>
      </w:r>
      <w:r>
        <w:rPr>
          <w:rFonts w:hint="eastAsia" w:ascii="仿宋_GB2312" w:eastAsia="仿宋_GB2312"/>
          <w:b w:val="0"/>
          <w:bCs w:val="0"/>
          <w:color w:val="auto"/>
          <w:sz w:val="32"/>
          <w:szCs w:val="32"/>
        </w:rPr>
        <w:t>拆除（关停）一批，清退转型一批，升级改造（规范提升）一批的原则</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全区完成</w:t>
      </w:r>
      <w:r>
        <w:rPr>
          <w:rFonts w:hint="eastAsia" w:ascii="仿宋_GB2312" w:eastAsia="仿宋_GB2312"/>
          <w:b w:val="0"/>
          <w:bCs w:val="0"/>
          <w:color w:val="auto"/>
          <w:sz w:val="32"/>
          <w:szCs w:val="32"/>
          <w:lang w:eastAsia="zh-CN"/>
        </w:rPr>
        <w:t>了</w:t>
      </w:r>
      <w:r>
        <w:rPr>
          <w:rFonts w:hint="eastAsia" w:ascii="仿宋_GB2312" w:eastAsia="仿宋_GB2312"/>
          <w:b w:val="0"/>
          <w:bCs w:val="0"/>
          <w:color w:val="auto"/>
          <w:sz w:val="32"/>
          <w:szCs w:val="32"/>
          <w:lang w:val="en-US" w:eastAsia="zh-CN"/>
        </w:rPr>
        <w:t>39</w:t>
      </w:r>
      <w:r>
        <w:rPr>
          <w:rFonts w:hint="eastAsia" w:ascii="仿宋_GB2312" w:eastAsia="仿宋_GB2312"/>
          <w:b w:val="0"/>
          <w:bCs w:val="0"/>
          <w:color w:val="auto"/>
          <w:sz w:val="32"/>
          <w:szCs w:val="32"/>
        </w:rPr>
        <w:t>家</w:t>
      </w:r>
      <w:r>
        <w:rPr>
          <w:rFonts w:hint="eastAsia" w:ascii="仿宋_GB2312" w:hAnsi="仿宋_GB2312" w:eastAsia="仿宋_GB2312" w:cs="仿宋_GB2312"/>
          <w:sz w:val="32"/>
          <w:szCs w:val="32"/>
        </w:rPr>
        <w:t>有形商品交易</w:t>
      </w:r>
      <w:r>
        <w:rPr>
          <w:rFonts w:hint="eastAsia" w:ascii="仿宋_GB2312" w:eastAsia="仿宋_GB2312"/>
          <w:b w:val="0"/>
          <w:bCs w:val="0"/>
          <w:color w:val="auto"/>
          <w:sz w:val="32"/>
          <w:szCs w:val="32"/>
        </w:rPr>
        <w:t>市场</w:t>
      </w:r>
      <w:r>
        <w:rPr>
          <w:rFonts w:hint="eastAsia" w:ascii="仿宋_GB2312" w:eastAsia="仿宋_GB2312"/>
          <w:b w:val="0"/>
          <w:bCs w:val="0"/>
          <w:color w:val="auto"/>
          <w:sz w:val="32"/>
          <w:szCs w:val="32"/>
          <w:lang w:eastAsia="zh-CN"/>
        </w:rPr>
        <w:t>的疏解提升工作；</w:t>
      </w:r>
      <w:r>
        <w:rPr>
          <w:rFonts w:hint="eastAsia" w:ascii="仿宋_GB2312" w:eastAsia="仿宋_GB2312"/>
          <w:b w:val="0"/>
          <w:bCs w:val="0"/>
          <w:color w:val="auto"/>
          <w:sz w:val="32"/>
          <w:szCs w:val="32"/>
          <w:lang w:val="en-US" w:eastAsia="zh-CN"/>
        </w:rPr>
        <w:t>新建和规范提升各类生活性服务业网点119个，全区七类生活性服务业网点达到2361个，连锁化率达到48.75%。</w:t>
      </w:r>
    </w:p>
    <w:p>
      <w:pPr>
        <w:ind w:firstLine="64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二、信息公开机构和公开渠道建设情况</w:t>
      </w:r>
    </w:p>
    <w:p>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shd w:val="clear" w:fill="FFFFFF"/>
          <w:lang w:eastAsia="zh-CN"/>
        </w:rPr>
      </w:pPr>
      <w:r>
        <w:rPr>
          <w:rFonts w:ascii="仿宋" w:hAnsi="仿宋" w:eastAsia="仿宋" w:cs="仿宋"/>
          <w:sz w:val="32"/>
          <w:szCs w:val="32"/>
          <w:shd w:val="clear" w:fill="FFFFFF"/>
        </w:rPr>
        <w:t>201</w:t>
      </w:r>
      <w:r>
        <w:rPr>
          <w:rFonts w:hint="eastAsia" w:ascii="仿宋" w:hAnsi="仿宋" w:eastAsia="仿宋" w:cs="仿宋"/>
          <w:sz w:val="32"/>
          <w:szCs w:val="32"/>
          <w:shd w:val="clear" w:fill="FFFFFF"/>
          <w:lang w:val="en-US" w:eastAsia="zh-CN"/>
        </w:rPr>
        <w:t>8</w:t>
      </w:r>
      <w:r>
        <w:rPr>
          <w:rFonts w:hint="default" w:ascii="仿宋" w:hAnsi="仿宋" w:eastAsia="仿宋" w:cs="仿宋"/>
          <w:sz w:val="32"/>
          <w:szCs w:val="32"/>
          <w:shd w:val="clear" w:fill="FFFFFF"/>
        </w:rPr>
        <w:t>年，</w:t>
      </w:r>
      <w:r>
        <w:rPr>
          <w:rFonts w:hint="eastAsia" w:ascii="仿宋" w:hAnsi="仿宋" w:eastAsia="仿宋" w:cs="仿宋"/>
          <w:sz w:val="32"/>
          <w:szCs w:val="32"/>
          <w:shd w:val="clear" w:fill="FFFFFF"/>
          <w:lang w:eastAsia="zh-CN"/>
        </w:rPr>
        <w:t>区商务委</w:t>
      </w:r>
      <w:r>
        <w:rPr>
          <w:rFonts w:hint="default" w:ascii="仿宋" w:hAnsi="仿宋" w:eastAsia="仿宋" w:cs="仿宋"/>
          <w:sz w:val="32"/>
          <w:szCs w:val="32"/>
          <w:shd w:val="clear" w:fill="FFFFFF"/>
        </w:rPr>
        <w:t>调整了政务公开领导小组，</w:t>
      </w:r>
      <w:r>
        <w:rPr>
          <w:rFonts w:hint="eastAsia" w:ascii="仿宋" w:hAnsi="仿宋" w:eastAsia="仿宋" w:cs="仿宋"/>
          <w:sz w:val="32"/>
          <w:szCs w:val="32"/>
          <w:shd w:val="clear" w:fill="FFFFFF"/>
          <w:lang w:eastAsia="zh-CN"/>
        </w:rPr>
        <w:t>明确了</w:t>
      </w:r>
      <w:r>
        <w:rPr>
          <w:rFonts w:hint="default" w:ascii="仿宋" w:hAnsi="仿宋" w:eastAsia="仿宋" w:cs="仿宋"/>
          <w:sz w:val="32"/>
          <w:szCs w:val="32"/>
          <w:shd w:val="clear" w:fill="FFFFFF"/>
        </w:rPr>
        <w:t>主管领导、工作机构、工作人员和岗位职责，并通过</w:t>
      </w:r>
      <w:r>
        <w:rPr>
          <w:rFonts w:hint="eastAsia" w:ascii="仿宋" w:hAnsi="仿宋" w:eastAsia="仿宋" w:cs="仿宋"/>
          <w:sz w:val="32"/>
          <w:szCs w:val="32"/>
          <w:shd w:val="clear" w:fill="FFFFFF"/>
          <w:lang w:eastAsia="zh-CN"/>
        </w:rPr>
        <w:t>信息公开专栏</w:t>
      </w:r>
      <w:r>
        <w:rPr>
          <w:rFonts w:hint="default" w:ascii="仿宋" w:hAnsi="仿宋" w:eastAsia="仿宋" w:cs="仿宋"/>
          <w:sz w:val="32"/>
          <w:szCs w:val="32"/>
          <w:shd w:val="clear" w:fill="FFFFFF"/>
        </w:rPr>
        <w:t>进行了公开。</w:t>
      </w:r>
      <w:r>
        <w:rPr>
          <w:rFonts w:hint="eastAsia" w:ascii="仿宋" w:hAnsi="仿宋" w:eastAsia="仿宋" w:cs="仿宋"/>
          <w:sz w:val="32"/>
          <w:szCs w:val="32"/>
          <w:shd w:val="clear" w:fill="FFFFFF"/>
          <w:lang w:eastAsia="zh-CN"/>
        </w:rPr>
        <w:t>委</w:t>
      </w:r>
      <w:r>
        <w:rPr>
          <w:rFonts w:hint="default" w:ascii="仿宋" w:hAnsi="仿宋" w:eastAsia="仿宋" w:cs="仿宋"/>
          <w:sz w:val="32"/>
          <w:szCs w:val="32"/>
          <w:shd w:val="clear" w:fill="FFFFFF"/>
        </w:rPr>
        <w:t>办公室作为政府信息公开工作</w:t>
      </w:r>
      <w:r>
        <w:rPr>
          <w:rFonts w:hint="eastAsia" w:ascii="仿宋" w:hAnsi="仿宋" w:eastAsia="仿宋" w:cs="仿宋"/>
          <w:sz w:val="32"/>
          <w:szCs w:val="32"/>
          <w:shd w:val="clear" w:fill="FFFFFF"/>
          <w:lang w:eastAsia="zh-CN"/>
        </w:rPr>
        <w:t>牵头</w:t>
      </w:r>
      <w:r>
        <w:rPr>
          <w:rFonts w:hint="default" w:ascii="仿宋" w:hAnsi="仿宋" w:eastAsia="仿宋" w:cs="仿宋"/>
          <w:sz w:val="32"/>
          <w:szCs w:val="32"/>
          <w:shd w:val="clear" w:fill="FFFFFF"/>
        </w:rPr>
        <w:t>部门，大力推进、指导、协调</w:t>
      </w:r>
      <w:r>
        <w:rPr>
          <w:rFonts w:hint="eastAsia" w:ascii="仿宋" w:hAnsi="仿宋" w:eastAsia="仿宋" w:cs="仿宋"/>
          <w:sz w:val="32"/>
          <w:szCs w:val="32"/>
          <w:shd w:val="clear" w:fill="FFFFFF"/>
          <w:lang w:eastAsia="zh-CN"/>
        </w:rPr>
        <w:t>各科室及时公开相关政府信息，并在委办公室设置了政府信息公开查阅点，方便群众获取政府信息。</w:t>
      </w:r>
    </w:p>
    <w:p>
      <w:pPr>
        <w:pStyle w:val="4"/>
        <w:keepNext w:val="0"/>
        <w:keepLines w:val="0"/>
        <w:widowControl/>
        <w:numPr>
          <w:ilvl w:val="0"/>
          <w:numId w:val="0"/>
        </w:numPr>
        <w:suppressLineNumbers w:val="0"/>
        <w:spacing w:before="0" w:beforeAutospacing="0" w:after="0" w:afterAutospacing="0" w:line="560" w:lineRule="atLeast"/>
        <w:ind w:left="640" w:leftChars="0" w:right="0" w:rightChars="0"/>
        <w:jc w:val="both"/>
        <w:rPr>
          <w:rFonts w:hint="default" w:ascii="仿宋" w:hAnsi="仿宋" w:eastAsia="仿宋" w:cs="仿宋"/>
          <w:sz w:val="32"/>
          <w:szCs w:val="32"/>
          <w:shd w:val="clear" w:fill="FFFFFF"/>
          <w:lang w:eastAsia="zh-CN"/>
        </w:rPr>
      </w:pPr>
      <w:r>
        <w:rPr>
          <w:rFonts w:hint="eastAsia" w:ascii="黑体" w:hAnsi="黑体" w:eastAsia="黑体" w:cs="黑体"/>
          <w:sz w:val="32"/>
          <w:szCs w:val="32"/>
          <w:shd w:val="clear" w:fill="FFFFFF"/>
          <w:lang w:eastAsia="zh-CN"/>
        </w:rPr>
        <w:t>三、信息公开工作情况</w:t>
      </w:r>
    </w:p>
    <w:p>
      <w:pPr>
        <w:pStyle w:val="4"/>
        <w:keepNext w:val="0"/>
        <w:keepLines w:val="0"/>
        <w:widowControl/>
        <w:suppressLineNumbers w:val="0"/>
        <w:spacing w:before="0" w:beforeAutospacing="0" w:after="106" w:afterAutospacing="0" w:line="18" w:lineRule="atLeast"/>
        <w:ind w:left="0" w:right="0" w:firstLine="420"/>
        <w:rPr>
          <w:rFonts w:hint="eastAsia" w:ascii="楷体_GB2312" w:hAnsi="楷体_GB2312" w:eastAsia="楷体_GB2312" w:cs="楷体_GB2312"/>
          <w:sz w:val="32"/>
          <w:szCs w:val="32"/>
        </w:rPr>
      </w:pPr>
      <w:r>
        <w:rPr>
          <w:rFonts w:hint="eastAsia" w:ascii="楷体_GB2312" w:hAnsi="楷体_GB2312" w:eastAsia="楷体_GB2312" w:cs="楷体_GB2312"/>
          <w:sz w:val="32"/>
          <w:szCs w:val="32"/>
          <w:shd w:val="clear" w:fill="FFFFFF"/>
        </w:rPr>
        <w:t>(一)主动公开情况</w:t>
      </w:r>
    </w:p>
    <w:p>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201</w:t>
      </w:r>
      <w:r>
        <w:rPr>
          <w:rFonts w:hint="eastAsia" w:ascii="仿宋" w:hAnsi="仿宋" w:eastAsia="仿宋" w:cs="仿宋"/>
          <w:sz w:val="32"/>
          <w:szCs w:val="32"/>
          <w:shd w:val="clear" w:fill="FFFFFF"/>
          <w:lang w:val="en-US" w:eastAsia="zh-CN"/>
        </w:rPr>
        <w:t>8</w:t>
      </w:r>
      <w:r>
        <w:rPr>
          <w:rFonts w:hint="eastAsia" w:ascii="仿宋" w:hAnsi="仿宋" w:eastAsia="仿宋" w:cs="仿宋"/>
          <w:sz w:val="32"/>
          <w:szCs w:val="32"/>
          <w:shd w:val="clear" w:fill="FFFFFF"/>
        </w:rPr>
        <w:t>年,我委共主动公开政府信息</w:t>
      </w:r>
      <w:r>
        <w:rPr>
          <w:rFonts w:hint="eastAsia" w:ascii="仿宋" w:hAnsi="仿宋" w:eastAsia="仿宋" w:cs="仿宋"/>
          <w:sz w:val="32"/>
          <w:szCs w:val="32"/>
          <w:shd w:val="clear" w:fill="FFFFFF"/>
          <w:lang w:val="en-US" w:eastAsia="zh-CN"/>
        </w:rPr>
        <w:t>243</w:t>
      </w:r>
      <w:r>
        <w:rPr>
          <w:rFonts w:hint="eastAsia" w:ascii="仿宋" w:hAnsi="仿宋" w:eastAsia="仿宋" w:cs="仿宋"/>
          <w:sz w:val="32"/>
          <w:szCs w:val="32"/>
          <w:shd w:val="clear" w:fill="FFFFFF"/>
        </w:rPr>
        <w:t>条,其中全文电子化率达100%。</w:t>
      </w:r>
      <w:r>
        <w:rPr>
          <w:rFonts w:hint="eastAsia" w:ascii="仿宋" w:hAnsi="仿宋" w:eastAsia="仿宋" w:cs="仿宋"/>
          <w:sz w:val="32"/>
          <w:szCs w:val="32"/>
          <w:shd w:val="clear" w:fill="FFFFFF"/>
          <w:lang w:eastAsia="zh-CN"/>
        </w:rPr>
        <w:t>其中，机构职能类信息</w:t>
      </w:r>
      <w:r>
        <w:rPr>
          <w:rFonts w:hint="eastAsia" w:ascii="仿宋" w:hAnsi="仿宋" w:eastAsia="仿宋" w:cs="仿宋"/>
          <w:sz w:val="32"/>
          <w:szCs w:val="32"/>
          <w:shd w:val="clear" w:fill="FFFFFF"/>
          <w:lang w:val="en-US" w:eastAsia="zh-CN"/>
        </w:rPr>
        <w:t>20条，占比9%；法规文件类信息7条，占比3%；规划计划类信息4条，占比2%；</w:t>
      </w:r>
      <w:r>
        <w:rPr>
          <w:rFonts w:hint="eastAsia" w:ascii="仿宋" w:hAnsi="仿宋" w:eastAsia="仿宋" w:cs="仿宋"/>
          <w:sz w:val="32"/>
          <w:szCs w:val="32"/>
          <w:shd w:val="clear" w:fill="FFFFFF"/>
          <w:lang w:eastAsia="zh-CN"/>
        </w:rPr>
        <w:t>公开规范性文件</w:t>
      </w:r>
      <w:r>
        <w:rPr>
          <w:rFonts w:hint="eastAsia" w:ascii="仿宋" w:hAnsi="仿宋" w:eastAsia="仿宋" w:cs="仿宋"/>
          <w:sz w:val="32"/>
          <w:szCs w:val="32"/>
          <w:shd w:val="clear" w:fill="FFFFFF"/>
          <w:lang w:val="en-US" w:eastAsia="zh-CN"/>
        </w:rPr>
        <w:t>2条，占比1%；业务动态类信息158条，占比65%；“双公示”信息19批次，占比8%；粮食市场检测信息24批次，占比10%。</w:t>
      </w:r>
    </w:p>
    <w:p>
      <w:pPr>
        <w:pStyle w:val="4"/>
        <w:keepNext w:val="0"/>
        <w:keepLines w:val="0"/>
        <w:widowControl/>
        <w:suppressLineNumbers w:val="0"/>
        <w:spacing w:before="0" w:beforeAutospacing="0" w:after="106" w:afterAutospacing="0" w:line="18" w:lineRule="atLeast"/>
        <w:ind w:left="0" w:right="0" w:firstLine="420"/>
        <w:rPr>
          <w:rFonts w:hint="eastAsia" w:ascii="楷体_GB2312" w:hAnsi="楷体_GB2312" w:eastAsia="楷体_GB2312" w:cs="楷体_GB2312"/>
          <w:sz w:val="32"/>
          <w:szCs w:val="32"/>
          <w:shd w:val="clear" w:fill="FFFFFF"/>
        </w:rPr>
      </w:pPr>
      <w:r>
        <w:rPr>
          <w:rFonts w:hint="eastAsia" w:ascii="楷体_GB2312" w:hAnsi="楷体_GB2312" w:eastAsia="楷体_GB2312" w:cs="楷体_GB2312"/>
          <w:sz w:val="32"/>
          <w:szCs w:val="32"/>
          <w:shd w:val="clear" w:fill="FFFFFF"/>
        </w:rPr>
        <w:t>(二)依申请公开工作</w:t>
      </w:r>
    </w:p>
    <w:p>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shd w:val="clear" w:fill="FFFFFF"/>
          <w:lang w:eastAsia="zh-CN"/>
        </w:rPr>
      </w:pPr>
      <w:r>
        <w:rPr>
          <w:rFonts w:hint="eastAsia" w:ascii="仿宋" w:hAnsi="仿宋" w:eastAsia="仿宋" w:cs="仿宋"/>
          <w:sz w:val="32"/>
          <w:szCs w:val="32"/>
          <w:shd w:val="clear" w:fill="FFFFFF"/>
          <w:lang w:eastAsia="zh-CN"/>
        </w:rPr>
        <w:t>201</w:t>
      </w:r>
      <w:r>
        <w:rPr>
          <w:rFonts w:hint="eastAsia" w:ascii="仿宋" w:hAnsi="仿宋" w:eastAsia="仿宋" w:cs="仿宋"/>
          <w:sz w:val="32"/>
          <w:szCs w:val="32"/>
          <w:shd w:val="clear" w:fill="FFFFFF"/>
          <w:lang w:val="en-US" w:eastAsia="zh-CN"/>
        </w:rPr>
        <w:t>8</w:t>
      </w:r>
      <w:r>
        <w:rPr>
          <w:rFonts w:hint="eastAsia" w:ascii="仿宋" w:hAnsi="仿宋" w:eastAsia="仿宋" w:cs="仿宋"/>
          <w:sz w:val="32"/>
          <w:szCs w:val="32"/>
          <w:shd w:val="clear" w:fill="FFFFFF"/>
          <w:lang w:eastAsia="zh-CN"/>
        </w:rPr>
        <w:t>年，我委共收到政府信息公开申请</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lang w:eastAsia="zh-CN"/>
        </w:rPr>
        <w:t>件,全部按期答复。没有因政府信息公开工作产生行政复议、提起行政诉讼的情况。</w:t>
      </w:r>
    </w:p>
    <w:p>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eastAsia="宋体" w:cs="Times New Roman"/>
          <w:sz w:val="21"/>
          <w:szCs w:val="21"/>
        </w:rPr>
      </w:pPr>
      <w:r>
        <w:rPr>
          <w:rFonts w:ascii="黑体" w:hAnsi="宋体" w:eastAsia="黑体" w:cs="黑体"/>
          <w:sz w:val="32"/>
          <w:szCs w:val="32"/>
          <w:shd w:val="clear" w:fill="FFFFFF"/>
        </w:rPr>
        <w:t>四、存在的</w:t>
      </w:r>
      <w:r>
        <w:rPr>
          <w:rFonts w:hint="eastAsia" w:ascii="黑体" w:eastAsia="黑体" w:cs="黑体"/>
          <w:sz w:val="32"/>
          <w:szCs w:val="32"/>
          <w:shd w:val="clear" w:fill="FFFFFF"/>
          <w:lang w:eastAsia="zh-CN"/>
        </w:rPr>
        <w:t>问题</w:t>
      </w:r>
      <w:r>
        <w:rPr>
          <w:rFonts w:ascii="黑体" w:hAnsi="宋体" w:eastAsia="黑体" w:cs="黑体"/>
          <w:sz w:val="32"/>
          <w:szCs w:val="32"/>
          <w:shd w:val="clear" w:fill="FFFFFF"/>
        </w:rPr>
        <w:t>及改进措施</w:t>
      </w:r>
    </w:p>
    <w:p>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eastAsia="宋体" w:cs="Times New Roman"/>
          <w:sz w:val="21"/>
          <w:szCs w:val="21"/>
        </w:rPr>
      </w:pPr>
      <w:r>
        <w:rPr>
          <w:rFonts w:hint="eastAsia" w:ascii="楷体_GB2312" w:hAnsi="楷体_GB2312" w:eastAsia="楷体_GB2312" w:cs="楷体_GB2312"/>
          <w:sz w:val="32"/>
          <w:szCs w:val="32"/>
          <w:shd w:val="clear" w:fill="FFFFFF"/>
        </w:rPr>
        <w:t>（一）存在的问题    </w:t>
      </w:r>
      <w:r>
        <w:rPr>
          <w:rFonts w:hint="eastAsia" w:ascii="宋体" w:hAnsi="宋体" w:eastAsia="宋体" w:cs="宋体"/>
          <w:sz w:val="32"/>
          <w:szCs w:val="32"/>
          <w:shd w:val="clear" w:fill="FFFFFF"/>
        </w:rPr>
        <w:t> </w:t>
      </w:r>
    </w:p>
    <w:p>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shd w:val="clear" w:fill="FFFFFF"/>
          <w:lang w:eastAsia="zh-CN"/>
        </w:rPr>
      </w:pPr>
      <w:r>
        <w:rPr>
          <w:rFonts w:hint="default" w:ascii="仿宋" w:hAnsi="仿宋" w:eastAsia="仿宋" w:cs="仿宋"/>
          <w:sz w:val="32"/>
          <w:szCs w:val="32"/>
          <w:shd w:val="clear" w:fill="FFFFFF"/>
        </w:rPr>
        <w:t>一是</w:t>
      </w:r>
      <w:r>
        <w:rPr>
          <w:rFonts w:hint="eastAsia" w:ascii="仿宋" w:hAnsi="仿宋" w:eastAsia="仿宋" w:cs="仿宋"/>
          <w:sz w:val="32"/>
          <w:szCs w:val="32"/>
          <w:shd w:val="clear" w:fill="FFFFFF"/>
          <w:lang w:eastAsia="zh-CN"/>
        </w:rPr>
        <w:t>政务公开水平需进一步提高，公开工作力量相对薄弱；二是主动公开内容不够丰富，要继续加大政务公开渠道和查阅场所建设；三是依申请公开工作内容复杂化趋势明显，工作人员工作能力仍需加强。</w:t>
      </w:r>
    </w:p>
    <w:p>
      <w:pPr>
        <w:pStyle w:val="4"/>
        <w:keepNext w:val="0"/>
        <w:keepLines w:val="0"/>
        <w:widowControl/>
        <w:suppressLineNumbers w:val="0"/>
        <w:spacing w:before="0" w:beforeAutospacing="0" w:after="0" w:afterAutospacing="0" w:line="560" w:lineRule="atLeast"/>
        <w:ind w:left="0" w:right="0" w:firstLine="640"/>
        <w:jc w:val="both"/>
        <w:rPr>
          <w:rFonts w:hint="default" w:ascii="楷体_GB2312" w:hAnsi="楷体_GB2312" w:eastAsia="楷体_GB2312" w:cs="楷体_GB2312"/>
          <w:sz w:val="32"/>
          <w:szCs w:val="32"/>
          <w:shd w:val="clear" w:fill="FFFFFF"/>
        </w:rPr>
      </w:pPr>
      <w:r>
        <w:rPr>
          <w:rFonts w:hint="default" w:ascii="楷体_GB2312" w:hAnsi="楷体_GB2312" w:eastAsia="楷体_GB2312" w:cs="楷体_GB2312"/>
          <w:sz w:val="32"/>
          <w:szCs w:val="32"/>
          <w:shd w:val="clear" w:fill="FFFFFF"/>
        </w:rPr>
        <w:t>（二）改进措施</w:t>
      </w:r>
      <w:r>
        <w:rPr>
          <w:rFonts w:hint="eastAsia" w:ascii="楷体_GB2312" w:hAnsi="楷体_GB2312" w:eastAsia="楷体_GB2312" w:cs="楷体_GB2312"/>
          <w:sz w:val="32"/>
          <w:szCs w:val="32"/>
          <w:shd w:val="clear" w:fill="FFFFFF"/>
        </w:rPr>
        <w:t xml:space="preserve">  </w:t>
      </w:r>
    </w:p>
    <w:p>
      <w:pPr>
        <w:pStyle w:val="4"/>
        <w:keepNext w:val="0"/>
        <w:keepLines w:val="0"/>
        <w:widowControl/>
        <w:suppressLineNumbers w:val="0"/>
        <w:spacing w:before="0" w:beforeAutospacing="0" w:after="0" w:afterAutospacing="0" w:line="560" w:lineRule="atLeast"/>
        <w:ind w:left="0" w:right="0" w:firstLine="640"/>
        <w:jc w:val="both"/>
        <w:rPr>
          <w:rFonts w:hint="default" w:ascii="仿宋" w:hAnsi="仿宋" w:eastAsia="仿宋" w:cs="仿宋"/>
          <w:sz w:val="32"/>
          <w:szCs w:val="32"/>
          <w:shd w:val="clear" w:fill="FFFFFF"/>
        </w:rPr>
      </w:pPr>
      <w:r>
        <w:rPr>
          <w:rFonts w:hint="default" w:ascii="仿宋" w:hAnsi="仿宋" w:eastAsia="仿宋" w:cs="仿宋"/>
          <w:sz w:val="32"/>
          <w:szCs w:val="32"/>
          <w:shd w:val="clear" w:fill="FFFFFF"/>
        </w:rPr>
        <w:t>一是加大</w:t>
      </w:r>
      <w:r>
        <w:rPr>
          <w:rFonts w:hint="eastAsia" w:ascii="仿宋" w:hAnsi="仿宋" w:eastAsia="仿宋" w:cs="仿宋"/>
          <w:sz w:val="32"/>
          <w:szCs w:val="32"/>
          <w:shd w:val="clear" w:fill="FFFFFF"/>
          <w:lang w:eastAsia="zh-CN"/>
        </w:rPr>
        <w:t>政府信息</w:t>
      </w:r>
      <w:r>
        <w:rPr>
          <w:rFonts w:hint="default" w:ascii="仿宋" w:hAnsi="仿宋" w:eastAsia="仿宋" w:cs="仿宋"/>
          <w:sz w:val="32"/>
          <w:szCs w:val="32"/>
          <w:shd w:val="clear" w:fill="FFFFFF"/>
        </w:rPr>
        <w:t>公开主动公开力度，</w:t>
      </w:r>
      <w:r>
        <w:rPr>
          <w:rFonts w:hint="eastAsia" w:ascii="仿宋" w:hAnsi="仿宋" w:eastAsia="仿宋" w:cs="仿宋"/>
          <w:sz w:val="32"/>
          <w:szCs w:val="32"/>
          <w:shd w:val="clear" w:fill="FFFFFF"/>
        </w:rPr>
        <w:t>进一步动员全委干部积极参与政府公开信息</w:t>
      </w:r>
      <w:r>
        <w:rPr>
          <w:rFonts w:hint="eastAsia" w:ascii="仿宋" w:hAnsi="仿宋" w:eastAsia="仿宋" w:cs="仿宋"/>
          <w:sz w:val="32"/>
          <w:szCs w:val="32"/>
          <w:shd w:val="clear" w:fill="FFFFFF"/>
          <w:lang w:eastAsia="zh-CN"/>
        </w:rPr>
        <w:t>工作，加强对信息</w:t>
      </w:r>
      <w:r>
        <w:rPr>
          <w:rFonts w:hint="eastAsia" w:ascii="仿宋" w:hAnsi="仿宋" w:eastAsia="仿宋" w:cs="仿宋"/>
          <w:sz w:val="32"/>
          <w:szCs w:val="32"/>
          <w:shd w:val="clear" w:fill="FFFFFF"/>
        </w:rPr>
        <w:t>发布的监督,严格保密审查制度,更好地服务于社会和群众。</w:t>
      </w:r>
      <w:r>
        <w:rPr>
          <w:rFonts w:hint="eastAsia" w:ascii="仿宋" w:hAnsi="仿宋" w:eastAsia="仿宋" w:cs="仿宋"/>
          <w:sz w:val="32"/>
          <w:szCs w:val="32"/>
          <w:shd w:val="clear" w:fill="FFFFFF"/>
          <w:lang w:eastAsia="zh-CN"/>
        </w:rPr>
        <w:t>二是</w:t>
      </w:r>
      <w:r>
        <w:rPr>
          <w:rFonts w:hint="eastAsia" w:ascii="仿宋" w:hAnsi="仿宋" w:eastAsia="仿宋" w:cs="仿宋"/>
          <w:sz w:val="32"/>
          <w:szCs w:val="32"/>
          <w:shd w:val="clear" w:fill="FFFFFF"/>
        </w:rPr>
        <w:t>加强信息公开与中心工作的融合度</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rPr>
        <w:t>及时发布和更新依法应主动公开的政府信息,确保</w:t>
      </w:r>
      <w:r>
        <w:rPr>
          <w:rFonts w:hint="eastAsia" w:ascii="仿宋" w:hAnsi="仿宋" w:eastAsia="仿宋" w:cs="仿宋"/>
          <w:sz w:val="32"/>
          <w:szCs w:val="32"/>
          <w:shd w:val="clear" w:fill="FFFFFF"/>
          <w:lang w:eastAsia="zh-CN"/>
        </w:rPr>
        <w:t>政府</w:t>
      </w:r>
      <w:r>
        <w:rPr>
          <w:rFonts w:hint="eastAsia" w:ascii="仿宋" w:hAnsi="仿宋" w:eastAsia="仿宋" w:cs="仿宋"/>
          <w:sz w:val="32"/>
          <w:szCs w:val="32"/>
          <w:shd w:val="clear" w:fill="FFFFFF"/>
        </w:rPr>
        <w:t>信息及时公开,并认真做好答复依申请公开政府信息工作。进一步完善政府信息公开制度,不断建立健全工作机制,维护</w:t>
      </w:r>
      <w:r>
        <w:rPr>
          <w:rFonts w:hint="eastAsia" w:ascii="仿宋" w:hAnsi="仿宋" w:eastAsia="仿宋" w:cs="仿宋"/>
          <w:sz w:val="32"/>
          <w:szCs w:val="32"/>
          <w:shd w:val="clear" w:fill="FFFFFF"/>
          <w:lang w:eastAsia="zh-CN"/>
        </w:rPr>
        <w:t>政府</w:t>
      </w:r>
      <w:r>
        <w:rPr>
          <w:rFonts w:hint="eastAsia" w:ascii="仿宋" w:hAnsi="仿宋" w:eastAsia="仿宋" w:cs="仿宋"/>
          <w:sz w:val="32"/>
          <w:szCs w:val="32"/>
          <w:shd w:val="clear" w:fill="FFFFFF"/>
        </w:rPr>
        <w:t>信息公开工作的正常秩序。</w:t>
      </w:r>
      <w:r>
        <w:rPr>
          <w:rFonts w:hint="eastAsia" w:ascii="仿宋" w:hAnsi="仿宋" w:eastAsia="仿宋" w:cs="仿宋"/>
          <w:sz w:val="32"/>
          <w:szCs w:val="32"/>
          <w:shd w:val="clear" w:fill="FFFFFF"/>
          <w:lang w:eastAsia="zh-CN"/>
        </w:rPr>
        <w:t>三是</w:t>
      </w:r>
      <w:r>
        <w:rPr>
          <w:rFonts w:hint="eastAsia" w:ascii="仿宋" w:hAnsi="仿宋" w:eastAsia="仿宋" w:cs="仿宋"/>
          <w:sz w:val="32"/>
          <w:szCs w:val="32"/>
          <w:shd w:val="clear" w:fill="FFFFFF"/>
        </w:rPr>
        <w:t>加强</w:t>
      </w:r>
      <w:r>
        <w:rPr>
          <w:rFonts w:hint="eastAsia" w:ascii="仿宋" w:hAnsi="仿宋" w:eastAsia="仿宋" w:cs="仿宋"/>
          <w:sz w:val="32"/>
          <w:szCs w:val="32"/>
          <w:shd w:val="clear" w:fill="FFFFFF"/>
          <w:lang w:eastAsia="zh-CN"/>
        </w:rPr>
        <w:t>政府</w:t>
      </w:r>
      <w:r>
        <w:rPr>
          <w:rFonts w:hint="eastAsia" w:ascii="仿宋" w:hAnsi="仿宋" w:eastAsia="仿宋" w:cs="仿宋"/>
          <w:sz w:val="32"/>
          <w:szCs w:val="32"/>
          <w:shd w:val="clear" w:fill="FFFFFF"/>
        </w:rPr>
        <w:t>信息公开</w:t>
      </w:r>
      <w:r>
        <w:rPr>
          <w:rFonts w:hint="eastAsia" w:ascii="仿宋" w:hAnsi="仿宋" w:eastAsia="仿宋" w:cs="仿宋"/>
          <w:sz w:val="32"/>
          <w:szCs w:val="32"/>
          <w:shd w:val="clear" w:fill="FFFFFF"/>
          <w:lang w:eastAsia="zh-CN"/>
        </w:rPr>
        <w:t>工作</w:t>
      </w:r>
      <w:r>
        <w:rPr>
          <w:rFonts w:hint="eastAsia" w:ascii="仿宋" w:hAnsi="仿宋" w:eastAsia="仿宋" w:cs="仿宋"/>
          <w:sz w:val="32"/>
          <w:szCs w:val="32"/>
          <w:shd w:val="clear" w:fill="FFFFFF"/>
        </w:rPr>
        <w:t>人员的培训,提升公开意识,提高业务水平,</w:t>
      </w:r>
      <w:r>
        <w:rPr>
          <w:rFonts w:hint="default" w:ascii="仿宋" w:hAnsi="仿宋" w:eastAsia="仿宋" w:cs="仿宋"/>
          <w:sz w:val="32"/>
          <w:szCs w:val="32"/>
          <w:shd w:val="clear" w:fill="FFFFFF"/>
        </w:rPr>
        <w:t>提升依法依规</w:t>
      </w:r>
      <w:r>
        <w:rPr>
          <w:rFonts w:hint="eastAsia" w:ascii="仿宋" w:hAnsi="仿宋" w:eastAsia="仿宋" w:cs="仿宋"/>
          <w:sz w:val="32"/>
          <w:szCs w:val="32"/>
          <w:shd w:val="clear" w:fill="FFFFFF"/>
          <w:lang w:eastAsia="zh-CN"/>
        </w:rPr>
        <w:t>做好政府信息公开工作的能力</w:t>
      </w:r>
      <w:r>
        <w:rPr>
          <w:rFonts w:hint="default" w:ascii="仿宋" w:hAnsi="仿宋" w:eastAsia="仿宋" w:cs="仿宋"/>
          <w:sz w:val="32"/>
          <w:szCs w:val="32"/>
          <w:shd w:val="clear" w:fill="FFFFFF"/>
        </w:rPr>
        <w:t>。</w:t>
      </w:r>
    </w:p>
    <w:p>
      <w:pPr>
        <w:pStyle w:val="4"/>
        <w:keepNext w:val="0"/>
        <w:keepLines w:val="0"/>
        <w:widowControl/>
        <w:suppressLineNumbers w:val="0"/>
        <w:spacing w:before="0" w:beforeAutospacing="0" w:after="0" w:afterAutospacing="0" w:line="560" w:lineRule="atLeast"/>
        <w:ind w:left="0" w:right="0" w:firstLine="640"/>
        <w:jc w:val="both"/>
        <w:rPr>
          <w:rFonts w:hint="default" w:ascii="仿宋" w:hAnsi="仿宋" w:eastAsia="仿宋" w:cs="仿宋"/>
          <w:sz w:val="32"/>
          <w:szCs w:val="32"/>
          <w:shd w:val="clear" w:fill="FFFFFF"/>
        </w:rPr>
      </w:pPr>
    </w:p>
    <w:p>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lang w:eastAsia="zh-CN"/>
        </w:rPr>
        <w:t>附件：通州区商务委员会政府信息公开情况统计表</w:t>
      </w:r>
      <w:r>
        <w:rPr>
          <w:rFonts w:hint="eastAsia" w:ascii="仿宋" w:hAnsi="仿宋" w:eastAsia="仿宋" w:cs="仿宋"/>
          <w:sz w:val="32"/>
          <w:szCs w:val="32"/>
          <w:shd w:val="clear" w:fill="FFFFFF"/>
          <w:lang w:val="en-US" w:eastAsia="zh-CN"/>
        </w:rPr>
        <w:t xml:space="preserve"> </w:t>
      </w:r>
    </w:p>
    <w:p>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shd w:val="clear" w:fill="FFFFFF"/>
          <w:lang w:eastAsia="zh-CN"/>
        </w:rPr>
      </w:pPr>
      <w:r>
        <w:rPr>
          <w:rFonts w:hint="eastAsia" w:ascii="仿宋" w:hAnsi="仿宋" w:eastAsia="仿宋" w:cs="仿宋"/>
          <w:sz w:val="32"/>
          <w:szCs w:val="32"/>
          <w:shd w:val="clear" w:fill="FFFFFF"/>
          <w:lang w:val="en-US" w:eastAsia="zh-CN"/>
        </w:rPr>
        <w:t xml:space="preserve">      </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eastAsia="zh-CN"/>
        </w:rPr>
        <w:t>2018年度</w:t>
      </w:r>
      <w:r>
        <w:rPr>
          <w:rFonts w:hint="eastAsia" w:ascii="仿宋" w:hAnsi="仿宋" w:eastAsia="仿宋" w:cs="仿宋"/>
          <w:sz w:val="32"/>
          <w:szCs w:val="32"/>
          <w:shd w:val="clear" w:fill="FFFFFF"/>
          <w:lang w:eastAsia="zh-CN"/>
        </w:rPr>
        <w:t>）</w:t>
      </w:r>
    </w:p>
    <w:p>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shd w:val="clear" w:fill="FFFFFF"/>
          <w:lang w:eastAsia="zh-CN"/>
        </w:rPr>
      </w:pPr>
    </w:p>
    <w:p>
      <w:pPr>
        <w:pStyle w:val="4"/>
        <w:keepNext w:val="0"/>
        <w:keepLines w:val="0"/>
        <w:widowControl/>
        <w:suppressLineNumbers w:val="0"/>
        <w:wordWrap w:val="0"/>
        <w:spacing w:before="0" w:beforeAutospacing="0" w:after="0" w:afterAutospacing="0" w:line="560" w:lineRule="atLeast"/>
        <w:ind w:left="0" w:right="0" w:firstLine="640"/>
        <w:jc w:val="right"/>
        <w:rPr>
          <w:rFonts w:hint="eastAsia" w:ascii="仿宋" w:hAnsi="仿宋" w:eastAsia="仿宋" w:cs="仿宋"/>
          <w:sz w:val="32"/>
          <w:szCs w:val="32"/>
          <w:shd w:val="clear" w:fill="FFFFFF"/>
          <w:lang w:eastAsia="zh-CN"/>
        </w:rPr>
      </w:pPr>
      <w:r>
        <w:rPr>
          <w:rFonts w:hint="eastAsia" w:ascii="仿宋" w:hAnsi="仿宋" w:eastAsia="仿宋" w:cs="仿宋"/>
          <w:sz w:val="32"/>
          <w:szCs w:val="32"/>
          <w:shd w:val="clear" w:fill="FFFFFF"/>
          <w:lang w:eastAsia="zh-CN"/>
        </w:rPr>
        <w:t>通州区商务委员会</w:t>
      </w:r>
      <w:r>
        <w:rPr>
          <w:rFonts w:hint="eastAsia" w:ascii="仿宋" w:hAnsi="仿宋" w:eastAsia="仿宋" w:cs="仿宋"/>
          <w:sz w:val="32"/>
          <w:szCs w:val="32"/>
          <w:shd w:val="clear" w:fill="FFFFFF"/>
          <w:lang w:val="en-US" w:eastAsia="zh-CN"/>
        </w:rPr>
        <w:t xml:space="preserve">  </w:t>
      </w:r>
    </w:p>
    <w:p>
      <w:pPr>
        <w:pStyle w:val="4"/>
        <w:keepNext w:val="0"/>
        <w:keepLines w:val="0"/>
        <w:widowControl/>
        <w:suppressLineNumbers w:val="0"/>
        <w:wordWrap w:val="0"/>
        <w:spacing w:before="0" w:beforeAutospacing="0" w:after="0" w:afterAutospacing="0" w:line="560" w:lineRule="atLeast"/>
        <w:ind w:left="0" w:right="0" w:firstLine="640"/>
        <w:jc w:val="right"/>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lang w:val="en-US" w:eastAsia="zh-CN"/>
        </w:rPr>
        <w:t xml:space="preserve">2019年3月  </w:t>
      </w:r>
    </w:p>
    <w:p>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shd w:val="clear" w:fill="FFFFFF"/>
          <w:lang w:eastAsia="zh-CN"/>
        </w:rPr>
      </w:pPr>
      <w:r>
        <w:rPr>
          <w:rFonts w:hint="eastAsia" w:ascii="仿宋" w:hAnsi="仿宋" w:eastAsia="仿宋" w:cs="仿宋"/>
          <w:sz w:val="32"/>
          <w:szCs w:val="32"/>
          <w:shd w:val="clear" w:fill="FFFFFF"/>
          <w:lang w:eastAsia="zh-CN"/>
        </w:rPr>
        <w:br w:type="page"/>
      </w:r>
    </w:p>
    <w:tbl>
      <w:tblPr>
        <w:tblStyle w:val="9"/>
        <w:tblW w:w="9555" w:type="dxa"/>
        <w:jc w:val="center"/>
        <w:tblInd w:w="93" w:type="dxa"/>
        <w:tblLayout w:type="fixed"/>
        <w:tblCellMar>
          <w:top w:w="0" w:type="dxa"/>
          <w:left w:w="108" w:type="dxa"/>
          <w:bottom w:w="0" w:type="dxa"/>
          <w:right w:w="108" w:type="dxa"/>
        </w:tblCellMar>
      </w:tblPr>
      <w:tblGrid>
        <w:gridCol w:w="7755"/>
        <w:gridCol w:w="720"/>
        <w:gridCol w:w="1080"/>
      </w:tblGrid>
      <w:tr>
        <w:tblPrEx>
          <w:tblLayout w:type="fixed"/>
          <w:tblCellMar>
            <w:top w:w="0" w:type="dxa"/>
            <w:left w:w="108" w:type="dxa"/>
            <w:bottom w:w="0" w:type="dxa"/>
            <w:right w:w="108" w:type="dxa"/>
          </w:tblCellMar>
        </w:tblPrEx>
        <w:trPr>
          <w:trHeight w:val="1204" w:hRule="atLeast"/>
          <w:jc w:val="center"/>
        </w:trPr>
        <w:tc>
          <w:tcPr>
            <w:tcW w:w="9555" w:type="dxa"/>
            <w:gridSpan w:val="3"/>
            <w:tcBorders>
              <w:top w:val="nil"/>
              <w:left w:val="nil"/>
              <w:bottom w:val="nil"/>
              <w:right w:val="nil"/>
            </w:tcBorders>
            <w:shd w:val="clear" w:color="FFFFFF" w:fill="auto"/>
            <w:vAlign w:val="center"/>
          </w:tcPr>
          <w:p>
            <w:pPr>
              <w:pStyle w:val="4"/>
              <w:keepNext w:val="0"/>
              <w:keepLines w:val="0"/>
              <w:widowControl/>
              <w:suppressLineNumbers w:val="0"/>
              <w:spacing w:before="0" w:beforeAutospacing="0" w:after="0" w:afterAutospacing="0" w:line="560" w:lineRule="atLeast"/>
              <w:ind w:left="0" w:right="0" w:firstLine="640"/>
              <w:jc w:val="center"/>
              <w:rPr>
                <w:rFonts w:hint="eastAsia" w:ascii="方正小标宋简体" w:hAnsi="方正小标宋简体" w:eastAsia="方正小标宋简体" w:cs="方正小标宋简体"/>
                <w:sz w:val="32"/>
                <w:szCs w:val="32"/>
                <w:shd w:val="clear" w:fill="FFFFFF"/>
                <w:lang w:val="en-US" w:eastAsia="zh-CN"/>
              </w:rPr>
            </w:pPr>
            <w:r>
              <w:rPr>
                <w:rFonts w:hint="eastAsia" w:ascii="方正小标宋简体" w:hAnsi="方正小标宋简体" w:eastAsia="方正小标宋简体" w:cs="方正小标宋简体"/>
                <w:sz w:val="32"/>
                <w:szCs w:val="32"/>
                <w:shd w:val="clear" w:fill="FFFFFF"/>
                <w:lang w:eastAsia="zh-CN"/>
              </w:rPr>
              <w:t>通州区商务委员会政府信息公开情况统计表</w:t>
            </w:r>
          </w:p>
          <w:p>
            <w:pPr>
              <w:pStyle w:val="4"/>
              <w:keepNext w:val="0"/>
              <w:keepLines w:val="0"/>
              <w:widowControl/>
              <w:suppressLineNumbers w:val="0"/>
              <w:spacing w:before="0" w:beforeAutospacing="0" w:after="0" w:afterAutospacing="0" w:line="560" w:lineRule="atLeast"/>
              <w:ind w:left="0" w:right="0" w:firstLine="640"/>
              <w:jc w:val="center"/>
              <w:rPr>
                <w:rFonts w:hint="eastAsia" w:ascii="方正小标宋简体" w:hAnsi="宋体" w:eastAsia="方正小标宋简体" w:cs="宋体"/>
                <w:color w:val="000000"/>
                <w:kern w:val="0"/>
                <w:sz w:val="44"/>
                <w:szCs w:val="44"/>
              </w:rPr>
            </w:pPr>
            <w:r>
              <w:rPr>
                <w:rFonts w:hint="eastAsia" w:ascii="方正小标宋简体" w:hAnsi="方正小标宋简体" w:eastAsia="方正小标宋简体" w:cs="方正小标宋简体"/>
                <w:sz w:val="32"/>
                <w:szCs w:val="32"/>
                <w:shd w:val="clear" w:fill="FFFFFF"/>
                <w:lang w:eastAsia="zh-CN"/>
              </w:rPr>
              <w:t>（</w:t>
            </w:r>
            <w:r>
              <w:rPr>
                <w:rFonts w:hint="eastAsia" w:ascii="方正小标宋简体" w:hAnsi="方正小标宋简体" w:eastAsia="方正小标宋简体" w:cs="方正小标宋简体"/>
                <w:sz w:val="32"/>
                <w:szCs w:val="32"/>
                <w:shd w:val="clear" w:fill="FFFFFF"/>
                <w:lang w:val="en-US" w:eastAsia="zh-CN"/>
              </w:rPr>
              <w:t>2018年度</w:t>
            </w:r>
            <w:r>
              <w:rPr>
                <w:rFonts w:hint="eastAsia" w:ascii="方正小标宋简体" w:hAnsi="方正小标宋简体" w:eastAsia="方正小标宋简体" w:cs="方正小标宋简体"/>
                <w:sz w:val="32"/>
                <w:szCs w:val="32"/>
                <w:shd w:val="clear" w:fill="FFFFFF"/>
                <w:lang w:eastAsia="zh-CN"/>
              </w:rPr>
              <w:t>）</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243</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nil"/>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60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64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78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5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69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72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52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7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tcBorders>
              <w:top w:val="nil"/>
              <w:left w:val="single" w:color="auto" w:sz="4" w:space="0"/>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tcBorders>
              <w:top w:val="single" w:color="auto" w:sz="8" w:space="0"/>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243</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both"/>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 xml:space="preserve">  1</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tcBorders>
              <w:top w:val="nil"/>
              <w:left w:val="nil"/>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bl>
    <w:p>
      <w:pPr>
        <w:spacing w:line="560" w:lineRule="exact"/>
        <w:rPr>
          <w:rFonts w:hint="eastAsia" w:ascii="仿宋_GB2312" w:eastAsia="仿宋_GB2312"/>
          <w:sz w:val="32"/>
          <w:szCs w:val="32"/>
        </w:rPr>
      </w:pPr>
      <w:bookmarkStart w:id="0" w:name="_GoBack"/>
      <w:bookmarkEnd w:id="0"/>
    </w:p>
    <w:p>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shd w:val="clear" w:fill="FFFFFF"/>
          <w:lang w:eastAsia="zh-CN"/>
        </w:rPr>
      </w:pPr>
    </w:p>
    <w:p>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shd w:val="clear" w:fill="FFFFFF"/>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altName w:val="PMingLiU-ExtB"/>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altName w:val="Courier New"/>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中文标题">
    <w:altName w:val="Courier New"/>
    <w:panose1 w:val="00000000000000000000"/>
    <w:charset w:val="00"/>
    <w:family w:val="auto"/>
    <w:pitch w:val="default"/>
    <w:sig w:usb0="00000000" w:usb1="00000000" w:usb2="00000000" w:usb3="00000000" w:csb0="00000000" w:csb1="00000000"/>
  </w:font>
  <w:font w:name="+西文正文">
    <w:altName w:val="Courier New"/>
    <w:panose1 w:val="00000000000000000000"/>
    <w:charset w:val="00"/>
    <w:family w:val="auto"/>
    <w:pitch w:val="default"/>
    <w:sig w:usb0="00000000" w:usb1="00000000" w:usb2="00000000" w:usb3="00000000" w:csb0="00000000" w:csb1="00000000"/>
  </w:font>
  <w:font w:name="Wingdings">
    <w:altName w:val="Courier New"/>
    <w:panose1 w:val="00000000000000000000"/>
    <w:charset w:val="00"/>
    <w:family w:val="auto"/>
    <w:pitch w:val="default"/>
    <w:sig w:usb0="00000000" w:usb1="00000000" w:usb2="00000000" w:usb3="00000000" w:csb0="00000000" w:csb1="00000000"/>
  </w:font>
  <w:font w:name="汉仪大宋简">
    <w:altName w:val="Arial"/>
    <w:panose1 w:val="00000000000000000000"/>
    <w:charset w:val="00"/>
    <w:family w:val="decorative"/>
    <w:pitch w:val="default"/>
    <w:sig w:usb0="00000000" w:usb1="00000000" w:usb2="00000000"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楷体">
    <w:panose1 w:val="02010609060101010101"/>
    <w:charset w:val="86"/>
    <w:family w:val="swiss"/>
    <w:pitch w:val="default"/>
    <w:sig w:usb0="800002BF" w:usb1="38CF7CFA" w:usb2="00000016" w:usb3="00000000" w:csb0="00040001" w:csb1="00000000"/>
  </w:font>
  <w:font w:name="华文仿宋">
    <w:altName w:val="仿宋_GB2312"/>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00" w:usb3="00000000" w:csb0="0004009F" w:csb1="DFD70000"/>
  </w:font>
  <w:font w:name="小标宋">
    <w:altName w:val="微软雅黑"/>
    <w:panose1 w:val="03000509000000000000"/>
    <w:charset w:val="86"/>
    <w:family w:val="auto"/>
    <w:pitch w:val="default"/>
    <w:sig w:usb0="00000000" w:usb1="00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
    <w:altName w:val="仿宋_GB2312"/>
    <w:panose1 w:val="00000000000000000000"/>
    <w:charset w:val="00"/>
    <w:family w:val="auto"/>
    <w:pitch w:val="default"/>
    <w:sig w:usb0="00000000" w:usb1="00000000" w:usb2="00000000" w:usb3="00000000" w:csb0="00000000" w:csb1="00000000"/>
  </w:font>
  <w:font w:name="Verdana">
    <w:altName w:val="Tahoma"/>
    <w:panose1 w:val="020B0604030504040204"/>
    <w:charset w:val="00"/>
    <w:family w:val="swiss"/>
    <w:pitch w:val="default"/>
    <w:sig w:usb0="00000000" w:usb1="00000000" w:usb2="00000010" w:usb3="00000000" w:csb0="0000019F" w:csb1="00000000"/>
  </w:font>
  <w:font w:name="Candara">
    <w:altName w:val="Segoe UI Light"/>
    <w:panose1 w:val="020E0502030303020204"/>
    <w:charset w:val="00"/>
    <w:family w:val="swiss"/>
    <w:pitch w:val="default"/>
    <w:sig w:usb0="00000000" w:usb1="00000000" w:usb2="00000000" w:usb3="00000000" w:csb0="0000019F" w:csb1="00000000"/>
  </w:font>
  <w:font w:name="Tahoma">
    <w:panose1 w:val="020B0604030504040204"/>
    <w:charset w:val="00"/>
    <w:family w:val="auto"/>
    <w:pitch w:val="default"/>
    <w:sig w:usb0="E1002EFF" w:usb1="C000605B" w:usb2="00000029" w:usb3="00000000" w:csb0="200101FF" w:csb1="20280000"/>
  </w:font>
  <w:font w:name="Segoe UI Light">
    <w:panose1 w:val="020B0502040204020203"/>
    <w:charset w:val="00"/>
    <w:family w:val="auto"/>
    <w:pitch w:val="default"/>
    <w:sig w:usb0="E00002FF" w:usb1="4000A47B" w:usb2="00000001"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HiddenHorzOCR">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94DB9"/>
    <w:rsid w:val="01B049F6"/>
    <w:rsid w:val="0A194DB9"/>
    <w:rsid w:val="0DF50679"/>
    <w:rsid w:val="0E405A29"/>
    <w:rsid w:val="28AB62EE"/>
    <w:rsid w:val="2C8860F2"/>
    <w:rsid w:val="3B126E93"/>
    <w:rsid w:val="40BE6AC4"/>
    <w:rsid w:val="41D87AA7"/>
    <w:rsid w:val="643C7B30"/>
    <w:rsid w:val="70E946BC"/>
    <w:rsid w:val="7BAB1E0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color w:val="000000"/>
      <w:kern w:val="0"/>
      <w:sz w:val="24"/>
      <w:szCs w:val="24"/>
      <w:lang w:val="en-US" w:eastAsia="zh-CN" w:bidi="ar-SA"/>
    </w:rPr>
  </w:style>
  <w:style w:type="character" w:styleId="6">
    <w:name w:val="FollowedHyperlink"/>
    <w:basedOn w:val="5"/>
    <w:qFormat/>
    <w:uiPriority w:val="0"/>
    <w:rPr>
      <w:color w:val="333333"/>
      <w:u w:val="none"/>
    </w:rPr>
  </w:style>
  <w:style w:type="character" w:styleId="7">
    <w:name w:val="Emphasis"/>
    <w:basedOn w:val="5"/>
    <w:qFormat/>
    <w:uiPriority w:val="0"/>
  </w:style>
  <w:style w:type="character" w:styleId="8">
    <w:name w:val="Hyperlink"/>
    <w:basedOn w:val="5"/>
    <w:qFormat/>
    <w:uiPriority w:val="0"/>
    <w:rPr>
      <w:color w:val="333333"/>
      <w:u w:val="none"/>
    </w:rPr>
  </w:style>
  <w:style w:type="character" w:customStyle="1" w:styleId="10">
    <w:name w:val="jiuc"/>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2019-01-29T03:07:00Z</dcterms:created>
  <dc:creator>Administrator</dc:creator>
  <cp:lastModifiedBy>Administrator</cp:lastModifiedBy>
  <cp:lastPrinted>2019-01-31T07:26:00Z</cp:lastPrinted>
  <dcterms:modified xsi:type="dcterms:W3CDTF">2019-03-20T02:30:56Z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