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40"/>
          <w:szCs w:val="32"/>
        </w:rPr>
      </w:pPr>
      <w:r>
        <w:rPr>
          <w:rFonts w:hint="eastAsia" w:ascii="方正小标宋简体" w:eastAsia="方正小标宋简体"/>
          <w:sz w:val="40"/>
          <w:szCs w:val="32"/>
        </w:rPr>
        <w:t>北京市通州区安全生产监督管理局</w:t>
      </w:r>
    </w:p>
    <w:p>
      <w:pPr>
        <w:spacing w:line="540" w:lineRule="exact"/>
        <w:jc w:val="center"/>
        <w:rPr>
          <w:rFonts w:ascii="方正小标宋简体" w:eastAsia="方正小标宋简体"/>
          <w:sz w:val="40"/>
          <w:szCs w:val="32"/>
        </w:rPr>
      </w:pPr>
      <w:r>
        <w:rPr>
          <w:rFonts w:ascii="方正小标宋简体" w:eastAsia="方正小标宋简体"/>
          <w:sz w:val="40"/>
          <w:szCs w:val="32"/>
        </w:rPr>
        <w:t>201</w:t>
      </w:r>
      <w:r>
        <w:rPr>
          <w:rFonts w:hint="eastAsia" w:ascii="方正小标宋简体" w:eastAsia="方正小标宋简体"/>
          <w:sz w:val="40"/>
          <w:szCs w:val="32"/>
        </w:rPr>
        <w:t>8年政府</w:t>
      </w:r>
      <w:r>
        <w:rPr>
          <w:rFonts w:hint="eastAsia" w:ascii="方正小标宋简体" w:eastAsia="方正小标宋简体"/>
          <w:sz w:val="40"/>
          <w:szCs w:val="32"/>
          <w:lang w:eastAsia="zh-CN"/>
        </w:rPr>
        <w:t>信息</w:t>
      </w:r>
      <w:r>
        <w:rPr>
          <w:rFonts w:hint="eastAsia" w:ascii="方正小标宋简体" w:eastAsia="方正小标宋简体"/>
          <w:sz w:val="40"/>
          <w:szCs w:val="32"/>
        </w:rPr>
        <w:t>公开工作</w:t>
      </w:r>
      <w:r>
        <w:rPr>
          <w:rFonts w:hint="eastAsia" w:ascii="方正小标宋简体" w:eastAsia="方正小标宋简体"/>
          <w:sz w:val="40"/>
          <w:szCs w:val="32"/>
          <w:lang w:eastAsia="zh-CN"/>
        </w:rPr>
        <w:t>年度</w:t>
      </w:r>
      <w:r>
        <w:rPr>
          <w:rFonts w:hint="eastAsia" w:ascii="方正小标宋简体" w:eastAsia="方正小标宋简体"/>
          <w:sz w:val="40"/>
          <w:szCs w:val="32"/>
        </w:rPr>
        <w:t>报告</w:t>
      </w:r>
    </w:p>
    <w:p>
      <w:pPr>
        <w:spacing w:line="540" w:lineRule="exact"/>
        <w:ind w:firstLine="640" w:firstLineChars="200"/>
        <w:rPr>
          <w:rFonts w:ascii="仿宋_GB2312" w:eastAsia="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本报告是根据《中华人民共和国政府信息公开条例》（以下简称《条例》）要求，由北京市通州区安全监管局编制。</w:t>
      </w: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全文包括概述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行政机关主动公开政府信息的情况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行政机关依申请公开政府信息和不予公开政府信息的情况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因政府信息公开申请行政复议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政府信息公开工作存在的不足以及改进措施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eastAsia="zh-CN"/>
        </w:rPr>
        <w:t>通州区安全生产监督管理局</w:t>
      </w:r>
      <w:r>
        <w:rPr>
          <w:rFonts w:hint="eastAsia" w:ascii="仿宋_GB2312" w:hAnsi="仿宋_GB2312" w:eastAsia="仿宋_GB2312" w:cs="仿宋_GB2312"/>
          <w:sz w:val="32"/>
          <w:szCs w:val="32"/>
        </w:rPr>
        <w:t>政府信息公开情况统计表（2018年度）》。</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autoSpaceDE/>
        <w:autoSpaceDN/>
        <w:bidi w:val="0"/>
        <w:snapToGrid/>
        <w:spacing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本报告中所列数据的统计期限自201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年1月1日起，至201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年12月31日止。本报告的电子版可在通州区</w:t>
      </w:r>
      <w:r>
        <w:rPr>
          <w:rFonts w:hint="eastAsia" w:ascii="仿宋_GB2312" w:hAnsi="仿宋_GB2312" w:eastAsia="仿宋_GB2312" w:cs="仿宋_GB2312"/>
          <w:sz w:val="32"/>
          <w:szCs w:val="32"/>
          <w:lang w:eastAsia="zh-CN"/>
        </w:rPr>
        <w:t>政府信息公开专栏</w:t>
      </w:r>
      <w:r>
        <w:rPr>
          <w:rFonts w:hint="eastAsia" w:ascii="仿宋_GB2312" w:hAnsi="仿宋_GB2312" w:eastAsia="仿宋_GB2312" w:cs="仿宋_GB2312"/>
          <w:w w:val="100"/>
          <w:sz w:val="32"/>
          <w:szCs w:val="32"/>
        </w:rPr>
        <w:t>http://www.beijing.gov.cn/zfxxgk/tzq11L026/zfxxgknb/tzbm_yjlist_aj.shtml</w:t>
      </w:r>
      <w:r>
        <w:rPr>
          <w:rFonts w:hint="eastAsia" w:ascii="仿宋_GB2312" w:hAnsi="仿宋_GB2312" w:eastAsia="仿宋_GB2312" w:cs="仿宋_GB2312"/>
          <w:sz w:val="32"/>
          <w:szCs w:val="32"/>
        </w:rPr>
        <w:t>上下载。如对本报告有任何疑问，请联系区安全监管局办公室（地址:北京市通州区新华北路117号；邮编：101149；联系电话：010-</w:t>
      </w:r>
      <w:r>
        <w:rPr>
          <w:rFonts w:hint="eastAsia" w:ascii="仿宋_GB2312" w:hAnsi="仿宋_GB2312" w:eastAsia="仿宋_GB2312" w:cs="仿宋_GB2312"/>
          <w:sz w:val="32"/>
          <w:szCs w:val="32"/>
          <w:lang w:val="en-US" w:eastAsia="zh-CN"/>
        </w:rPr>
        <w:t>69544193</w:t>
      </w:r>
      <w:r>
        <w:rPr>
          <w:rFonts w:hint="eastAsia" w:ascii="仿宋_GB2312" w:hAnsi="仿宋_GB2312" w:eastAsia="仿宋_GB2312" w:cs="仿宋_GB2312"/>
          <w:sz w:val="32"/>
          <w:szCs w:val="32"/>
        </w:rPr>
        <w:t>；电子邮箱：tz</w:t>
      </w:r>
      <w:r>
        <w:rPr>
          <w:rFonts w:hint="eastAsia" w:ascii="仿宋_GB2312" w:hAnsi="仿宋_GB2312" w:eastAsia="仿宋_GB2312" w:cs="仿宋_GB2312"/>
          <w:sz w:val="32"/>
          <w:szCs w:val="32"/>
          <w:lang w:val="en-US" w:eastAsia="zh-CN"/>
        </w:rPr>
        <w:t>q</w:t>
      </w:r>
      <w:r>
        <w:rPr>
          <w:rFonts w:hint="eastAsia" w:ascii="仿宋_GB2312" w:hAnsi="仿宋_GB2312" w:eastAsia="仿宋_GB2312" w:cs="仿宋_GB2312"/>
          <w:sz w:val="32"/>
          <w:szCs w:val="32"/>
        </w:rPr>
        <w:t>ajjbgs@163.com）。</w:t>
      </w:r>
    </w:p>
    <w:p>
      <w:pPr>
        <w:keepNext w:val="0"/>
        <w:keepLines w:val="0"/>
        <w:pageBreakBefore w:val="0"/>
        <w:numPr>
          <w:ilvl w:val="0"/>
          <w:numId w:val="1"/>
        </w:numPr>
        <w:kinsoku/>
        <w:wordWrap/>
        <w:overflowPunct/>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概述</w:t>
      </w:r>
    </w:p>
    <w:p>
      <w:pPr>
        <w:keepNext w:val="0"/>
        <w:keepLines w:val="0"/>
        <w:pageBreakBefore w:val="0"/>
        <w:numPr>
          <w:ilvl w:val="0"/>
          <w:numId w:val="0"/>
        </w:numPr>
        <w:kinsoku/>
        <w:wordWrap/>
        <w:overflowPunct/>
        <w:autoSpaceDE/>
        <w:autoSpaceDN/>
        <w:bidi w:val="0"/>
        <w:snapToGrid/>
        <w:spacing w:line="600" w:lineRule="exact"/>
        <w:ind w:left="0" w:leftChars="0" w:right="0" w:rightChars="0"/>
        <w:textAlignment w:val="auto"/>
        <w:outlineLvl w:val="9"/>
        <w:rPr>
          <w:rFonts w:ascii="Times New Roman" w:hAnsi="Times New Roman" w:eastAsia="黑体"/>
          <w:sz w:val="32"/>
          <w:szCs w:val="32"/>
        </w:rPr>
      </w:pPr>
      <w:r>
        <w:rPr>
          <w:rFonts w:hint="eastAsia" w:ascii="Times New Roman" w:hAnsi="Times New Roman" w:eastAsia="仿宋_GB2312"/>
          <w:sz w:val="32"/>
          <w:szCs w:val="32"/>
          <w:lang w:val="en-US" w:eastAsia="zh-CN"/>
        </w:rPr>
        <w:t xml:space="preserve">    </w:t>
      </w:r>
      <w:r>
        <w:rPr>
          <w:rFonts w:hint="eastAsia" w:ascii="仿宋_GB2312" w:hAnsi="仿宋_GB2312" w:eastAsia="仿宋_GB2312" w:cs="仿宋_GB2312"/>
          <w:sz w:val="32"/>
          <w:szCs w:val="32"/>
        </w:rPr>
        <w:t>根据《条例》要求，区</w:t>
      </w:r>
      <w:r>
        <w:rPr>
          <w:rFonts w:hint="eastAsia" w:ascii="仿宋_GB2312" w:hAnsi="仿宋_GB2312" w:eastAsia="仿宋_GB2312" w:cs="仿宋_GB2312"/>
          <w:sz w:val="32"/>
          <w:szCs w:val="32"/>
          <w:lang w:eastAsia="zh-CN"/>
        </w:rPr>
        <w:t>安全监管局</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为全</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政府信息公开工作主管部门，负责推进、指导、协调、监督全</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政府信息公开工作，配备了3名</w:t>
      </w:r>
      <w:r>
        <w:rPr>
          <w:rFonts w:hint="eastAsia" w:ascii="仿宋_GB2312" w:hAnsi="仿宋_GB2312" w:eastAsia="仿宋_GB2312" w:cs="仿宋_GB2312"/>
          <w:sz w:val="32"/>
          <w:szCs w:val="32"/>
          <w:lang w:eastAsia="zh-CN"/>
        </w:rPr>
        <w:t>政府信息公开工作人员</w:t>
      </w:r>
      <w:r>
        <w:rPr>
          <w:rFonts w:hint="eastAsia" w:ascii="仿宋_GB2312" w:hAnsi="仿宋_GB2312" w:eastAsia="仿宋_GB2312" w:cs="仿宋_GB2312"/>
          <w:sz w:val="32"/>
          <w:szCs w:val="32"/>
        </w:rPr>
        <w:t>，设立了1个专门的信息申请受理点</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精心准备</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公开内容，创新</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公开形式，</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公开制度，</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公开监督。截至201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政府信息公开工作运行正常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各项工作均得到了顺利开展。</w:t>
      </w:r>
    </w:p>
    <w:p>
      <w:pPr>
        <w:keepNext w:val="0"/>
        <w:keepLines w:val="0"/>
        <w:pageBreakBefore w:val="0"/>
        <w:kinsoku/>
        <w:wordWrap/>
        <w:overflowPunct/>
        <w:autoSpaceDE/>
        <w:autoSpaceDN/>
        <w:bidi w:val="0"/>
        <w:snapToGrid/>
        <w:spacing w:line="600" w:lineRule="exact"/>
        <w:ind w:left="0" w:leftChars="0" w:right="0" w:rightChars="0"/>
        <w:textAlignment w:val="auto"/>
        <w:outlineLvl w:val="9"/>
        <w:rPr>
          <w:rFonts w:hint="eastAsia" w:ascii="Times New Roman" w:hAnsi="Times New Roman" w:eastAsia="楷体_GB2312"/>
          <w:b w:val="0"/>
          <w:bCs/>
          <w:sz w:val="32"/>
          <w:szCs w:val="32"/>
          <w:lang w:eastAsia="zh-CN"/>
        </w:rPr>
      </w:pPr>
      <w:r>
        <w:rPr>
          <w:rFonts w:hint="eastAsia" w:ascii="Times New Roman" w:hAnsi="Times New Roman" w:eastAsia="楷体_GB2312"/>
          <w:b w:val="0"/>
          <w:bCs/>
          <w:sz w:val="32"/>
          <w:szCs w:val="32"/>
          <w:lang w:val="en-US" w:eastAsia="zh-CN"/>
        </w:rPr>
        <w:t xml:space="preserve">    </w:t>
      </w:r>
      <w:r>
        <w:rPr>
          <w:rFonts w:hint="eastAsia" w:ascii="Times New Roman" w:hAnsi="Times New Roman" w:eastAsia="楷体_GB2312"/>
          <w:b w:val="0"/>
          <w:bCs/>
          <w:sz w:val="32"/>
          <w:szCs w:val="32"/>
        </w:rPr>
        <w:t>（一）完善工作机制，明确职责分工</w:t>
      </w:r>
    </w:p>
    <w:p>
      <w:pPr>
        <w:keepNext w:val="0"/>
        <w:keepLines w:val="0"/>
        <w:pageBreakBefore w:val="0"/>
        <w:kinsoku/>
        <w:wordWrap/>
        <w:overflowPunct/>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b/>
          <w:sz w:val="32"/>
          <w:szCs w:val="32"/>
        </w:rPr>
        <w:t>一是</w:t>
      </w:r>
      <w:r>
        <w:rPr>
          <w:rFonts w:hint="eastAsia" w:ascii="仿宋_GB2312" w:hAnsi="仿宋_GB2312" w:eastAsia="仿宋_GB2312" w:cs="仿宋_GB2312"/>
          <w:sz w:val="32"/>
          <w:szCs w:val="32"/>
        </w:rPr>
        <w:t>强化组织领导</w:t>
      </w:r>
      <w:r>
        <w:rPr>
          <w:rFonts w:hint="eastAsia" w:ascii="仿宋_GB2312" w:hAnsi="仿宋_GB2312" w:eastAsia="仿宋_GB2312" w:cs="仿宋_GB2312"/>
          <w:sz w:val="32"/>
          <w:szCs w:val="32"/>
          <w:lang w:eastAsia="zh-CN"/>
        </w:rPr>
        <w:t>，规范工作流程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2018年以来，我局</w:t>
      </w:r>
      <w:r>
        <w:rPr>
          <w:rFonts w:hint="eastAsia" w:ascii="仿宋_GB2312" w:hAnsi="仿宋_GB2312" w:eastAsia="仿宋_GB2312" w:cs="仿宋_GB2312"/>
          <w:sz w:val="32"/>
          <w:szCs w:val="32"/>
          <w:lang w:eastAsia="zh-CN"/>
        </w:rPr>
        <w:t>严格落实</w:t>
      </w:r>
      <w:r>
        <w:rPr>
          <w:rFonts w:hint="eastAsia" w:ascii="仿宋_GB2312" w:hAnsi="仿宋_GB2312" w:eastAsia="仿宋_GB2312" w:cs="仿宋_GB2312"/>
          <w:sz w:val="32"/>
          <w:szCs w:val="32"/>
        </w:rPr>
        <w:t>《通州区安全监管局政府信息公开工作方案》及《通州区安全生产监督管理局政务公开工作管理办法》</w:t>
      </w:r>
      <w:r>
        <w:rPr>
          <w:rFonts w:hint="eastAsia" w:ascii="仿宋_GB2312" w:hAnsi="仿宋_GB2312" w:eastAsia="仿宋_GB2312" w:cs="仿宋_GB2312"/>
          <w:sz w:val="32"/>
          <w:szCs w:val="32"/>
          <w:lang w:eastAsia="zh-CN"/>
        </w:rPr>
        <w:t>等制度文件要求，</w:t>
      </w:r>
      <w:r>
        <w:rPr>
          <w:rFonts w:hint="eastAsia" w:ascii="仿宋_GB2312" w:hAnsi="仿宋_GB2312" w:eastAsia="仿宋_GB2312" w:cs="仿宋_GB2312"/>
          <w:sz w:val="32"/>
          <w:szCs w:val="32"/>
        </w:rPr>
        <w:t>坚持“主要领导亲自抓，分管领导具体抓，责任部门抓落实”的工作机制，由局办公室负责牵头，各科室积极配合</w:t>
      </w:r>
      <w:r>
        <w:rPr>
          <w:rFonts w:hint="eastAsia" w:ascii="仿宋_GB2312" w:hAnsi="仿宋_GB2312" w:eastAsia="仿宋_GB2312" w:cs="仿宋_GB2312"/>
          <w:sz w:val="32"/>
          <w:szCs w:val="32"/>
          <w:lang w:eastAsia="zh-CN"/>
        </w:rPr>
        <w:t>，不断规范信息</w:t>
      </w:r>
      <w:r>
        <w:rPr>
          <w:rFonts w:hint="eastAsia" w:ascii="仿宋_GB2312" w:hAnsi="仿宋_GB2312" w:eastAsia="仿宋_GB2312" w:cs="仿宋_GB2312"/>
          <w:sz w:val="32"/>
          <w:szCs w:val="32"/>
        </w:rPr>
        <w:t>公开相关工作的受理程序、处理流程、信息保密审查等环节。</w:t>
      </w:r>
    </w:p>
    <w:p>
      <w:pPr>
        <w:keepNext w:val="0"/>
        <w:keepLines w:val="0"/>
        <w:pageBreakBefore w:val="0"/>
        <w:kinsoku/>
        <w:wordWrap/>
        <w:overflowPunct/>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b/>
          <w:sz w:val="32"/>
          <w:szCs w:val="32"/>
        </w:rPr>
        <w:t>二是</w:t>
      </w:r>
      <w:r>
        <w:rPr>
          <w:rFonts w:hint="eastAsia" w:ascii="仿宋_GB2312" w:hAnsi="仿宋_GB2312" w:eastAsia="仿宋_GB2312" w:cs="仿宋_GB2312"/>
          <w:sz w:val="32"/>
          <w:szCs w:val="32"/>
          <w:lang w:eastAsia="zh-CN"/>
        </w:rPr>
        <w:t>明确职责分工，确保信息公开及时准确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为确保政务信息发布及时准确，我局</w:t>
      </w:r>
      <w:r>
        <w:rPr>
          <w:rFonts w:hint="eastAsia" w:ascii="仿宋_GB2312" w:hAnsi="仿宋_GB2312" w:eastAsia="仿宋_GB2312" w:cs="仿宋_GB2312"/>
          <w:sz w:val="32"/>
          <w:szCs w:val="32"/>
        </w:rPr>
        <w:t>指定局办公室1名人员作为</w:t>
      </w:r>
      <w:r>
        <w:rPr>
          <w:rFonts w:hint="eastAsia" w:ascii="仿宋_GB2312" w:hAnsi="仿宋_GB2312" w:eastAsia="仿宋_GB2312" w:cs="仿宋_GB2312"/>
          <w:sz w:val="32"/>
          <w:szCs w:val="32"/>
          <w:lang w:eastAsia="zh-CN"/>
        </w:rPr>
        <w:t>信息公开专职人员</w:t>
      </w:r>
      <w:r>
        <w:rPr>
          <w:rFonts w:hint="eastAsia" w:ascii="仿宋_GB2312" w:hAnsi="仿宋_GB2312" w:eastAsia="仿宋_GB2312" w:cs="仿宋_GB2312"/>
          <w:sz w:val="32"/>
          <w:szCs w:val="32"/>
        </w:rPr>
        <w:t>，专职负责政府信息公开日常更新、维护</w:t>
      </w:r>
      <w:r>
        <w:rPr>
          <w:rFonts w:hint="eastAsia" w:ascii="仿宋_GB2312" w:hAnsi="仿宋_GB2312" w:eastAsia="仿宋_GB2312" w:cs="仿宋_GB2312"/>
          <w:sz w:val="32"/>
          <w:szCs w:val="32"/>
          <w:lang w:eastAsia="zh-CN"/>
        </w:rPr>
        <w:t>、监督审核</w:t>
      </w:r>
      <w:r>
        <w:rPr>
          <w:rFonts w:hint="eastAsia" w:ascii="仿宋_GB2312" w:hAnsi="仿宋_GB2312" w:eastAsia="仿宋_GB2312" w:cs="仿宋_GB2312"/>
          <w:sz w:val="32"/>
          <w:szCs w:val="32"/>
        </w:rPr>
        <w:t>等工作</w:t>
      </w:r>
      <w:r>
        <w:rPr>
          <w:rFonts w:hint="eastAsia" w:ascii="仿宋_GB2312" w:hAnsi="仿宋_GB2312" w:eastAsia="仿宋_GB2312" w:cs="仿宋_GB2312"/>
          <w:sz w:val="32"/>
          <w:szCs w:val="32"/>
          <w:lang w:eastAsia="zh-CN"/>
        </w:rPr>
        <w:t>，局内各科室确定一名信息公开工作人员按照职责分工和权限，负责涉及本科室工作范围内政务信息的采集、编辑和上报工作。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napToGrid/>
        <w:spacing w:beforeAutospacing="0" w:afterAutospacing="0" w:line="600" w:lineRule="exact"/>
        <w:ind w:left="0" w:leftChars="0" w:right="0" w:rightChars="0" w:firstLine="643"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kern w:val="0"/>
          <w:sz w:val="32"/>
          <w:szCs w:val="32"/>
          <w:lang w:val="en-US" w:eastAsia="zh-CN" w:bidi="ar"/>
        </w:rPr>
        <w:t>三是</w:t>
      </w:r>
      <w:r>
        <w:rPr>
          <w:rFonts w:hint="eastAsia" w:ascii="仿宋_GB2312" w:hAnsi="仿宋_GB2312" w:eastAsia="仿宋_GB2312" w:cs="仿宋_GB2312"/>
          <w:kern w:val="0"/>
          <w:sz w:val="32"/>
          <w:szCs w:val="32"/>
          <w:lang w:val="en-US" w:eastAsia="zh-CN" w:bidi="ar"/>
        </w:rPr>
        <w:t>积极配合完成“一区一网”建设改版工作。2018年，我局积极配合区政府办、区经信委开展“北京·通州”政务网站集约化平台建设改版工作，按照《通州区政务网站集约化建设方案》要求关闭原有局门户网站，将原网站数据迁移至区政府网站特色频道安全生产栏目中。在改版期间，我局指定专人负责做好沟通协调工作，及时更新发布相关信息，确保数据迁移准确完整，信息公开及时准确。</w:t>
      </w: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ascii="Times New Roman" w:hAnsi="Times New Roman" w:eastAsia="楷体_GB2312"/>
          <w:b w:val="0"/>
          <w:bCs/>
          <w:sz w:val="32"/>
          <w:szCs w:val="32"/>
        </w:rPr>
      </w:pPr>
      <w:r>
        <w:rPr>
          <w:rFonts w:hint="eastAsia" w:ascii="Times New Roman" w:hAnsi="Times New Roman" w:eastAsia="楷体_GB2312"/>
          <w:b w:val="0"/>
          <w:bCs/>
          <w:sz w:val="32"/>
          <w:szCs w:val="32"/>
        </w:rPr>
        <w:t>（二）拓宽公开渠道，创新公开形式</w:t>
      </w:r>
    </w:p>
    <w:p>
      <w:pPr>
        <w:keepNext w:val="0"/>
        <w:keepLines w:val="0"/>
        <w:pageBreakBefore w:val="0"/>
        <w:widowControl/>
        <w:kinsoku/>
        <w:wordWrap/>
        <w:overflowPunct/>
        <w:autoSpaceDE/>
        <w:autoSpaceDN/>
        <w:bidi w:val="0"/>
        <w:adjustRightInd w:val="0"/>
        <w:snapToGrid/>
        <w:spacing w:line="600" w:lineRule="exact"/>
        <w:ind w:left="0" w:leftChars="0" w:right="0" w:rightChars="0" w:firstLine="643" w:firstLineChars="200"/>
        <w:jc w:val="both"/>
        <w:textAlignment w:val="auto"/>
        <w:outlineLvl w:val="9"/>
        <w:rPr>
          <w:rFonts w:ascii="Times New Roman" w:hAnsi="Times New Roman" w:eastAsia="仿宋_GB2312"/>
          <w:color w:val="000000"/>
          <w:kern w:val="0"/>
          <w:sz w:val="32"/>
          <w:szCs w:val="32"/>
        </w:rPr>
      </w:pPr>
      <w:r>
        <w:rPr>
          <w:rFonts w:hint="eastAsia" w:ascii="Times New Roman" w:hAnsi="Times New Roman" w:eastAsia="仿宋_GB2312"/>
          <w:b/>
          <w:color w:val="000000"/>
          <w:kern w:val="0"/>
          <w:sz w:val="32"/>
          <w:szCs w:val="32"/>
        </w:rPr>
        <w:t>一是</w:t>
      </w:r>
      <w:r>
        <w:rPr>
          <w:rFonts w:hint="eastAsia" w:ascii="Times New Roman" w:hAnsi="Times New Roman" w:eastAsia="仿宋_GB2312"/>
          <w:color w:val="000000"/>
          <w:kern w:val="0"/>
          <w:sz w:val="32"/>
          <w:szCs w:val="32"/>
        </w:rPr>
        <w:t>以</w:t>
      </w:r>
      <w:r>
        <w:rPr>
          <w:rFonts w:hint="eastAsia" w:ascii="Times New Roman" w:hAnsi="Times New Roman" w:eastAsia="仿宋_GB2312"/>
          <w:color w:val="000000"/>
          <w:kern w:val="0"/>
          <w:sz w:val="32"/>
          <w:szCs w:val="32"/>
          <w:lang w:eastAsia="zh-CN"/>
        </w:rPr>
        <w:t>宣教活动</w:t>
      </w:r>
      <w:r>
        <w:rPr>
          <w:rFonts w:hint="eastAsia" w:ascii="Times New Roman" w:hAnsi="Times New Roman" w:eastAsia="仿宋_GB2312"/>
          <w:color w:val="000000"/>
          <w:kern w:val="0"/>
          <w:sz w:val="32"/>
          <w:szCs w:val="32"/>
        </w:rPr>
        <w:t>促进信息公开。以</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全国安全生产月</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、安全生产宣传教育“七进”活动、</w:t>
      </w:r>
      <w:r>
        <w:rPr>
          <w:rFonts w:hint="eastAsia" w:ascii="Times New Roman" w:hAnsi="Times New Roman" w:eastAsia="仿宋_GB2312"/>
          <w:color w:val="000000"/>
          <w:kern w:val="0"/>
          <w:sz w:val="32"/>
          <w:szCs w:val="32"/>
        </w:rPr>
        <w:t>“安全文化节”</w:t>
      </w:r>
      <w:r>
        <w:rPr>
          <w:rFonts w:hint="eastAsia" w:ascii="Times New Roman" w:hAnsi="Times New Roman" w:eastAsia="仿宋_GB2312"/>
          <w:color w:val="000000"/>
          <w:kern w:val="0"/>
          <w:sz w:val="32"/>
          <w:szCs w:val="32"/>
          <w:lang w:eastAsia="zh-CN"/>
        </w:rPr>
        <w:t>等</w:t>
      </w:r>
      <w:r>
        <w:rPr>
          <w:rFonts w:hint="eastAsia" w:ascii="Times New Roman" w:hAnsi="Times New Roman" w:eastAsia="仿宋_GB2312"/>
          <w:color w:val="000000"/>
          <w:kern w:val="0"/>
          <w:sz w:val="32"/>
          <w:szCs w:val="32"/>
        </w:rPr>
        <w:t>活动为</w:t>
      </w:r>
      <w:r>
        <w:rPr>
          <w:rFonts w:hint="eastAsia" w:ascii="Times New Roman" w:hAnsi="Times New Roman" w:eastAsia="仿宋_GB2312"/>
          <w:color w:val="000000"/>
          <w:kern w:val="0"/>
          <w:sz w:val="32"/>
          <w:szCs w:val="32"/>
          <w:lang w:eastAsia="zh-CN"/>
        </w:rPr>
        <w:t>契机</w:t>
      </w:r>
      <w:r>
        <w:rPr>
          <w:rFonts w:hint="eastAsia" w:ascii="Times New Roman" w:hAnsi="Times New Roman" w:eastAsia="仿宋_GB2312"/>
          <w:color w:val="000000"/>
          <w:kern w:val="0"/>
          <w:sz w:val="32"/>
          <w:szCs w:val="32"/>
        </w:rPr>
        <w:t>，</w:t>
      </w:r>
      <w:r>
        <w:rPr>
          <w:rFonts w:hint="eastAsia" w:ascii="仿宋_GB2312" w:hAnsi="仿宋" w:eastAsia="仿宋_GB2312"/>
          <w:sz w:val="32"/>
          <w:szCs w:val="32"/>
        </w:rPr>
        <w:t>创新</w:t>
      </w:r>
      <w:r>
        <w:rPr>
          <w:rFonts w:hint="eastAsia" w:ascii="仿宋_GB2312" w:hAnsi="仿宋" w:eastAsia="仿宋_GB2312"/>
          <w:sz w:val="32"/>
          <w:szCs w:val="32"/>
          <w:lang w:eastAsia="zh-CN"/>
        </w:rPr>
        <w:t>公开</w:t>
      </w:r>
      <w:r>
        <w:rPr>
          <w:rFonts w:hint="eastAsia" w:ascii="仿宋_GB2312" w:hAnsi="仿宋" w:eastAsia="仿宋_GB2312"/>
          <w:sz w:val="32"/>
          <w:szCs w:val="32"/>
        </w:rPr>
        <w:t>内容和形式</w:t>
      </w:r>
      <w:r>
        <w:rPr>
          <w:rFonts w:hint="eastAsia" w:ascii="仿宋_GB2312" w:hAnsi="仿宋" w:eastAsia="仿宋_GB2312"/>
          <w:sz w:val="32"/>
          <w:szCs w:val="32"/>
          <w:lang w:eastAsia="zh-CN"/>
        </w:rPr>
        <w:t>，</w:t>
      </w:r>
      <w:r>
        <w:rPr>
          <w:rFonts w:hint="eastAsia" w:ascii="Times New Roman" w:hAnsi="Times New Roman" w:eastAsia="仿宋_GB2312"/>
          <w:color w:val="000000"/>
          <w:kern w:val="0"/>
          <w:sz w:val="32"/>
          <w:szCs w:val="32"/>
        </w:rPr>
        <w:t>通过举办</w:t>
      </w:r>
      <w:r>
        <w:rPr>
          <w:rFonts w:hint="eastAsia" w:ascii="Times New Roman" w:hAnsi="Times New Roman" w:eastAsia="仿宋_GB2312"/>
          <w:color w:val="000000"/>
          <w:kern w:val="0"/>
          <w:sz w:val="32"/>
          <w:szCs w:val="32"/>
          <w:lang w:eastAsia="zh-CN"/>
        </w:rPr>
        <w:t>安全生产</w:t>
      </w:r>
      <w:r>
        <w:rPr>
          <w:rFonts w:hint="eastAsia" w:ascii="Times New Roman" w:hAnsi="Times New Roman" w:eastAsia="仿宋_GB2312"/>
          <w:color w:val="000000"/>
          <w:kern w:val="0"/>
          <w:sz w:val="32"/>
          <w:szCs w:val="32"/>
        </w:rPr>
        <w:t>知识竞赛、图板展览、政策法规咨询、应急演练</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安全生产大型公开课等形式多样、内容丰富、参与性强的宣传教育活动，</w:t>
      </w:r>
      <w:r>
        <w:rPr>
          <w:rFonts w:hint="eastAsia" w:ascii="Times New Roman" w:hAnsi="Times New Roman" w:eastAsia="仿宋_GB2312"/>
          <w:color w:val="000000"/>
          <w:kern w:val="0"/>
          <w:sz w:val="32"/>
          <w:szCs w:val="32"/>
          <w:lang w:eastAsia="zh-CN"/>
        </w:rPr>
        <w:t>让</w:t>
      </w:r>
      <w:r>
        <w:rPr>
          <w:rFonts w:hint="eastAsia" w:ascii="Times New Roman" w:hAnsi="Times New Roman" w:eastAsia="仿宋_GB2312"/>
          <w:color w:val="000000"/>
          <w:kern w:val="0"/>
          <w:sz w:val="32"/>
          <w:szCs w:val="32"/>
        </w:rPr>
        <w:t>广大职工、群众</w:t>
      </w:r>
      <w:r>
        <w:rPr>
          <w:rFonts w:hint="eastAsia" w:ascii="Times New Roman" w:hAnsi="Times New Roman" w:eastAsia="仿宋_GB2312"/>
          <w:color w:val="000000"/>
          <w:kern w:val="0"/>
          <w:sz w:val="32"/>
          <w:szCs w:val="32"/>
          <w:lang w:eastAsia="zh-CN"/>
        </w:rPr>
        <w:t>积极参与到</w:t>
      </w:r>
      <w:r>
        <w:rPr>
          <w:rFonts w:hint="eastAsia" w:ascii="Times New Roman" w:hAnsi="Times New Roman" w:eastAsia="仿宋_GB2312"/>
          <w:color w:val="000000"/>
          <w:kern w:val="0"/>
          <w:sz w:val="32"/>
          <w:szCs w:val="32"/>
        </w:rPr>
        <w:t>安全生产方针政策、法律法规和</w:t>
      </w:r>
      <w:r>
        <w:rPr>
          <w:rFonts w:hint="eastAsia" w:ascii="Times New Roman" w:hAnsi="Times New Roman" w:eastAsia="仿宋_GB2312"/>
          <w:color w:val="000000"/>
          <w:kern w:val="0"/>
          <w:sz w:val="32"/>
          <w:szCs w:val="32"/>
          <w:lang w:eastAsia="zh-CN"/>
        </w:rPr>
        <w:t>文化</w:t>
      </w:r>
      <w:r>
        <w:rPr>
          <w:rFonts w:hint="eastAsia" w:ascii="Times New Roman" w:hAnsi="Times New Roman" w:eastAsia="仿宋_GB2312"/>
          <w:color w:val="000000"/>
          <w:kern w:val="0"/>
          <w:sz w:val="32"/>
          <w:szCs w:val="32"/>
        </w:rPr>
        <w:t>知识</w:t>
      </w:r>
      <w:r>
        <w:rPr>
          <w:rFonts w:hint="eastAsia" w:ascii="Times New Roman" w:hAnsi="Times New Roman" w:eastAsia="仿宋_GB2312"/>
          <w:color w:val="000000"/>
          <w:kern w:val="0"/>
          <w:sz w:val="32"/>
          <w:szCs w:val="32"/>
          <w:lang w:eastAsia="zh-CN"/>
        </w:rPr>
        <w:t>的互动学习中</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潜移默化的</w:t>
      </w:r>
      <w:r>
        <w:rPr>
          <w:rFonts w:hint="eastAsia" w:ascii="Times New Roman" w:hAnsi="Times New Roman" w:eastAsia="仿宋_GB2312"/>
          <w:color w:val="000000"/>
          <w:kern w:val="0"/>
          <w:sz w:val="32"/>
          <w:szCs w:val="32"/>
        </w:rPr>
        <w:t>提升全民安全文化水平。</w:t>
      </w:r>
    </w:p>
    <w:p>
      <w:pPr>
        <w:keepNext w:val="0"/>
        <w:keepLines w:val="0"/>
        <w:pageBreakBefore w:val="0"/>
        <w:kinsoku/>
        <w:wordWrap/>
        <w:overflowPunct/>
        <w:topLinePunct/>
        <w:autoSpaceDE/>
        <w:autoSpaceDN/>
        <w:bidi w:val="0"/>
        <w:snapToGrid/>
        <w:spacing w:line="600" w:lineRule="exact"/>
        <w:ind w:left="0" w:leftChars="0" w:right="0" w:rightChars="0" w:firstLine="643" w:firstLineChars="200"/>
        <w:textAlignment w:val="auto"/>
        <w:outlineLvl w:val="9"/>
        <w:rPr>
          <w:rFonts w:ascii="仿宋_GB2312" w:hAnsi="仿宋" w:eastAsia="仿宋_GB2312"/>
          <w:color w:val="auto"/>
          <w:sz w:val="32"/>
          <w:szCs w:val="32"/>
        </w:rPr>
      </w:pPr>
      <w:r>
        <w:rPr>
          <w:rFonts w:hint="eastAsia" w:ascii="Times New Roman" w:hAnsi="Times New Roman" w:eastAsia="仿宋_GB2312"/>
          <w:b/>
          <w:color w:val="000000"/>
          <w:kern w:val="0"/>
          <w:sz w:val="32"/>
          <w:szCs w:val="32"/>
        </w:rPr>
        <w:t>二是</w:t>
      </w:r>
      <w:r>
        <w:rPr>
          <w:rFonts w:hint="eastAsia" w:ascii="Times New Roman" w:hAnsi="Times New Roman" w:eastAsia="仿宋_GB2312"/>
          <w:b w:val="0"/>
          <w:bCs/>
          <w:color w:val="000000"/>
          <w:kern w:val="0"/>
          <w:sz w:val="32"/>
          <w:szCs w:val="32"/>
          <w:lang w:eastAsia="zh-CN"/>
        </w:rPr>
        <w:t>积极</w:t>
      </w:r>
      <w:r>
        <w:rPr>
          <w:rFonts w:hint="eastAsia" w:ascii="Times New Roman" w:hAnsi="Times New Roman" w:eastAsia="仿宋_GB2312"/>
          <w:color w:val="000000"/>
          <w:kern w:val="0"/>
          <w:sz w:val="32"/>
          <w:szCs w:val="32"/>
          <w:lang w:eastAsia="zh-CN"/>
        </w:rPr>
        <w:t>利用</w:t>
      </w:r>
      <w:r>
        <w:rPr>
          <w:rFonts w:hint="eastAsia" w:ascii="Times New Roman" w:hAnsi="Times New Roman" w:eastAsia="仿宋_GB2312"/>
          <w:color w:val="000000"/>
          <w:kern w:val="0"/>
          <w:sz w:val="32"/>
          <w:szCs w:val="32"/>
        </w:rPr>
        <w:t>媒体途径公开</w:t>
      </w:r>
      <w:r>
        <w:rPr>
          <w:rFonts w:hint="eastAsia" w:ascii="Times New Roman" w:hAnsi="Times New Roman" w:eastAsia="仿宋_GB2312"/>
          <w:color w:val="000000"/>
          <w:kern w:val="0"/>
          <w:sz w:val="32"/>
          <w:szCs w:val="32"/>
          <w:lang w:eastAsia="zh-CN"/>
        </w:rPr>
        <w:t>政务</w:t>
      </w:r>
      <w:r>
        <w:rPr>
          <w:rFonts w:hint="eastAsia" w:ascii="Times New Roman" w:hAnsi="Times New Roman" w:eastAsia="仿宋_GB2312"/>
          <w:color w:val="000000"/>
          <w:kern w:val="0"/>
          <w:sz w:val="32"/>
          <w:szCs w:val="32"/>
        </w:rPr>
        <w:t>信息。</w:t>
      </w:r>
      <w:r>
        <w:rPr>
          <w:rFonts w:hint="eastAsia" w:ascii="Times New Roman" w:hAnsi="Times New Roman" w:eastAsia="仿宋_GB2312"/>
          <w:sz w:val="32"/>
          <w:szCs w:val="32"/>
        </w:rPr>
        <w:t>积极向国家、市、区级媒体报送新闻，确保重要工作部署、重大活动和创新工作的及时报道，广泛</w:t>
      </w:r>
      <w:r>
        <w:rPr>
          <w:rFonts w:hint="eastAsia" w:ascii="Times New Roman" w:hAnsi="Times New Roman" w:eastAsia="仿宋_GB2312"/>
          <w:color w:val="000000"/>
          <w:kern w:val="0"/>
          <w:sz w:val="32"/>
          <w:szCs w:val="32"/>
        </w:rPr>
        <w:t>宣传安全生产工作的方针政策和法律法规，做到警钟长鸣。</w:t>
      </w:r>
      <w:r>
        <w:rPr>
          <w:rFonts w:hint="eastAsia" w:ascii="仿宋_GB2312" w:hAnsi="仿宋" w:eastAsia="仿宋_GB2312"/>
          <w:color w:val="auto"/>
          <w:sz w:val="32"/>
          <w:szCs w:val="32"/>
        </w:rPr>
        <w:t>截</w:t>
      </w:r>
      <w:r>
        <w:rPr>
          <w:rFonts w:hint="eastAsia" w:ascii="仿宋_GB2312" w:hAnsi="仿宋" w:eastAsia="仿宋_GB2312"/>
          <w:color w:val="auto"/>
          <w:sz w:val="32"/>
          <w:szCs w:val="32"/>
          <w:lang w:eastAsia="zh-CN"/>
        </w:rPr>
        <w:t>至</w:t>
      </w:r>
      <w:bookmarkStart w:id="0" w:name="_GoBack"/>
      <w:bookmarkEnd w:id="0"/>
      <w:r>
        <w:rPr>
          <w:rFonts w:hint="eastAsia" w:ascii="仿宋_GB2312" w:hAnsi="仿宋" w:eastAsia="仿宋_GB2312"/>
          <w:color w:val="auto"/>
          <w:sz w:val="32"/>
          <w:szCs w:val="32"/>
        </w:rPr>
        <w:t>目前，《中国</w:t>
      </w:r>
      <w:r>
        <w:rPr>
          <w:rFonts w:hint="eastAsia" w:ascii="仿宋_GB2312" w:hAnsi="仿宋" w:eastAsia="仿宋_GB2312"/>
          <w:color w:val="auto"/>
          <w:sz w:val="32"/>
          <w:szCs w:val="32"/>
          <w:lang w:eastAsia="zh-CN"/>
        </w:rPr>
        <w:t>应急管理</w:t>
      </w:r>
      <w:r>
        <w:rPr>
          <w:rFonts w:hint="eastAsia" w:ascii="仿宋_GB2312" w:hAnsi="仿宋" w:eastAsia="仿宋_GB2312"/>
          <w:color w:val="auto"/>
          <w:sz w:val="32"/>
          <w:szCs w:val="32"/>
        </w:rPr>
        <w:t>报》、市</w:t>
      </w:r>
      <w:r>
        <w:rPr>
          <w:rFonts w:hint="eastAsia" w:ascii="仿宋_GB2312" w:hAnsi="仿宋" w:eastAsia="仿宋_GB2312"/>
          <w:color w:val="auto"/>
          <w:sz w:val="32"/>
          <w:szCs w:val="32"/>
          <w:lang w:eastAsia="zh-CN"/>
        </w:rPr>
        <w:t>应急管理局</w:t>
      </w:r>
      <w:r>
        <w:rPr>
          <w:rFonts w:hint="eastAsia" w:ascii="仿宋_GB2312" w:hAnsi="仿宋" w:eastAsia="仿宋_GB2312"/>
          <w:color w:val="auto"/>
          <w:sz w:val="32"/>
          <w:szCs w:val="32"/>
        </w:rPr>
        <w:t>网站等市级以上媒体刊登安全信息</w:t>
      </w:r>
      <w:r>
        <w:rPr>
          <w:rFonts w:hint="eastAsia" w:ascii="仿宋_GB2312" w:hAnsi="仿宋" w:eastAsia="仿宋_GB2312"/>
          <w:color w:val="auto"/>
          <w:sz w:val="32"/>
          <w:szCs w:val="32"/>
          <w:lang w:val="en-US" w:eastAsia="zh-CN"/>
        </w:rPr>
        <w:t>388</w:t>
      </w:r>
      <w:r>
        <w:rPr>
          <w:rFonts w:hint="eastAsia" w:ascii="仿宋_GB2312" w:hAnsi="仿宋" w:eastAsia="仿宋_GB2312"/>
          <w:color w:val="auto"/>
          <w:sz w:val="32"/>
          <w:szCs w:val="32"/>
        </w:rPr>
        <w:t>条，通州区委、区政府刊登信息</w:t>
      </w:r>
      <w:r>
        <w:rPr>
          <w:rFonts w:hint="eastAsia" w:ascii="仿宋_GB2312" w:hAnsi="仿宋" w:eastAsia="仿宋_GB2312"/>
          <w:color w:val="auto"/>
          <w:sz w:val="32"/>
          <w:szCs w:val="32"/>
          <w:lang w:val="en-US" w:eastAsia="zh-CN"/>
        </w:rPr>
        <w:t>78</w:t>
      </w:r>
      <w:r>
        <w:rPr>
          <w:rFonts w:hint="eastAsia" w:ascii="仿宋_GB2312" w:hAnsi="仿宋" w:eastAsia="仿宋_GB2312"/>
          <w:color w:val="auto"/>
          <w:sz w:val="32"/>
          <w:szCs w:val="32"/>
        </w:rPr>
        <w:t>条，通州电视台播出安全专题</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期，新闻</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条，《通州时讯》制作安全专题</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期，刊登报纸新闻</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条。编辑安全专刊《安全监管动态》</w:t>
      </w:r>
      <w:r>
        <w:rPr>
          <w:rFonts w:hint="eastAsia" w:ascii="仿宋_GB2312" w:hAnsi="仿宋" w:eastAsia="仿宋_GB2312"/>
          <w:color w:val="auto"/>
          <w:sz w:val="32"/>
          <w:szCs w:val="32"/>
          <w:lang w:val="en-US" w:eastAsia="zh-CN"/>
        </w:rPr>
        <w:t>52</w:t>
      </w:r>
      <w:r>
        <w:rPr>
          <w:rFonts w:hint="eastAsia" w:ascii="仿宋_GB2312" w:hAnsi="仿宋" w:eastAsia="仿宋_GB2312"/>
          <w:color w:val="auto"/>
          <w:sz w:val="32"/>
          <w:szCs w:val="32"/>
        </w:rPr>
        <w:t>期。在</w:t>
      </w:r>
      <w:r>
        <w:rPr>
          <w:rFonts w:hint="eastAsia" w:ascii="仿宋_GB2312" w:hAnsi="仿宋_GB2312" w:eastAsia="仿宋_GB2312" w:cs="仿宋_GB2312"/>
          <w:color w:val="auto"/>
          <w:kern w:val="0"/>
          <w:sz w:val="32"/>
          <w:szCs w:val="32"/>
          <w:lang w:val="en-US" w:eastAsia="zh-CN" w:bidi="ar"/>
        </w:rPr>
        <w:t>区政府网站特色频道安全生产栏目中</w:t>
      </w:r>
      <w:r>
        <w:rPr>
          <w:rFonts w:hint="eastAsia" w:ascii="仿宋_GB2312" w:hAnsi="仿宋" w:eastAsia="仿宋_GB2312"/>
          <w:color w:val="auto"/>
          <w:sz w:val="32"/>
          <w:szCs w:val="32"/>
        </w:rPr>
        <w:t>刊登基层信息</w:t>
      </w:r>
      <w:r>
        <w:rPr>
          <w:rFonts w:hint="eastAsia" w:ascii="仿宋_GB2312" w:hAnsi="仿宋" w:eastAsia="仿宋_GB2312"/>
          <w:color w:val="auto"/>
          <w:sz w:val="32"/>
          <w:szCs w:val="32"/>
          <w:lang w:val="en-US" w:eastAsia="zh-CN"/>
        </w:rPr>
        <w:t>138</w:t>
      </w:r>
      <w:r>
        <w:rPr>
          <w:rFonts w:hint="eastAsia" w:ascii="仿宋_GB2312" w:hAnsi="仿宋" w:eastAsia="仿宋_GB2312"/>
          <w:color w:val="auto"/>
          <w:sz w:val="32"/>
          <w:szCs w:val="32"/>
        </w:rPr>
        <w:t>条。微信推送</w:t>
      </w:r>
      <w:r>
        <w:rPr>
          <w:rFonts w:hint="eastAsia" w:ascii="仿宋_GB2312" w:hAnsi="仿宋" w:eastAsia="仿宋_GB2312"/>
          <w:color w:val="auto"/>
          <w:sz w:val="32"/>
          <w:szCs w:val="32"/>
          <w:lang w:val="en-US" w:eastAsia="zh-CN"/>
        </w:rPr>
        <w:t>108</w:t>
      </w:r>
      <w:r>
        <w:rPr>
          <w:rFonts w:hint="eastAsia" w:ascii="仿宋_GB2312" w:hAnsi="仿宋" w:eastAsia="仿宋_GB2312"/>
          <w:color w:val="auto"/>
          <w:sz w:val="32"/>
          <w:szCs w:val="32"/>
        </w:rPr>
        <w:t>期，目前关注人数达</w:t>
      </w:r>
      <w:r>
        <w:rPr>
          <w:rFonts w:hint="eastAsia" w:ascii="仿宋_GB2312" w:hAnsi="仿宋" w:eastAsia="仿宋_GB2312"/>
          <w:color w:val="auto"/>
          <w:sz w:val="32"/>
          <w:szCs w:val="32"/>
          <w:lang w:val="en-US" w:eastAsia="zh-CN"/>
        </w:rPr>
        <w:t>64000余</w:t>
      </w:r>
      <w:r>
        <w:rPr>
          <w:rFonts w:hint="eastAsia" w:ascii="仿宋_GB2312" w:hAnsi="仿宋" w:eastAsia="仿宋_GB2312"/>
          <w:color w:val="auto"/>
          <w:sz w:val="32"/>
          <w:szCs w:val="32"/>
        </w:rPr>
        <w:t>人。</w:t>
      </w: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ascii="Times New Roman" w:hAnsi="Times New Roman" w:eastAsia="黑体"/>
          <w:sz w:val="32"/>
          <w:szCs w:val="32"/>
        </w:rPr>
      </w:pPr>
      <w:r>
        <w:rPr>
          <w:rFonts w:hint="eastAsia" w:ascii="Times New Roman" w:hAnsi="Times New Roman" w:eastAsia="黑体"/>
          <w:sz w:val="32"/>
          <w:szCs w:val="32"/>
        </w:rPr>
        <w:t>二、政府信息主动公开情况</w:t>
      </w:r>
    </w:p>
    <w:p>
      <w:pPr>
        <w:keepNext w:val="0"/>
        <w:keepLines w:val="0"/>
        <w:pageBreakBefore w:val="0"/>
        <w:kinsoku/>
        <w:wordWrap/>
        <w:overflowPunct/>
        <w:autoSpaceDE/>
        <w:autoSpaceDN/>
        <w:bidi w:val="0"/>
        <w:snapToGrid/>
        <w:spacing w:line="600" w:lineRule="exact"/>
        <w:ind w:left="0" w:leftChars="0" w:right="0" w:rightChars="0" w:firstLine="64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（一）主要公开渠道</w:t>
      </w:r>
    </w:p>
    <w:p>
      <w:pPr>
        <w:keepNext w:val="0"/>
        <w:keepLines w:val="0"/>
        <w:pageBreakBefore w:val="0"/>
        <w:kinsoku/>
        <w:wordWrap/>
        <w:overflowPunct/>
        <w:autoSpaceDE/>
        <w:autoSpaceDN/>
        <w:bidi w:val="0"/>
        <w:snapToGrid/>
        <w:spacing w:line="600" w:lineRule="exact"/>
        <w:ind w:left="0" w:leftChars="0" w:right="0" w:rightChars="0" w:firstLine="64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通州区政府网站特色频道安全生产栏目：</w:t>
      </w:r>
    </w:p>
    <w:p>
      <w:pPr>
        <w:keepNext w:val="0"/>
        <w:keepLines w:val="0"/>
        <w:pageBreakBefore w:val="0"/>
        <w:kinsoku/>
        <w:wordWrap/>
        <w:overflowPunct/>
        <w:autoSpaceDE/>
        <w:autoSpaceDN/>
        <w:bidi w:val="0"/>
        <w:snapToGrid/>
        <w:spacing w:line="600" w:lineRule="exact"/>
        <w:ind w:left="0" w:leftChars="0" w:right="0" w:right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http://zhengfu.bjtzh.gov.cn/ajj/index.shtml</w:t>
      </w:r>
    </w:p>
    <w:p>
      <w:pPr>
        <w:keepNext w:val="0"/>
        <w:keepLines w:val="0"/>
        <w:pageBreakBefore w:val="0"/>
        <w:kinsoku/>
        <w:wordWrap/>
        <w:overflowPunct/>
        <w:autoSpaceDE/>
        <w:autoSpaceDN/>
        <w:bidi w:val="0"/>
        <w:snapToGrid/>
        <w:spacing w:line="600" w:lineRule="exact"/>
        <w:ind w:left="0" w:leftChars="0" w:right="0" w:rightChars="0"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通州区政府信息公开专栏：</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autoSpaceDE/>
        <w:autoSpaceDN/>
        <w:bidi w:val="0"/>
        <w:snapToGrid/>
        <w:spacing w:line="600" w:lineRule="exact"/>
        <w:ind w:left="0" w:leftChars="0" w:right="0" w:rightChars="0" w:firstLine="64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w w:val="75"/>
          <w:sz w:val="32"/>
          <w:szCs w:val="32"/>
          <w:lang w:eastAsia="zh-CN"/>
        </w:rPr>
        <w:t>http://www.beijing.gov.cn/zfxxgk/tzq11L026/tzbm_index_aj.shtml</w:t>
      </w:r>
    </w:p>
    <w:p>
      <w:pPr>
        <w:keepNext w:val="0"/>
        <w:keepLines w:val="0"/>
        <w:pageBreakBefore w:val="0"/>
        <w:numPr>
          <w:ilvl w:val="0"/>
          <w:numId w:val="0"/>
        </w:numPr>
        <w:kinsoku/>
        <w:wordWrap/>
        <w:overflowPunct/>
        <w:autoSpaceDE/>
        <w:autoSpaceDN/>
        <w:bidi w:val="0"/>
        <w:snapToGrid/>
        <w:spacing w:line="600" w:lineRule="exact"/>
        <w:ind w:left="0" w:leftChars="0" w:right="0" w:rightChars="0"/>
        <w:jc w:val="left"/>
        <w:textAlignment w:val="auto"/>
        <w:outlineLvl w:val="9"/>
        <w:rPr>
          <w:rFonts w:hint="eastAsia" w:ascii="楷体" w:hAnsi="楷体" w:eastAsia="楷体" w:cs="楷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lang w:eastAsia="zh-CN"/>
        </w:rPr>
        <w:t>（二）主动公开情况</w:t>
      </w:r>
    </w:p>
    <w:p>
      <w:pPr>
        <w:keepNext w:val="0"/>
        <w:keepLines w:val="0"/>
        <w:pageBreakBefore w:val="0"/>
        <w:numPr>
          <w:ilvl w:val="0"/>
          <w:numId w:val="0"/>
        </w:numPr>
        <w:kinsoku/>
        <w:wordWrap/>
        <w:overflowPunct/>
        <w:autoSpaceDE/>
        <w:autoSpaceDN/>
        <w:bidi w:val="0"/>
        <w:snapToGrid/>
        <w:spacing w:line="60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截止201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月，我局共在通州区政府信息公开</w:t>
      </w:r>
      <w:r>
        <w:rPr>
          <w:rFonts w:hint="eastAsia" w:ascii="仿宋_GB2312" w:hAnsi="仿宋_GB2312" w:eastAsia="仿宋_GB2312" w:cs="仿宋_GB2312"/>
          <w:sz w:val="32"/>
          <w:szCs w:val="32"/>
          <w:lang w:eastAsia="zh-CN"/>
        </w:rPr>
        <w:t>网站上</w:t>
      </w:r>
      <w:r>
        <w:rPr>
          <w:rFonts w:hint="eastAsia" w:ascii="仿宋_GB2312" w:hAnsi="仿宋_GB2312" w:eastAsia="仿宋_GB2312" w:cs="仿宋_GB2312"/>
          <w:sz w:val="32"/>
          <w:szCs w:val="32"/>
        </w:rPr>
        <w:t>主动公开政府信息</w:t>
      </w:r>
      <w:r>
        <w:rPr>
          <w:rFonts w:hint="eastAsia" w:ascii="仿宋_GB2312" w:hAnsi="仿宋_GB2312" w:eastAsia="仿宋_GB2312" w:cs="仿宋_GB2312"/>
          <w:sz w:val="32"/>
          <w:szCs w:val="32"/>
          <w:lang w:val="en-US" w:eastAsia="zh-CN"/>
        </w:rPr>
        <w:t>3576</w:t>
      </w:r>
      <w:r>
        <w:rPr>
          <w:rFonts w:hint="eastAsia" w:ascii="仿宋_GB2312" w:hAnsi="仿宋_GB2312" w:eastAsia="仿宋_GB2312" w:cs="仿宋_GB2312"/>
          <w:sz w:val="32"/>
          <w:szCs w:val="32"/>
        </w:rPr>
        <w:t>条，重点领域</w:t>
      </w:r>
      <w:r>
        <w:rPr>
          <w:rFonts w:hint="eastAsia" w:ascii="仿宋_GB2312" w:hAnsi="仿宋_GB2312" w:eastAsia="仿宋_GB2312" w:cs="仿宋_GB2312"/>
          <w:sz w:val="32"/>
          <w:szCs w:val="32"/>
          <w:lang w:eastAsia="zh-CN"/>
        </w:rPr>
        <w:t>公开政府信息</w:t>
      </w:r>
      <w:r>
        <w:rPr>
          <w:rFonts w:hint="eastAsia" w:ascii="仿宋_GB2312" w:hAnsi="仿宋_GB2312" w:eastAsia="仿宋_GB2312" w:cs="仿宋_GB2312"/>
          <w:sz w:val="32"/>
          <w:szCs w:val="32"/>
          <w:lang w:val="en-US" w:eastAsia="zh-CN"/>
        </w:rPr>
        <w:t>3222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（其中主动公开财政预算决算、“三公经费”和行政经费信息</w:t>
      </w:r>
      <w:r>
        <w:rPr>
          <w:rFonts w:hint="eastAsia" w:ascii="仿宋_GB2312" w:hAnsi="仿宋_GB2312" w:eastAsia="仿宋_GB2312" w:cs="仿宋_GB2312"/>
          <w:sz w:val="32"/>
          <w:szCs w:val="32"/>
          <w:lang w:val="en-US" w:eastAsia="zh-CN"/>
        </w:rPr>
        <w:t>1条，</w:t>
      </w:r>
      <w:r>
        <w:rPr>
          <w:rFonts w:hint="eastAsia" w:ascii="仿宋_GB2312" w:hAnsi="仿宋_GB2312" w:eastAsia="仿宋_GB2312" w:cs="仿宋_GB2312"/>
          <w:sz w:val="32"/>
          <w:szCs w:val="32"/>
        </w:rPr>
        <w:t>主动公开生产安全事故的政府举措、处置进展、风险预警、防范措施等信息</w:t>
      </w:r>
      <w:r>
        <w:rPr>
          <w:rFonts w:hint="eastAsia" w:ascii="仿宋_GB2312" w:hAnsi="仿宋_GB2312" w:eastAsia="仿宋_GB2312" w:cs="仿宋_GB2312"/>
          <w:sz w:val="32"/>
          <w:szCs w:val="32"/>
          <w:lang w:val="en-US" w:eastAsia="zh-CN"/>
        </w:rPr>
        <w:t>3221条</w:t>
      </w:r>
      <w:r>
        <w:rPr>
          <w:rFonts w:hint="eastAsia" w:ascii="仿宋_GB2312" w:hAnsi="仿宋_GB2312" w:eastAsia="仿宋_GB2312" w:cs="仿宋_GB2312"/>
          <w:sz w:val="32"/>
          <w:szCs w:val="32"/>
        </w:rPr>
        <w:t>）。基本实现了我局“应公开、尽公开”的工作原则。</w:t>
      </w: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ascii="Times New Roman" w:hAnsi="Times New Roman" w:eastAsia="黑体"/>
          <w:sz w:val="32"/>
          <w:szCs w:val="32"/>
        </w:rPr>
      </w:pPr>
      <w:r>
        <w:rPr>
          <w:rFonts w:hint="eastAsia" w:ascii="Times New Roman" w:hAnsi="Times New Roman" w:eastAsia="黑体"/>
          <w:sz w:val="32"/>
          <w:szCs w:val="32"/>
        </w:rPr>
        <w:t>三、政府信息依申请公开情况</w:t>
      </w:r>
    </w:p>
    <w:p>
      <w:pPr>
        <w:keepNext w:val="0"/>
        <w:keepLines w:val="0"/>
        <w:pageBreakBefore w:val="0"/>
        <w:kinsoku/>
        <w:wordWrap/>
        <w:overflowPunct/>
        <w:autoSpaceDE/>
        <w:autoSpaceDN/>
        <w:bidi w:val="0"/>
        <w:snapToGrid/>
        <w:spacing w:line="600" w:lineRule="exact"/>
        <w:ind w:left="0" w:leftChars="0" w:right="0" w:rightChars="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按照《条例》</w:t>
      </w:r>
      <w:r>
        <w:rPr>
          <w:rFonts w:hint="eastAsia" w:ascii="Times New Roman" w:hAnsi="Times New Roman" w:eastAsia="仿宋_GB2312"/>
          <w:sz w:val="32"/>
          <w:szCs w:val="32"/>
          <w:lang w:eastAsia="zh-CN"/>
        </w:rPr>
        <w:t>第</w:t>
      </w:r>
      <w:r>
        <w:rPr>
          <w:rFonts w:hint="eastAsia" w:ascii="仿宋_GB2312" w:hAnsi="仿宋_GB2312" w:eastAsia="仿宋_GB2312" w:cs="仿宋_GB2312"/>
          <w:sz w:val="32"/>
          <w:szCs w:val="32"/>
          <w:lang w:val="en-US" w:eastAsia="zh-CN"/>
        </w:rPr>
        <w:t>13</w:t>
      </w:r>
      <w:r>
        <w:rPr>
          <w:rFonts w:hint="eastAsia" w:ascii="Times New Roman" w:hAnsi="Times New Roman" w:eastAsia="仿宋_GB2312"/>
          <w:sz w:val="32"/>
          <w:szCs w:val="32"/>
          <w:lang w:val="en-US" w:eastAsia="zh-CN"/>
        </w:rPr>
        <w:t>条</w:t>
      </w:r>
      <w:r>
        <w:rPr>
          <w:rFonts w:hint="eastAsia" w:ascii="Times New Roman" w:hAnsi="Times New Roman" w:eastAsia="仿宋_GB2312"/>
          <w:sz w:val="32"/>
          <w:szCs w:val="32"/>
        </w:rPr>
        <w:t>规定，全区各行政机关自《条例》实施之日起正式受理公民、法人或者其他组织根据自身生产、生活、科研等特殊需要提出的政府信息公开申请。为落实《条例》确定的政府信息依申请公开制度，我</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通过</w:t>
      </w:r>
      <w:r>
        <w:rPr>
          <w:rFonts w:hint="eastAsia" w:ascii="Times New Roman" w:hAnsi="Times New Roman" w:eastAsia="仿宋_GB2312"/>
          <w:sz w:val="32"/>
          <w:szCs w:val="32"/>
          <w:lang w:eastAsia="zh-CN"/>
        </w:rPr>
        <w:t>区安全监管局</w:t>
      </w:r>
      <w:r>
        <w:rPr>
          <w:rFonts w:hint="eastAsia" w:ascii="Times New Roman" w:hAnsi="Times New Roman" w:eastAsia="仿宋_GB2312"/>
          <w:sz w:val="32"/>
          <w:szCs w:val="32"/>
        </w:rPr>
        <w:t xml:space="preserve">办公室受理政府信息公开申请。 </w:t>
      </w: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 xml:space="preserve">（一）申请情况 </w:t>
      </w:r>
    </w:p>
    <w:p>
      <w:pPr>
        <w:keepNext w:val="0"/>
        <w:keepLines w:val="0"/>
        <w:pageBreakBefore w:val="0"/>
        <w:kinsoku/>
        <w:wordWrap/>
        <w:overflowPunct/>
        <w:autoSpaceDE/>
        <w:autoSpaceDN/>
        <w:bidi w:val="0"/>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2018年，我局共收到政府信息依申请公开2件，其中当面申请数0件，传真申请数0件，网络申请数0件，信函申请数2件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从申请的信息内容来看，申请</w:t>
      </w:r>
      <w:r>
        <w:rPr>
          <w:rFonts w:hint="eastAsia" w:ascii="仿宋_GB2312" w:hAnsi="仿宋_GB2312" w:eastAsia="仿宋_GB2312" w:cs="仿宋_GB2312"/>
          <w:sz w:val="32"/>
          <w:szCs w:val="32"/>
          <w:lang w:eastAsia="zh-CN"/>
        </w:rPr>
        <w:t>烟花爆竹经营</w:t>
      </w:r>
      <w:r>
        <w:rPr>
          <w:rFonts w:hint="eastAsia" w:ascii="仿宋_GB2312" w:hAnsi="仿宋_GB2312" w:eastAsia="仿宋_GB2312" w:cs="仿宋_GB2312"/>
          <w:sz w:val="32"/>
          <w:szCs w:val="32"/>
        </w:rPr>
        <w:t>许可</w:t>
      </w:r>
      <w:r>
        <w:rPr>
          <w:rFonts w:hint="eastAsia" w:ascii="仿宋_GB2312" w:hAnsi="仿宋_GB2312" w:eastAsia="仿宋_GB2312" w:cs="仿宋_GB2312"/>
          <w:sz w:val="32"/>
          <w:szCs w:val="32"/>
          <w:lang w:eastAsia="zh-CN"/>
        </w:rPr>
        <w:t>办理方式</w:t>
      </w:r>
      <w:r>
        <w:rPr>
          <w:rFonts w:hint="eastAsia" w:ascii="仿宋_GB2312" w:hAnsi="仿宋_GB2312" w:eastAsia="仿宋_GB2312" w:cs="仿宋_GB2312"/>
          <w:sz w:val="32"/>
          <w:szCs w:val="32"/>
        </w:rPr>
        <w:t>相关文件资料</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件、申请通州区安全生产监督管理局机构职责相关信息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件。 </w:t>
      </w: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 xml:space="preserve">（二）答复情况 </w:t>
      </w: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_GB2312"/>
          <w:sz w:val="32"/>
          <w:szCs w:val="32"/>
        </w:rPr>
      </w:pPr>
      <w:r>
        <w:rPr>
          <w:rFonts w:hint="eastAsia" w:ascii="仿宋_GB2312" w:hAnsi="仿宋_GB2312" w:eastAsia="仿宋_GB2312" w:cs="仿宋_GB2312"/>
          <w:sz w:val="32"/>
          <w:szCs w:val="32"/>
        </w:rPr>
        <w:t xml:space="preserve"> 已到答复期的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件申请全部按期答复，其中：已主动公开信息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件，同意公开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件，部分公开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件，信息不存在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件，非本单位信息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件。 </w:t>
      </w:r>
    </w:p>
    <w:p>
      <w:pPr>
        <w:keepNext w:val="0"/>
        <w:keepLines w:val="0"/>
        <w:pageBreakBefore w:val="0"/>
        <w:kinsoku/>
        <w:wordWrap/>
        <w:overflowPunct/>
        <w:autoSpaceDE/>
        <w:autoSpaceDN/>
        <w:bidi w:val="0"/>
        <w:snapToGrid/>
        <w:spacing w:line="600" w:lineRule="exact"/>
        <w:ind w:left="0" w:leftChars="0" w:right="0" w:rightChars="0"/>
        <w:textAlignment w:val="auto"/>
        <w:outlineLvl w:val="9"/>
        <w:rPr>
          <w:rFonts w:hint="eastAsia" w:ascii="楷体" w:hAnsi="楷体" w:eastAsia="楷体" w:cs="楷体"/>
          <w:sz w:val="32"/>
          <w:szCs w:val="32"/>
        </w:rPr>
      </w:pPr>
      <w:r>
        <w:rPr>
          <w:rFonts w:hint="eastAsia" w:ascii="Times New Roman" w:hAnsi="Times New Roman" w:eastAsia="仿宋_GB2312"/>
          <w:sz w:val="32"/>
          <w:szCs w:val="32"/>
          <w:lang w:val="en-US" w:eastAsia="zh-CN"/>
        </w:rPr>
        <w:t xml:space="preserve">    </w:t>
      </w:r>
      <w:r>
        <w:rPr>
          <w:rFonts w:hint="eastAsia" w:ascii="楷体" w:hAnsi="楷体" w:eastAsia="楷体" w:cs="楷体"/>
          <w:sz w:val="32"/>
          <w:szCs w:val="32"/>
        </w:rPr>
        <w:t xml:space="preserve">（三）依申请公开政府信息收费情况 </w:t>
      </w:r>
    </w:p>
    <w:p>
      <w:pPr>
        <w:keepNext w:val="0"/>
        <w:keepLines w:val="0"/>
        <w:pageBreakBefore w:val="0"/>
        <w:kinsoku/>
        <w:wordWrap/>
        <w:overflowPunct/>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《北京市行政机关依申请提供政府信息收费办法（试行）》已实施。我</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 xml:space="preserve">申请公开政府信息检索、复制、邮寄等服务未收取费用。 </w:t>
      </w:r>
    </w:p>
    <w:p>
      <w:pPr>
        <w:pStyle w:val="6"/>
        <w:keepNext w:val="0"/>
        <w:keepLines w:val="0"/>
        <w:pageBreakBefore w:val="0"/>
        <w:widowControl/>
        <w:suppressLineNumbers w:val="0"/>
        <w:kinsoku/>
        <w:wordWrap/>
        <w:overflowPunct/>
        <w:autoSpaceDE/>
        <w:autoSpaceDN/>
        <w:bidi w:val="0"/>
        <w:snapToGrid/>
        <w:spacing w:before="0" w:beforeAutospacing="0" w:after="0" w:afterAutospacing="0" w:line="60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lang w:val="en-US" w:eastAsia="zh-CN"/>
        </w:rPr>
        <w:t xml:space="preserve">    </w:t>
      </w:r>
      <w:r>
        <w:rPr>
          <w:rFonts w:hint="eastAsia" w:ascii="黑体" w:hAnsi="黑体" w:eastAsia="黑体" w:cs="黑体"/>
          <w:sz w:val="32"/>
          <w:szCs w:val="32"/>
          <w:shd w:val="clear" w:fill="FFFFFF"/>
          <w:lang w:eastAsia="zh-CN"/>
        </w:rPr>
        <w:t>四、行政</w:t>
      </w:r>
      <w:r>
        <w:rPr>
          <w:rFonts w:hint="eastAsia" w:ascii="黑体" w:hAnsi="黑体" w:eastAsia="黑体" w:cs="黑体"/>
          <w:sz w:val="32"/>
          <w:szCs w:val="32"/>
          <w:shd w:val="clear" w:fill="FFFFFF"/>
        </w:rPr>
        <w:t>复议和</w:t>
      </w:r>
      <w:r>
        <w:rPr>
          <w:rFonts w:hint="eastAsia" w:ascii="黑体" w:hAnsi="黑体" w:eastAsia="黑体" w:cs="黑体"/>
          <w:sz w:val="32"/>
          <w:szCs w:val="32"/>
          <w:shd w:val="clear" w:fill="FFFFFF"/>
          <w:lang w:eastAsia="zh-CN"/>
        </w:rPr>
        <w:t>行政</w:t>
      </w:r>
      <w:r>
        <w:rPr>
          <w:rFonts w:hint="eastAsia" w:ascii="黑体" w:hAnsi="黑体" w:eastAsia="黑体" w:cs="黑体"/>
          <w:sz w:val="32"/>
          <w:szCs w:val="32"/>
          <w:shd w:val="clear" w:fill="FFFFFF"/>
        </w:rPr>
        <w:t xml:space="preserve">诉讼情况 </w:t>
      </w:r>
      <w:r>
        <w:rPr>
          <w:rFonts w:hint="eastAsia" w:ascii="宋体" w:hAnsi="宋体" w:eastAsia="宋体" w:cs="宋体"/>
          <w:sz w:val="21"/>
          <w:szCs w:val="21"/>
          <w:shd w:val="clear" w:fill="FFFFFF"/>
        </w:rPr>
        <w:br w:type="textWrapping"/>
      </w:r>
      <w:r>
        <w:rPr>
          <w:rFonts w:hint="eastAsia" w:ascii="仿宋_GB2312" w:hAnsi="仿宋_GB2312" w:eastAsia="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按照《条例》第33条规定，公民、法人或者其他组织认为行政机关在政府信息公开工作中的具体行政行为侵犯其合法权益的，可以依法申请行政复议或者提起行政诉讼。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napToGrid/>
        <w:spacing w:beforeAutospacing="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2018年，针对我局政府信息公开的行政复议申请0件，针对我局政府信息公开的行政诉讼案0件，针对我局政府信息公开的申诉案0件。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napToGrid/>
        <w:spacing w:beforeAutospacing="0" w:afterAutospacing="0" w:line="60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五、存在的不足以及改进措施</w:t>
      </w:r>
    </w:p>
    <w:p>
      <w:pPr>
        <w:keepNext w:val="0"/>
        <w:keepLines w:val="0"/>
        <w:pageBreakBefore w:val="0"/>
        <w:numPr>
          <w:ilvl w:val="0"/>
          <w:numId w:val="0"/>
        </w:numPr>
        <w:kinsoku/>
        <w:wordWrap/>
        <w:overflowPunct/>
        <w:autoSpaceDE/>
        <w:autoSpaceDN/>
        <w:bidi w:val="0"/>
        <w:snapToGrid/>
        <w:spacing w:line="600" w:lineRule="exact"/>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2018年，我局</w:t>
      </w:r>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eastAsia="zh-CN"/>
        </w:rPr>
        <w:t>工作虽然取得了一些成绩，</w:t>
      </w:r>
      <w:r>
        <w:rPr>
          <w:rFonts w:hint="eastAsia" w:ascii="仿宋_GB2312" w:hAnsi="仿宋_GB2312" w:eastAsia="仿宋_GB2312" w:cs="仿宋_GB2312"/>
          <w:sz w:val="32"/>
          <w:szCs w:val="32"/>
          <w:lang w:val="en-US" w:eastAsia="zh-CN"/>
        </w:rPr>
        <w:t>但也存在一些不足：一是对政府信息公开工作认识需要进一步提高；二是信息公开的内容仍需在实践中进一步完善。</w:t>
      </w:r>
    </w:p>
    <w:p>
      <w:pPr>
        <w:keepNext w:val="0"/>
        <w:keepLines w:val="0"/>
        <w:pageBreakBefore w:val="0"/>
        <w:numPr>
          <w:ilvl w:val="0"/>
          <w:numId w:val="0"/>
        </w:numPr>
        <w:kinsoku/>
        <w:wordWrap/>
        <w:overflowPunct/>
        <w:autoSpaceDE/>
        <w:autoSpaceDN/>
        <w:bidi w:val="0"/>
        <w:snapToGrid/>
        <w:spacing w:line="60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2019年</w:t>
      </w:r>
      <w:r>
        <w:rPr>
          <w:rFonts w:hint="eastAsia" w:ascii="仿宋_GB2312" w:hAnsi="仿宋_GB2312" w:eastAsia="仿宋_GB2312" w:cs="仿宋_GB2312"/>
          <w:sz w:val="32"/>
          <w:szCs w:val="32"/>
        </w:rPr>
        <w:t>，我局将继续强化组织领导，努力探索政府信息和政务公开的新办法、新举措，提高政府信息公开工作的质量和效益，</w:t>
      </w:r>
      <w:r>
        <w:rPr>
          <w:rFonts w:hint="eastAsia" w:ascii="仿宋_GB2312" w:hAnsi="仿宋_GB2312" w:eastAsia="仿宋_GB2312" w:cs="仿宋_GB2312"/>
          <w:sz w:val="32"/>
          <w:szCs w:val="32"/>
          <w:lang w:eastAsia="zh-CN"/>
        </w:rPr>
        <w:t>并着力</w:t>
      </w:r>
      <w:r>
        <w:rPr>
          <w:rFonts w:hint="eastAsia" w:ascii="仿宋_GB2312" w:hAnsi="仿宋_GB2312" w:eastAsia="仿宋_GB2312" w:cs="仿宋_GB2312"/>
          <w:sz w:val="32"/>
          <w:szCs w:val="32"/>
        </w:rPr>
        <w:t>从以下</w:t>
      </w:r>
      <w:r>
        <w:rPr>
          <w:rFonts w:hint="eastAsia" w:ascii="仿宋_GB2312" w:hAnsi="仿宋_GB2312" w:eastAsia="仿宋_GB2312" w:cs="仿宋_GB2312"/>
          <w:sz w:val="32"/>
          <w:szCs w:val="32"/>
          <w:lang w:eastAsia="zh-CN"/>
        </w:rPr>
        <w:t>几</w:t>
      </w:r>
      <w:r>
        <w:rPr>
          <w:rFonts w:hint="eastAsia" w:ascii="仿宋_GB2312" w:hAnsi="仿宋_GB2312" w:eastAsia="仿宋_GB2312" w:cs="仿宋_GB2312"/>
          <w:sz w:val="32"/>
          <w:szCs w:val="32"/>
        </w:rPr>
        <w:t>个方面进行改进：</w:t>
      </w:r>
    </w:p>
    <w:p>
      <w:pPr>
        <w:pStyle w:val="6"/>
        <w:keepNext w:val="0"/>
        <w:keepLines w:val="0"/>
        <w:widowControl/>
        <w:suppressLineNumbers w:val="0"/>
        <w:spacing w:before="0" w:beforeAutospacing="0" w:after="0" w:afterAutospacing="0" w:line="480" w:lineRule="atLeast"/>
        <w:ind w:left="0" w:right="0" w:firstLine="640"/>
        <w:jc w:val="both"/>
        <w:rPr>
          <w:rFonts w:hint="eastAsia" w:ascii="Times New Roman" w:hAnsi="Times New Roman" w:eastAsia="仿宋_GB2312"/>
          <w:sz w:val="32"/>
          <w:szCs w:val="32"/>
        </w:rPr>
      </w:pPr>
      <w:r>
        <w:rPr>
          <w:rFonts w:hint="eastAsia" w:ascii="仿宋_GB2312" w:hAnsi="仿宋_GB2312" w:eastAsia="仿宋_GB2312" w:cs="仿宋_GB2312"/>
          <w:b/>
          <w:bCs/>
          <w:sz w:val="32"/>
          <w:szCs w:val="32"/>
          <w:lang w:eastAsia="zh-CN"/>
        </w:rPr>
        <w:t>一是</w:t>
      </w:r>
      <w:r>
        <w:rPr>
          <w:rFonts w:ascii="仿宋" w:hAnsi="仿宋" w:eastAsia="仿宋" w:cs="仿宋"/>
          <w:sz w:val="32"/>
          <w:szCs w:val="32"/>
          <w:shd w:val="clear" w:fill="FFFFFF"/>
        </w:rPr>
        <w:t>要切实增强</w:t>
      </w:r>
      <w:r>
        <w:rPr>
          <w:rFonts w:hint="eastAsia" w:ascii="仿宋" w:hAnsi="仿宋" w:eastAsia="仿宋" w:cs="仿宋"/>
          <w:sz w:val="32"/>
          <w:szCs w:val="32"/>
          <w:shd w:val="clear" w:fill="FFFFFF"/>
          <w:lang w:eastAsia="zh-CN"/>
        </w:rPr>
        <w:t>政府</w:t>
      </w:r>
      <w:r>
        <w:rPr>
          <w:rFonts w:ascii="仿宋" w:hAnsi="仿宋" w:eastAsia="仿宋" w:cs="仿宋"/>
          <w:sz w:val="32"/>
          <w:szCs w:val="32"/>
          <w:shd w:val="clear" w:fill="FFFFFF"/>
        </w:rPr>
        <w:t>信息公开意识。</w:t>
      </w:r>
      <w:r>
        <w:rPr>
          <w:rFonts w:hint="eastAsia" w:ascii="仿宋_GB2312" w:hAnsi="仿宋_GB2312" w:eastAsia="仿宋_GB2312" w:cs="仿宋_GB2312"/>
          <w:sz w:val="32"/>
          <w:szCs w:val="32"/>
          <w:lang w:val="en-US" w:eastAsia="zh-CN"/>
        </w:rPr>
        <w:t>2019年，局政务公开工作人员要</w:t>
      </w:r>
      <w:r>
        <w:rPr>
          <w:rFonts w:hint="eastAsia" w:ascii="Times New Roman" w:hAnsi="Times New Roman" w:eastAsia="仿宋_GB2312"/>
          <w:sz w:val="32"/>
          <w:szCs w:val="32"/>
        </w:rPr>
        <w:t>紧贴工作实际</w:t>
      </w:r>
      <w:r>
        <w:rPr>
          <w:rFonts w:hint="eastAsia" w:ascii="Times New Roman" w:hAnsi="Times New Roman" w:eastAsia="仿宋_GB2312"/>
          <w:sz w:val="32"/>
          <w:szCs w:val="32"/>
          <w:lang w:eastAsia="zh-CN"/>
        </w:rPr>
        <w:t>，不断加强业务知识学习，总结积累信息公开工作经验，提高政府信息公开工作的水平。</w:t>
      </w:r>
    </w:p>
    <w:p>
      <w:pPr>
        <w:keepNext w:val="0"/>
        <w:keepLines w:val="0"/>
        <w:pageBreakBefore w:val="0"/>
        <w:kinsoku/>
        <w:wordWrap/>
        <w:overflowPunct/>
        <w:autoSpaceDE/>
        <w:autoSpaceDN/>
        <w:bidi w:val="0"/>
        <w:snapToGrid/>
        <w:spacing w:line="600" w:lineRule="exact"/>
        <w:ind w:left="0" w:leftChars="0" w:right="0" w:rightChars="0"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进一步完善</w:t>
      </w:r>
      <w:r>
        <w:rPr>
          <w:rFonts w:hint="eastAsia" w:ascii="仿宋_GB2312" w:hAnsi="仿宋_GB2312" w:eastAsia="仿宋_GB2312" w:cs="仿宋_GB2312"/>
          <w:sz w:val="32"/>
          <w:szCs w:val="32"/>
        </w:rPr>
        <w:t>政府信息公开内容。</w:t>
      </w:r>
      <w:r>
        <w:rPr>
          <w:rFonts w:hint="eastAsia" w:ascii="仿宋_GB2312" w:hAnsi="仿宋_GB2312" w:eastAsia="仿宋_GB2312" w:cs="仿宋_GB2312"/>
          <w:sz w:val="32"/>
          <w:szCs w:val="32"/>
          <w:lang w:eastAsia="zh-CN"/>
        </w:rPr>
        <w:t>要重点加强对公共服务事项、行政职责、执法依据、办事程序等</w:t>
      </w:r>
      <w:r>
        <w:rPr>
          <w:rFonts w:hint="eastAsia" w:ascii="仿宋_GB2312" w:hAnsi="仿宋_GB2312" w:eastAsia="仿宋_GB2312" w:cs="仿宋_GB2312"/>
          <w:sz w:val="32"/>
          <w:szCs w:val="32"/>
        </w:rPr>
        <w:t>与人民群众利益密切相关的安全监管重点工作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公开力度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做到应公开尽公开。</w:t>
      </w:r>
    </w:p>
    <w:p>
      <w:pPr>
        <w:keepNext w:val="0"/>
        <w:keepLines w:val="0"/>
        <w:pageBreakBefore w:val="0"/>
        <w:kinsoku/>
        <w:wordWrap/>
        <w:overflowPunct/>
        <w:autoSpaceDE/>
        <w:autoSpaceDN/>
        <w:bidi w:val="0"/>
        <w:snapToGrid/>
        <w:spacing w:line="600" w:lineRule="exact"/>
        <w:ind w:right="0" w:rightChars="0"/>
        <w:textAlignment w:val="auto"/>
        <w:outlineLvl w:val="9"/>
        <w:rPr>
          <w:rFonts w:ascii="Times New Roman" w:hAnsi="Times New Roman" w:eastAsia="仿宋_GB2312"/>
          <w:sz w:val="32"/>
          <w:szCs w:val="32"/>
        </w:rPr>
      </w:pPr>
    </w:p>
    <w:p>
      <w:pPr>
        <w:keepNext w:val="0"/>
        <w:keepLines w:val="0"/>
        <w:pageBreakBefore w:val="0"/>
        <w:kinsoku/>
        <w:wordWrap/>
        <w:overflowPunct/>
        <w:autoSpaceDE/>
        <w:autoSpaceDN/>
        <w:bidi w:val="0"/>
        <w:snapToGrid/>
        <w:spacing w:line="60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autoSpaceDE/>
        <w:autoSpaceDN/>
        <w:bidi w:val="0"/>
        <w:snapToGrid/>
        <w:spacing w:line="60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附表：通州区安全生产监督管理局政府信息公开情况统计表（2018年度）</w:t>
      </w:r>
    </w:p>
    <w:p>
      <w:pPr>
        <w:keepNext w:val="0"/>
        <w:keepLines w:val="0"/>
        <w:pageBreakBefore w:val="0"/>
        <w:kinsoku/>
        <w:wordWrap/>
        <w:overflowPunct/>
        <w:autoSpaceDE/>
        <w:autoSpaceDN/>
        <w:bidi w:val="0"/>
        <w:snapToGrid/>
        <w:spacing w:line="600" w:lineRule="exact"/>
        <w:ind w:left="0" w:leftChars="0" w:right="0" w:rightChars="0" w:firstLine="3360" w:firstLineChars="105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3360" w:firstLineChars="105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3360" w:firstLineChars="10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北京市通州区安全生产监督管理局</w:t>
      </w: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ascii="Times New Roman" w:hAnsi="Times New Roman" w:eastAsia="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ascii="Times New Roman" w:hAnsi="Times New Roman" w:eastAsia="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ascii="Times New Roman" w:hAnsi="Times New Roman" w:eastAsia="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ascii="Times New Roman" w:hAnsi="Times New Roman" w:eastAsia="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ascii="Times New Roman" w:hAnsi="Times New Roman" w:eastAsia="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ascii="Times New Roman" w:hAnsi="Times New Roman" w:eastAsia="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ascii="Times New Roman" w:hAnsi="Times New Roman" w:eastAsia="仿宋_GB2312"/>
          <w:sz w:val="32"/>
          <w:szCs w:val="32"/>
        </w:rPr>
      </w:pPr>
    </w:p>
    <w:p>
      <w:pPr>
        <w:keepNext w:val="0"/>
        <w:keepLines w:val="0"/>
        <w:pageBreakBefore w:val="0"/>
        <w:kinsoku/>
        <w:wordWrap/>
        <w:overflowPunct/>
        <w:autoSpaceDE/>
        <w:autoSpaceDN/>
        <w:bidi w:val="0"/>
        <w:snapToGrid/>
        <w:spacing w:line="600" w:lineRule="exact"/>
        <w:ind w:left="0" w:leftChars="0" w:right="0" w:rightChars="0" w:firstLine="4320" w:firstLineChars="1350"/>
        <w:textAlignment w:val="auto"/>
        <w:outlineLvl w:val="9"/>
        <w:rPr>
          <w:rFonts w:ascii="Times New Roman" w:hAnsi="Times New Roman" w:eastAsia="仿宋_GB2312"/>
          <w:sz w:val="32"/>
          <w:szCs w:val="32"/>
        </w:rPr>
      </w:pPr>
    </w:p>
    <w:tbl>
      <w:tblPr>
        <w:tblStyle w:val="7"/>
        <w:tblW w:w="9555" w:type="dxa"/>
        <w:jc w:val="center"/>
        <w:tblLayout w:type="fixed"/>
        <w:tblCellMar>
          <w:top w:w="0" w:type="dxa"/>
          <w:left w:w="108" w:type="dxa"/>
          <w:bottom w:w="0" w:type="dxa"/>
          <w:right w:w="108" w:type="dxa"/>
        </w:tblCellMar>
      </w:tblPr>
      <w:tblGrid>
        <w:gridCol w:w="7470"/>
        <w:gridCol w:w="285"/>
        <w:gridCol w:w="475"/>
        <w:gridCol w:w="245"/>
        <w:gridCol w:w="1080"/>
      </w:tblGrid>
      <w:tr>
        <w:tblPrEx>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0"/>
                <w:szCs w:val="40"/>
              </w:rPr>
              <w:t>通州区安全生产监督管理局政府信息公开情况统计表</w:t>
            </w:r>
          </w:p>
        </w:tc>
      </w:tr>
      <w:tr>
        <w:tblPrEx>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w:t>
            </w:r>
            <w:r>
              <w:rPr>
                <w:rFonts w:hint="eastAsia" w:ascii="楷体_GB2312" w:hAnsi="宋体" w:eastAsia="楷体_GB2312" w:cs="宋体"/>
                <w:kern w:val="0"/>
                <w:sz w:val="32"/>
                <w:szCs w:val="32"/>
                <w:lang w:val="en-US" w:eastAsia="zh-CN"/>
              </w:rPr>
              <w:t>2018</w:t>
            </w:r>
            <w:r>
              <w:rPr>
                <w:rFonts w:hint="eastAsia" w:ascii="楷体_GB2312" w:hAnsi="宋体" w:eastAsia="楷体_GB2312" w:cs="宋体"/>
                <w:kern w:val="0"/>
                <w:sz w:val="32"/>
                <w:szCs w:val="32"/>
              </w:rPr>
              <w:t>年度）</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3576</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3222</w:t>
            </w:r>
          </w:p>
        </w:tc>
      </w:tr>
      <w:tr>
        <w:tblPrEx>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3221</w:t>
            </w:r>
          </w:p>
        </w:tc>
      </w:tr>
      <w:tr>
        <w:tblPrEx>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3445</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198</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51</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bl>
    <w:p>
      <w:pPr>
        <w:keepNext w:val="0"/>
        <w:keepLines w:val="0"/>
        <w:pageBreakBefore w:val="0"/>
        <w:kinsoku/>
        <w:wordWrap/>
        <w:overflowPunct/>
        <w:autoSpaceDE/>
        <w:autoSpaceDN/>
        <w:bidi w:val="0"/>
        <w:snapToGrid/>
        <w:spacing w:line="600" w:lineRule="exact"/>
        <w:ind w:right="0" w:rightChars="0"/>
        <w:textAlignment w:val="auto"/>
        <w:outlineLvl w:val="9"/>
        <w:rPr>
          <w:rFonts w:ascii="Times New Roman" w:hAnsi="Times New Roman" w:eastAsia="仿宋_GB2312"/>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58572"/>
    <w:multiLevelType w:val="singleLevel"/>
    <w:tmpl w:val="5C45857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xMDNkZDJmMmFiYzA4NTg0N2YyMTY0MTcwZTU4OTYifQ=="/>
  </w:docVars>
  <w:rsids>
    <w:rsidRoot w:val="000830F9"/>
    <w:rsid w:val="00007ACC"/>
    <w:rsid w:val="00017661"/>
    <w:rsid w:val="00031739"/>
    <w:rsid w:val="00045867"/>
    <w:rsid w:val="000830F9"/>
    <w:rsid w:val="000871C8"/>
    <w:rsid w:val="000D5D9E"/>
    <w:rsid w:val="000D7079"/>
    <w:rsid w:val="001716E1"/>
    <w:rsid w:val="00182E5F"/>
    <w:rsid w:val="00184BEB"/>
    <w:rsid w:val="001A2FC7"/>
    <w:rsid w:val="001C0D46"/>
    <w:rsid w:val="001D7AF9"/>
    <w:rsid w:val="00204606"/>
    <w:rsid w:val="00210DBE"/>
    <w:rsid w:val="00251838"/>
    <w:rsid w:val="00271B56"/>
    <w:rsid w:val="00294A95"/>
    <w:rsid w:val="002A5150"/>
    <w:rsid w:val="002B0799"/>
    <w:rsid w:val="002C4F01"/>
    <w:rsid w:val="002F4895"/>
    <w:rsid w:val="00300147"/>
    <w:rsid w:val="00301E8A"/>
    <w:rsid w:val="00345D1C"/>
    <w:rsid w:val="003558B1"/>
    <w:rsid w:val="00372C52"/>
    <w:rsid w:val="0037517A"/>
    <w:rsid w:val="00375556"/>
    <w:rsid w:val="00380982"/>
    <w:rsid w:val="003924B2"/>
    <w:rsid w:val="003A209B"/>
    <w:rsid w:val="003C3F4A"/>
    <w:rsid w:val="00400967"/>
    <w:rsid w:val="00413DF2"/>
    <w:rsid w:val="004563C4"/>
    <w:rsid w:val="004567CA"/>
    <w:rsid w:val="00476504"/>
    <w:rsid w:val="004875D3"/>
    <w:rsid w:val="00490045"/>
    <w:rsid w:val="00496175"/>
    <w:rsid w:val="004A3029"/>
    <w:rsid w:val="004E30AF"/>
    <w:rsid w:val="004E6DB6"/>
    <w:rsid w:val="004F461C"/>
    <w:rsid w:val="00531506"/>
    <w:rsid w:val="005422E9"/>
    <w:rsid w:val="00560FBD"/>
    <w:rsid w:val="00611557"/>
    <w:rsid w:val="0061673D"/>
    <w:rsid w:val="00622061"/>
    <w:rsid w:val="00644C96"/>
    <w:rsid w:val="00647932"/>
    <w:rsid w:val="006667B3"/>
    <w:rsid w:val="00670D5E"/>
    <w:rsid w:val="00671ED0"/>
    <w:rsid w:val="00677A12"/>
    <w:rsid w:val="006A6175"/>
    <w:rsid w:val="0071164F"/>
    <w:rsid w:val="007168B6"/>
    <w:rsid w:val="007314D3"/>
    <w:rsid w:val="00740772"/>
    <w:rsid w:val="007708FB"/>
    <w:rsid w:val="00776B74"/>
    <w:rsid w:val="00785EBF"/>
    <w:rsid w:val="007874CE"/>
    <w:rsid w:val="00792031"/>
    <w:rsid w:val="007B3210"/>
    <w:rsid w:val="007B44CD"/>
    <w:rsid w:val="007C5851"/>
    <w:rsid w:val="007D22A8"/>
    <w:rsid w:val="007E1646"/>
    <w:rsid w:val="007F2A7E"/>
    <w:rsid w:val="007F3C91"/>
    <w:rsid w:val="008077F9"/>
    <w:rsid w:val="0081119C"/>
    <w:rsid w:val="008163BA"/>
    <w:rsid w:val="008167E2"/>
    <w:rsid w:val="008203BA"/>
    <w:rsid w:val="008425D8"/>
    <w:rsid w:val="00856E15"/>
    <w:rsid w:val="00857944"/>
    <w:rsid w:val="00860F8E"/>
    <w:rsid w:val="00867321"/>
    <w:rsid w:val="00885586"/>
    <w:rsid w:val="008909DD"/>
    <w:rsid w:val="008A2AA8"/>
    <w:rsid w:val="008B434A"/>
    <w:rsid w:val="008B5C05"/>
    <w:rsid w:val="008D0928"/>
    <w:rsid w:val="008E6103"/>
    <w:rsid w:val="00903625"/>
    <w:rsid w:val="009356DF"/>
    <w:rsid w:val="0093789D"/>
    <w:rsid w:val="00946F7B"/>
    <w:rsid w:val="00952EB7"/>
    <w:rsid w:val="00975A31"/>
    <w:rsid w:val="009A5067"/>
    <w:rsid w:val="009B112B"/>
    <w:rsid w:val="00A01600"/>
    <w:rsid w:val="00A30A58"/>
    <w:rsid w:val="00A32607"/>
    <w:rsid w:val="00A3590E"/>
    <w:rsid w:val="00A5461E"/>
    <w:rsid w:val="00A55BFD"/>
    <w:rsid w:val="00A6182D"/>
    <w:rsid w:val="00AB031E"/>
    <w:rsid w:val="00AB4418"/>
    <w:rsid w:val="00AE0A61"/>
    <w:rsid w:val="00AE58FF"/>
    <w:rsid w:val="00B01095"/>
    <w:rsid w:val="00B220ED"/>
    <w:rsid w:val="00B3682A"/>
    <w:rsid w:val="00B42376"/>
    <w:rsid w:val="00B44650"/>
    <w:rsid w:val="00B62ACE"/>
    <w:rsid w:val="00B8617E"/>
    <w:rsid w:val="00BC1A43"/>
    <w:rsid w:val="00C1578B"/>
    <w:rsid w:val="00C25F27"/>
    <w:rsid w:val="00C372CA"/>
    <w:rsid w:val="00C66C9C"/>
    <w:rsid w:val="00C677F4"/>
    <w:rsid w:val="00C85DF9"/>
    <w:rsid w:val="00C87DA3"/>
    <w:rsid w:val="00C902C7"/>
    <w:rsid w:val="00CC4C03"/>
    <w:rsid w:val="00CD0A5C"/>
    <w:rsid w:val="00CD310E"/>
    <w:rsid w:val="00CD6155"/>
    <w:rsid w:val="00CE5B3A"/>
    <w:rsid w:val="00CE731F"/>
    <w:rsid w:val="00CE760D"/>
    <w:rsid w:val="00D0663C"/>
    <w:rsid w:val="00D4532A"/>
    <w:rsid w:val="00D52FA1"/>
    <w:rsid w:val="00D8413F"/>
    <w:rsid w:val="00DB61AA"/>
    <w:rsid w:val="00DD4135"/>
    <w:rsid w:val="00DD6F41"/>
    <w:rsid w:val="00DE72C4"/>
    <w:rsid w:val="00DF3342"/>
    <w:rsid w:val="00E22441"/>
    <w:rsid w:val="00E257CC"/>
    <w:rsid w:val="00E26C87"/>
    <w:rsid w:val="00E26CF3"/>
    <w:rsid w:val="00E43B01"/>
    <w:rsid w:val="00E46F40"/>
    <w:rsid w:val="00E57BB4"/>
    <w:rsid w:val="00E8385E"/>
    <w:rsid w:val="00E97B49"/>
    <w:rsid w:val="00EA6B2F"/>
    <w:rsid w:val="00EC69AE"/>
    <w:rsid w:val="00EF0842"/>
    <w:rsid w:val="00EF223D"/>
    <w:rsid w:val="00F0157B"/>
    <w:rsid w:val="00F0617D"/>
    <w:rsid w:val="00F074BD"/>
    <w:rsid w:val="00F41E03"/>
    <w:rsid w:val="00F423A5"/>
    <w:rsid w:val="00F45572"/>
    <w:rsid w:val="00F538E8"/>
    <w:rsid w:val="00FC6018"/>
    <w:rsid w:val="00FE180E"/>
    <w:rsid w:val="00FF159C"/>
    <w:rsid w:val="00FF2378"/>
    <w:rsid w:val="00FF7DFF"/>
    <w:rsid w:val="0B3B00E9"/>
    <w:rsid w:val="0CF450E9"/>
    <w:rsid w:val="0D100524"/>
    <w:rsid w:val="0D9F6D43"/>
    <w:rsid w:val="0DB77056"/>
    <w:rsid w:val="0F577577"/>
    <w:rsid w:val="14C23253"/>
    <w:rsid w:val="16DB12CD"/>
    <w:rsid w:val="19C3721C"/>
    <w:rsid w:val="1A45523B"/>
    <w:rsid w:val="1DEF7A52"/>
    <w:rsid w:val="1E7165CB"/>
    <w:rsid w:val="1F4511D1"/>
    <w:rsid w:val="25B7733F"/>
    <w:rsid w:val="2D377FA6"/>
    <w:rsid w:val="2E002443"/>
    <w:rsid w:val="3385128E"/>
    <w:rsid w:val="3612407E"/>
    <w:rsid w:val="36830963"/>
    <w:rsid w:val="3A5F0295"/>
    <w:rsid w:val="3F084C76"/>
    <w:rsid w:val="3F894DDF"/>
    <w:rsid w:val="462A4E48"/>
    <w:rsid w:val="4B185576"/>
    <w:rsid w:val="513B31EC"/>
    <w:rsid w:val="54FF2AF9"/>
    <w:rsid w:val="5D697DA0"/>
    <w:rsid w:val="5EB10143"/>
    <w:rsid w:val="60B330FA"/>
    <w:rsid w:val="646A3EC6"/>
    <w:rsid w:val="677C6311"/>
    <w:rsid w:val="6AB8321D"/>
    <w:rsid w:val="6E1441E2"/>
    <w:rsid w:val="717B4A3C"/>
    <w:rsid w:val="75657F2D"/>
    <w:rsid w:val="761768CB"/>
    <w:rsid w:val="77940379"/>
    <w:rsid w:val="7C1852B0"/>
    <w:rsid w:val="7DD30E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0"/>
    <w:pPr>
      <w:ind w:left="1680" w:hanging="210"/>
    </w:pPr>
    <w:rPr>
      <w:rFonts w:ascii="仿宋_GB2312" w:hAnsi="Times New Roman" w:eastAsia="仿宋_GB2312"/>
      <w:sz w:val="30"/>
      <w:szCs w:val="20"/>
    </w:rPr>
  </w:style>
  <w:style w:type="paragraph" w:styleId="3">
    <w:name w:val="Balloon Text"/>
    <w:basedOn w:val="1"/>
    <w:link w:val="15"/>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9">
    <w:name w:val="page number"/>
    <w:qFormat/>
    <w:uiPriority w:val="99"/>
    <w:rPr>
      <w:rFonts w:cs="Times New Roman"/>
    </w:rPr>
  </w:style>
  <w:style w:type="character" w:styleId="10">
    <w:name w:val="FollowedHyperlink"/>
    <w:basedOn w:val="8"/>
    <w:unhideWhenUsed/>
    <w:uiPriority w:val="99"/>
    <w:rPr>
      <w:color w:val="333333"/>
      <w:u w:val="none"/>
    </w:rPr>
  </w:style>
  <w:style w:type="character" w:styleId="11">
    <w:name w:val="Emphasis"/>
    <w:basedOn w:val="8"/>
    <w:qFormat/>
    <w:locked/>
    <w:uiPriority w:val="0"/>
  </w:style>
  <w:style w:type="character" w:styleId="12">
    <w:name w:val="Hyperlink"/>
    <w:basedOn w:val="8"/>
    <w:unhideWhenUsed/>
    <w:qFormat/>
    <w:uiPriority w:val="99"/>
    <w:rPr>
      <w:color w:val="333333"/>
      <w:u w:val="none"/>
    </w:rPr>
  </w:style>
  <w:style w:type="character" w:customStyle="1" w:styleId="13">
    <w:name w:val="页眉 Char"/>
    <w:link w:val="5"/>
    <w:semiHidden/>
    <w:qFormat/>
    <w:locked/>
    <w:uiPriority w:val="99"/>
    <w:rPr>
      <w:rFonts w:cs="Times New Roman"/>
      <w:sz w:val="18"/>
      <w:szCs w:val="18"/>
    </w:rPr>
  </w:style>
  <w:style w:type="character" w:customStyle="1" w:styleId="14">
    <w:name w:val="页脚 Char"/>
    <w:link w:val="4"/>
    <w:qFormat/>
    <w:locked/>
    <w:uiPriority w:val="99"/>
    <w:rPr>
      <w:rFonts w:cs="Times New Roman"/>
      <w:sz w:val="18"/>
      <w:szCs w:val="18"/>
    </w:rPr>
  </w:style>
  <w:style w:type="character" w:customStyle="1" w:styleId="15">
    <w:name w:val="批注框文本 Char"/>
    <w:link w:val="3"/>
    <w:semiHidden/>
    <w:qFormat/>
    <w:locked/>
    <w:uiPriority w:val="99"/>
    <w:rPr>
      <w:rFonts w:cs="Times New Roman"/>
      <w:sz w:val="2"/>
    </w:rPr>
  </w:style>
  <w:style w:type="character" w:customStyle="1" w:styleId="16">
    <w:name w:val="正文文本缩进 Char"/>
    <w:link w:val="2"/>
    <w:qFormat/>
    <w:uiPriority w:val="0"/>
    <w:rPr>
      <w:rFonts w:ascii="仿宋_GB2312" w:hAnsi="Times New Roman" w:eastAsia="仿宋_GB2312"/>
      <w:kern w:val="2"/>
      <w:sz w:val="30"/>
    </w:rPr>
  </w:style>
  <w:style w:type="character" w:customStyle="1" w:styleId="17">
    <w:name w:val="jiuc"/>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318</Words>
  <Characters>1813</Characters>
  <Lines>15</Lines>
  <Paragraphs>4</Paragraphs>
  <TotalTime>0</TotalTime>
  <ScaleCrop>false</ScaleCrop>
  <LinksUpToDate>false</LinksUpToDate>
  <CharactersWithSpaces>2127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2014-11-04T06:15:00Z</dcterms:created>
  <dc:creator>微软用户</dc:creator>
  <cp:lastModifiedBy>张广翅</cp:lastModifiedBy>
  <cp:lastPrinted>2019-01-23T06:11:00Z</cp:lastPrinted>
  <dcterms:modified xsi:type="dcterms:W3CDTF">2023-09-13T08:30:17Z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6AD03A68F41A43529FDB67C3E6C0A8D9_12</vt:lpwstr>
  </property>
</Properties>
</file>