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eastAsia="zh-CN"/>
        </w:rPr>
      </w:pPr>
    </w:p>
    <w:p>
      <w:pPr>
        <w:jc w:val="center"/>
        <w:rPr>
          <w:rFonts w:hint="eastAsia" w:ascii="黑体" w:hAnsi="黑体" w:eastAsia="黑体" w:cs="黑体"/>
          <w:sz w:val="44"/>
          <w:szCs w:val="44"/>
          <w:lang w:val="en-US" w:eastAsia="zh-CN"/>
        </w:rPr>
      </w:pPr>
      <w:r>
        <w:rPr>
          <w:rFonts w:hint="eastAsia" w:ascii="黑体" w:hAnsi="黑体" w:eastAsia="黑体" w:cs="黑体"/>
          <w:sz w:val="44"/>
          <w:szCs w:val="44"/>
          <w:lang w:eastAsia="zh-CN"/>
        </w:rPr>
        <w:t>于家务回族乡</w:t>
      </w:r>
      <w:r>
        <w:rPr>
          <w:rFonts w:hint="eastAsia" w:ascii="黑体" w:hAnsi="黑体" w:eastAsia="黑体" w:cs="黑体"/>
          <w:sz w:val="44"/>
          <w:szCs w:val="44"/>
          <w:lang w:val="en-US" w:eastAsia="zh-CN"/>
        </w:rPr>
        <w:t>2018年度政府信息公开工作年度报告</w:t>
      </w:r>
    </w:p>
    <w:p>
      <w:pPr>
        <w:pStyle w:val="4"/>
        <w:keepNext w:val="0"/>
        <w:keepLines w:val="0"/>
        <w:widowControl/>
        <w:suppressLineNumbers w:val="0"/>
        <w:wordWrap w:val="0"/>
        <w:ind w:firstLine="640"/>
        <w:jc w:val="both"/>
        <w:rPr>
          <w:rFonts w:hint="eastAsia" w:ascii="仿宋" w:hAnsi="仿宋" w:eastAsia="仿宋" w:cs="仿宋"/>
          <w:sz w:val="32"/>
          <w:szCs w:val="32"/>
        </w:rPr>
      </w:pPr>
      <w:r>
        <w:rPr>
          <w:rFonts w:hint="eastAsia" w:ascii="仿宋" w:hAnsi="仿宋" w:eastAsia="仿宋" w:cs="仿宋"/>
          <w:sz w:val="32"/>
          <w:szCs w:val="32"/>
        </w:rPr>
        <w:t>本报告是根据《中华人民共和国政府信息公开条例》（以下简称《条例》）要求，由北京市通州区于家务回族乡人民政府编制的201</w:t>
      </w:r>
      <w:r>
        <w:rPr>
          <w:rFonts w:hint="eastAsia" w:ascii="仿宋" w:hAnsi="仿宋" w:eastAsia="仿宋" w:cs="仿宋"/>
          <w:sz w:val="32"/>
          <w:szCs w:val="32"/>
          <w:lang w:val="en-US" w:eastAsia="zh-CN"/>
        </w:rPr>
        <w:t>8</w:t>
      </w:r>
      <w:r>
        <w:rPr>
          <w:rFonts w:hint="eastAsia" w:ascii="仿宋" w:hAnsi="仿宋" w:eastAsia="仿宋" w:cs="仿宋"/>
          <w:sz w:val="32"/>
          <w:szCs w:val="32"/>
        </w:rPr>
        <w:t>年度政府信息公开年度报告。</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全文包括</w:t>
      </w:r>
      <w:r>
        <w:rPr>
          <w:rFonts w:hint="eastAsia" w:ascii="仿宋" w:hAnsi="仿宋" w:eastAsia="仿宋" w:cs="仿宋"/>
          <w:sz w:val="32"/>
          <w:szCs w:val="32"/>
          <w:lang w:eastAsia="zh-CN"/>
        </w:rPr>
        <w:t>概述</w:t>
      </w:r>
      <w:r>
        <w:rPr>
          <w:rFonts w:hint="eastAsia" w:ascii="仿宋" w:hAnsi="仿宋" w:eastAsia="仿宋" w:cs="仿宋"/>
          <w:sz w:val="32"/>
          <w:szCs w:val="32"/>
        </w:rPr>
        <w:t>，</w:t>
      </w:r>
      <w:r>
        <w:rPr>
          <w:rFonts w:hint="eastAsia" w:ascii="仿宋" w:hAnsi="仿宋" w:eastAsia="仿宋" w:cs="仿宋"/>
          <w:sz w:val="32"/>
          <w:szCs w:val="32"/>
          <w:lang w:val="en-US" w:eastAsia="zh-CN"/>
        </w:rPr>
        <w:t xml:space="preserve">2018年政府信息公开工作完成情况、典型经验做法、工作中存在的问题和2019年工作计划四部分。    </w:t>
      </w:r>
      <w:r>
        <w:rPr>
          <w:rFonts w:hint="eastAsia" w:ascii="仿宋" w:hAnsi="仿宋" w:eastAsia="仿宋" w:cs="仿宋"/>
          <w:sz w:val="32"/>
          <w:szCs w:val="32"/>
        </w:rPr>
        <w:t>本报告中所列数据的统计期限自</w:t>
      </w:r>
      <w:r>
        <w:rPr>
          <w:rFonts w:hint="eastAsia" w:ascii="仿宋" w:hAnsi="仿宋" w:eastAsia="仿宋" w:cs="仿宋"/>
          <w:sz w:val="32"/>
          <w:szCs w:val="32"/>
          <w:lang w:val="en-US" w:eastAsia="zh-CN"/>
        </w:rPr>
        <w:t>2018</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月1日起，至201</w:t>
      </w:r>
      <w:r>
        <w:rPr>
          <w:rFonts w:hint="eastAsia" w:ascii="仿宋" w:hAnsi="仿宋" w:eastAsia="仿宋" w:cs="仿宋"/>
          <w:sz w:val="32"/>
          <w:szCs w:val="32"/>
          <w:lang w:val="en-US" w:eastAsia="zh-CN"/>
        </w:rPr>
        <w:t>8</w:t>
      </w:r>
      <w:r>
        <w:rPr>
          <w:rFonts w:hint="eastAsia" w:ascii="仿宋" w:hAnsi="仿宋" w:eastAsia="仿宋" w:cs="仿宋"/>
          <w:sz w:val="32"/>
          <w:szCs w:val="32"/>
        </w:rPr>
        <w:t>年12月</w:t>
      </w:r>
      <w:r>
        <w:rPr>
          <w:rFonts w:hint="eastAsia" w:ascii="仿宋" w:hAnsi="仿宋" w:eastAsia="仿宋" w:cs="仿宋"/>
          <w:sz w:val="32"/>
          <w:szCs w:val="32"/>
          <w:lang w:val="en-US" w:eastAsia="zh-CN"/>
        </w:rPr>
        <w:t>31</w:t>
      </w:r>
      <w:r>
        <w:rPr>
          <w:rFonts w:hint="eastAsia" w:ascii="仿宋" w:hAnsi="仿宋" w:eastAsia="仿宋" w:cs="仿宋"/>
          <w:sz w:val="32"/>
          <w:szCs w:val="32"/>
        </w:rPr>
        <w:t>日止。本报告的电子版可在http://www.beijing.gov.cn/zfxxgk上下载。如对报告有任何疑问，请与通州区于家务回族乡政府信息公开办公室联系（地址:北京市通州区于家务回族乡</w:t>
      </w:r>
      <w:r>
        <w:rPr>
          <w:rFonts w:hint="eastAsia" w:ascii="仿宋" w:hAnsi="仿宋" w:eastAsia="仿宋" w:cs="仿宋"/>
          <w:sz w:val="32"/>
          <w:szCs w:val="32"/>
          <w:lang w:eastAsia="zh-CN"/>
        </w:rPr>
        <w:t>于家务西里三号院</w:t>
      </w:r>
      <w:r>
        <w:rPr>
          <w:rFonts w:hint="eastAsia" w:ascii="仿宋" w:hAnsi="仿宋" w:eastAsia="仿宋" w:cs="仿宋"/>
          <w:sz w:val="32"/>
          <w:szCs w:val="32"/>
        </w:rPr>
        <w:t>；邮编：101127；联系电话：010-80531961；电子邮箱：</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"mailto:yjwdzhb@sina.com" </w:instrText>
      </w:r>
      <w:r>
        <w:rPr>
          <w:rFonts w:hint="eastAsia" w:ascii="仿宋" w:hAnsi="仿宋" w:eastAsia="仿宋" w:cs="仿宋"/>
          <w:sz w:val="32"/>
          <w:szCs w:val="32"/>
        </w:rPr>
        <w:fldChar w:fldCharType="separate"/>
      </w:r>
      <w:r>
        <w:rPr>
          <w:rStyle w:val="8"/>
          <w:rFonts w:hint="eastAsia" w:ascii="仿宋" w:hAnsi="仿宋" w:eastAsia="仿宋" w:cs="仿宋"/>
          <w:sz w:val="32"/>
          <w:szCs w:val="32"/>
        </w:rPr>
        <w:t>yjwdzb@</w:t>
      </w:r>
      <w:r>
        <w:rPr>
          <w:rStyle w:val="8"/>
          <w:rFonts w:hint="eastAsia" w:ascii="仿宋" w:hAnsi="仿宋" w:eastAsia="仿宋" w:cs="仿宋"/>
          <w:sz w:val="32"/>
          <w:szCs w:val="32"/>
          <w:lang w:val="en-US" w:eastAsia="zh-CN"/>
        </w:rPr>
        <w:t>163</w:t>
      </w:r>
      <w:r>
        <w:rPr>
          <w:rStyle w:val="8"/>
          <w:rFonts w:hint="eastAsia" w:ascii="仿宋" w:hAnsi="仿宋" w:eastAsia="仿宋" w:cs="仿宋"/>
          <w:sz w:val="32"/>
          <w:szCs w:val="32"/>
        </w:rPr>
        <w:t>.com</w:t>
      </w:r>
      <w:r>
        <w:rPr>
          <w:rFonts w:hint="eastAsia" w:ascii="仿宋" w:hAnsi="仿宋" w:eastAsia="仿宋" w:cs="仿宋"/>
          <w:sz w:val="32"/>
          <w:szCs w:val="32"/>
        </w:rPr>
        <w:fldChar w:fldCharType="end"/>
      </w:r>
      <w:r>
        <w:rPr>
          <w:rFonts w:hint="eastAsia" w:ascii="仿宋" w:hAnsi="仿宋" w:eastAsia="仿宋" w:cs="仿宋"/>
          <w:sz w:val="32"/>
          <w:szCs w:val="32"/>
        </w:rPr>
        <w:t>）。</w:t>
      </w:r>
    </w:p>
    <w:p>
      <w:pPr>
        <w:pStyle w:val="4"/>
        <w:keepNext w:val="0"/>
        <w:keepLines w:val="0"/>
        <w:widowControl/>
        <w:numPr>
          <w:ilvl w:val="0"/>
          <w:numId w:val="1"/>
        </w:numPr>
        <w:suppressLineNumbers w:val="0"/>
        <w:wordWrap w:val="0"/>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概述</w:t>
      </w:r>
    </w:p>
    <w:p>
      <w:pPr>
        <w:widowControl/>
        <w:spacing w:line="560" w:lineRule="exact"/>
        <w:ind w:firstLine="640" w:firstLineChars="200"/>
        <w:rPr>
          <w:rFonts w:hint="eastAsia" w:ascii="仿宋_GB2312" w:hAnsi="宋体" w:eastAsia="仿宋_GB2312" w:cs="宋体"/>
          <w:kern w:val="0"/>
          <w:sz w:val="32"/>
          <w:szCs w:val="32"/>
        </w:rPr>
      </w:pPr>
      <w:r>
        <w:rPr>
          <w:rFonts w:hint="eastAsia" w:ascii="仿宋_GB2312" w:eastAsia="仿宋_GB2312"/>
          <w:sz w:val="32"/>
          <w:szCs w:val="32"/>
        </w:rPr>
        <w:t>根据《条例》要求，乡政府办公室为全乡政府信息公开工作主管部门，负责推进、指导、协调、监督全乡政府信息公开工作，明确了专门工作机构和人员</w:t>
      </w:r>
      <w:r>
        <w:rPr>
          <w:rFonts w:hint="eastAsia" w:ascii="仿宋_GB2312" w:hAnsi="宋体" w:eastAsia="仿宋_GB2312" w:cs="宋体"/>
          <w:kern w:val="0"/>
          <w:sz w:val="32"/>
          <w:szCs w:val="32"/>
        </w:rPr>
        <w:t>。</w:t>
      </w:r>
      <w:r>
        <w:rPr>
          <w:rFonts w:hint="eastAsia" w:ascii="仿宋_GB2312" w:eastAsia="仿宋_GB2312"/>
          <w:sz w:val="32"/>
          <w:szCs w:val="32"/>
        </w:rPr>
        <w:t>制定了政府信息清理、依申请公开、发布协调、保密审查、虚假或不完整信息澄清、公开专栏管理、纸质文件移送等相关制度规定，在</w:t>
      </w:r>
      <w:r>
        <w:rPr>
          <w:rFonts w:hint="eastAsia" w:ascii="仿宋_GB2312" w:hAnsi="宋体" w:eastAsia="仿宋_GB2312" w:cs="宋体"/>
          <w:kern w:val="0"/>
          <w:sz w:val="32"/>
          <w:szCs w:val="32"/>
        </w:rPr>
        <w:t>通州区政务门户网站</w:t>
      </w:r>
      <w:r>
        <w:rPr>
          <w:rFonts w:hint="eastAsia" w:ascii="仿宋_GB2312" w:eastAsia="仿宋_GB2312"/>
          <w:sz w:val="32"/>
          <w:szCs w:val="32"/>
        </w:rPr>
        <w:t>“通州信息网”上建立了全区统一的政府信息公开专栏,集中展示全区主动公开的政府信息</w:t>
      </w:r>
      <w:r>
        <w:rPr>
          <w:rFonts w:hint="eastAsia" w:ascii="仿宋_GB2312" w:hAnsi="宋体" w:eastAsia="仿宋_GB2312" w:cs="宋体"/>
          <w:kern w:val="0"/>
          <w:sz w:val="32"/>
          <w:szCs w:val="32"/>
        </w:rPr>
        <w:t>。</w:t>
      </w:r>
    </w:p>
    <w:p>
      <w:pPr>
        <w:widowControl/>
        <w:spacing w:line="560" w:lineRule="exact"/>
        <w:ind w:firstLine="640" w:firstLineChars="200"/>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eastAsia="zh-CN"/>
        </w:rPr>
        <w:t>二、</w:t>
      </w:r>
      <w:r>
        <w:rPr>
          <w:rFonts w:hint="eastAsia" w:ascii="黑体" w:hAnsi="黑体" w:eastAsia="黑体" w:cs="黑体"/>
          <w:kern w:val="0"/>
          <w:sz w:val="32"/>
          <w:szCs w:val="32"/>
          <w:lang w:val="en-US" w:eastAsia="zh-CN"/>
        </w:rPr>
        <w:t>2018年度工作完成情况</w:t>
      </w:r>
    </w:p>
    <w:p>
      <w:pPr>
        <w:widowControl/>
        <w:numPr>
          <w:ilvl w:val="0"/>
          <w:numId w:val="0"/>
        </w:numPr>
        <w:spacing w:line="560" w:lineRule="exact"/>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lang w:val="en-US" w:eastAsia="zh-CN"/>
        </w:rPr>
        <w:t xml:space="preserve">    （一）主动公开信息情况。</w:t>
      </w:r>
      <w:r>
        <w:rPr>
          <w:rFonts w:hint="eastAsia" w:ascii="仿宋_GB2312" w:hAnsi="宋体" w:eastAsia="仿宋_GB2312" w:cs="宋体"/>
          <w:kern w:val="0"/>
          <w:sz w:val="32"/>
          <w:szCs w:val="32"/>
          <w:lang w:val="en-US" w:eastAsia="zh-CN"/>
        </w:rPr>
        <w:t>截止到2018年12月31日，</w:t>
      </w:r>
      <w:r>
        <w:rPr>
          <w:rFonts w:hint="eastAsia" w:ascii="仿宋_GB2312" w:hAnsi="华文中宋" w:eastAsia="仿宋_GB2312"/>
          <w:sz w:val="32"/>
          <w:szCs w:val="32"/>
        </w:rPr>
        <w:t>通过政府信息公开专栏主动公开政府信息</w:t>
      </w:r>
      <w:r>
        <w:rPr>
          <w:rFonts w:hint="eastAsia" w:ascii="仿宋_GB2312" w:hAnsi="华文中宋" w:eastAsia="仿宋_GB2312"/>
          <w:sz w:val="32"/>
          <w:szCs w:val="32"/>
          <w:lang w:val="en-US" w:eastAsia="zh-CN"/>
        </w:rPr>
        <w:t>328</w:t>
      </w:r>
      <w:r>
        <w:rPr>
          <w:rFonts w:hint="eastAsia" w:ascii="仿宋_GB2312" w:hAnsi="宋体" w:eastAsia="仿宋_GB2312" w:cs="宋体"/>
          <w:kern w:val="0"/>
          <w:sz w:val="32"/>
          <w:szCs w:val="32"/>
        </w:rPr>
        <w:t>条，全文电子化率达100%。</w:t>
      </w:r>
      <w:r>
        <w:rPr>
          <w:rFonts w:hint="eastAsia" w:ascii="仿宋_GB2312" w:hAnsi="华文中宋" w:eastAsia="仿宋_GB2312"/>
          <w:sz w:val="32"/>
          <w:szCs w:val="32"/>
        </w:rPr>
        <w:t>其中，</w:t>
      </w:r>
      <w:r>
        <w:rPr>
          <w:rFonts w:hint="eastAsia" w:ascii="仿宋_GB2312" w:hAnsi="华文中宋" w:eastAsia="仿宋_GB2312"/>
          <w:sz w:val="32"/>
          <w:szCs w:val="32"/>
          <w:lang w:eastAsia="zh-CN"/>
        </w:rPr>
        <w:t>机构职责类信息</w:t>
      </w:r>
      <w:r>
        <w:rPr>
          <w:rFonts w:hint="eastAsia" w:ascii="仿宋_GB2312" w:hAnsi="华文中宋" w:eastAsia="仿宋_GB2312"/>
          <w:sz w:val="32"/>
          <w:szCs w:val="32"/>
          <w:lang w:val="en-US" w:eastAsia="zh-CN"/>
        </w:rPr>
        <w:t>1条，占总体的比例为0.3</w:t>
      </w:r>
      <w:r>
        <w:rPr>
          <w:rFonts w:hint="eastAsia" w:ascii="仿宋_GB2312" w:hAnsi="宋体" w:eastAsia="仿宋_GB2312" w:cs="宋体"/>
          <w:kern w:val="0"/>
          <w:sz w:val="32"/>
          <w:szCs w:val="32"/>
        </w:rPr>
        <w:t>%</w:t>
      </w:r>
      <w:r>
        <w:rPr>
          <w:rFonts w:hint="eastAsia" w:ascii="仿宋_GB2312" w:hAnsi="华文中宋" w:eastAsia="仿宋_GB2312"/>
          <w:sz w:val="32"/>
          <w:szCs w:val="32"/>
          <w:lang w:val="en-US" w:eastAsia="zh-CN"/>
        </w:rPr>
        <w:t>；</w:t>
      </w:r>
      <w:r>
        <w:rPr>
          <w:rFonts w:hint="eastAsia" w:ascii="仿宋_GB2312" w:hAnsi="宋体" w:eastAsia="仿宋_GB2312" w:cs="宋体"/>
          <w:kern w:val="0"/>
          <w:sz w:val="32"/>
          <w:szCs w:val="32"/>
        </w:rPr>
        <w:t>法规文件类信息</w:t>
      </w:r>
      <w:r>
        <w:rPr>
          <w:rFonts w:hint="eastAsia" w:ascii="仿宋_GB2312" w:hAnsi="宋体" w:eastAsia="仿宋_GB2312" w:cs="宋体"/>
          <w:kern w:val="0"/>
          <w:sz w:val="32"/>
          <w:szCs w:val="32"/>
          <w:lang w:val="en-US" w:eastAsia="zh-CN"/>
        </w:rPr>
        <w:t>45</w:t>
      </w:r>
      <w:r>
        <w:rPr>
          <w:rFonts w:hint="eastAsia" w:ascii="仿宋_GB2312" w:hAnsi="宋体" w:eastAsia="仿宋_GB2312" w:cs="宋体"/>
          <w:kern w:val="0"/>
          <w:sz w:val="32"/>
          <w:szCs w:val="32"/>
        </w:rPr>
        <w:t>条，占总体的比例为</w:t>
      </w:r>
      <w:r>
        <w:rPr>
          <w:rFonts w:hint="eastAsia" w:ascii="仿宋_GB2312" w:hAnsi="宋体" w:eastAsia="仿宋_GB2312" w:cs="宋体"/>
          <w:kern w:val="0"/>
          <w:sz w:val="32"/>
          <w:szCs w:val="32"/>
          <w:lang w:val="en-US" w:eastAsia="zh-CN"/>
        </w:rPr>
        <w:t>14.0</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规划计划类</w:t>
      </w:r>
      <w:r>
        <w:rPr>
          <w:rFonts w:hint="eastAsia" w:ascii="仿宋_GB2312" w:hAnsi="宋体" w:eastAsia="仿宋_GB2312" w:cs="宋体"/>
          <w:kern w:val="0"/>
          <w:sz w:val="32"/>
          <w:szCs w:val="32"/>
          <w:lang w:val="en-US" w:eastAsia="zh-CN"/>
        </w:rPr>
        <w:t>7条，</w:t>
      </w:r>
      <w:r>
        <w:rPr>
          <w:rFonts w:hint="eastAsia" w:ascii="仿宋_GB2312" w:hAnsi="宋体" w:eastAsia="仿宋_GB2312" w:cs="宋体"/>
          <w:kern w:val="0"/>
          <w:sz w:val="32"/>
          <w:szCs w:val="32"/>
        </w:rPr>
        <w:t>占总体的比例为</w:t>
      </w: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业务动态类信息</w:t>
      </w:r>
      <w:r>
        <w:rPr>
          <w:rFonts w:hint="eastAsia" w:ascii="仿宋_GB2312" w:hAnsi="宋体" w:eastAsia="仿宋_GB2312" w:cs="宋体"/>
          <w:kern w:val="0"/>
          <w:sz w:val="32"/>
          <w:szCs w:val="32"/>
          <w:lang w:val="en-US" w:eastAsia="zh-CN"/>
        </w:rPr>
        <w:t>187</w:t>
      </w:r>
      <w:r>
        <w:rPr>
          <w:rFonts w:hint="eastAsia" w:ascii="仿宋_GB2312" w:hAnsi="宋体" w:eastAsia="仿宋_GB2312" w:cs="宋体"/>
          <w:kern w:val="0"/>
          <w:sz w:val="32"/>
          <w:szCs w:val="32"/>
        </w:rPr>
        <w:t>条，占总体的比例为</w:t>
      </w:r>
      <w:r>
        <w:rPr>
          <w:rFonts w:hint="eastAsia" w:ascii="仿宋_GB2312" w:hAnsi="宋体" w:eastAsia="仿宋_GB2312" w:cs="宋体"/>
          <w:kern w:val="0"/>
          <w:sz w:val="32"/>
          <w:szCs w:val="32"/>
          <w:lang w:val="en-US" w:eastAsia="zh-CN"/>
        </w:rPr>
        <w:t>57%</w:t>
      </w:r>
      <w:r>
        <w:rPr>
          <w:rFonts w:hint="eastAsia" w:ascii="仿宋_GB2312" w:hAnsi="宋体" w:eastAsia="仿宋_GB2312" w:cs="宋体"/>
          <w:kern w:val="0"/>
          <w:sz w:val="32"/>
          <w:szCs w:val="32"/>
        </w:rPr>
        <w:t>。</w:t>
      </w:r>
    </w:p>
    <w:p>
      <w:pPr>
        <w:widowControl/>
        <w:numPr>
          <w:ilvl w:val="0"/>
          <w:numId w:val="0"/>
        </w:numPr>
        <w:spacing w:line="560" w:lineRule="exact"/>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lang w:val="en-US" w:eastAsia="zh-CN"/>
        </w:rPr>
        <w:t xml:space="preserve">    （二）</w:t>
      </w:r>
      <w:r>
        <w:rPr>
          <w:rFonts w:hint="eastAsia" w:ascii="仿宋_GB2312" w:hAnsi="宋体" w:eastAsia="仿宋_GB2312" w:cs="宋体"/>
          <w:b/>
          <w:bCs/>
          <w:kern w:val="0"/>
          <w:sz w:val="32"/>
          <w:szCs w:val="32"/>
          <w:lang w:eastAsia="zh-CN"/>
        </w:rPr>
        <w:t>开展政策解读情况。</w:t>
      </w:r>
      <w:r>
        <w:rPr>
          <w:rFonts w:hint="eastAsia" w:ascii="仿宋_GB2312" w:hAnsi="宋体" w:eastAsia="仿宋_GB2312" w:cs="宋体"/>
          <w:kern w:val="0"/>
          <w:sz w:val="32"/>
          <w:szCs w:val="32"/>
          <w:lang w:eastAsia="zh-CN"/>
        </w:rPr>
        <w:t>召开专题培训，对政府信息公开目录进行解读和讨论，明确各科室职责和报送要求，进一步做好信息公开工作。</w:t>
      </w:r>
    </w:p>
    <w:p>
      <w:pPr>
        <w:widowControl/>
        <w:spacing w:line="560" w:lineRule="exact"/>
        <w:ind w:firstLine="643" w:firstLineChars="200"/>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lang w:eastAsia="zh-CN"/>
        </w:rPr>
        <w:t>（三）政府信息和政务公开渠道平台建设情况。</w:t>
      </w:r>
      <w:r>
        <w:rPr>
          <w:rFonts w:hint="eastAsia" w:ascii="仿宋_GB2312" w:hAnsi="宋体" w:eastAsia="仿宋_GB2312" w:cs="宋体"/>
          <w:color w:val="000000"/>
          <w:kern w:val="0"/>
          <w:sz w:val="32"/>
          <w:szCs w:val="32"/>
        </w:rPr>
        <w:t>为方便公众了解信息，根据政府信息公开需要，乡政府专门</w:t>
      </w:r>
      <w:r>
        <w:rPr>
          <w:rFonts w:hint="eastAsia" w:ascii="仿宋_GB2312" w:hAnsi="宋体" w:eastAsia="仿宋_GB2312" w:cs="宋体"/>
          <w:kern w:val="0"/>
          <w:sz w:val="32"/>
          <w:szCs w:val="32"/>
        </w:rPr>
        <w:t>开辟了政府信息公开查阅点，并制定了服务标准、工作准则等规章制度，方便公众就近查阅政府信息。</w:t>
      </w:r>
    </w:p>
    <w:p>
      <w:pPr>
        <w:widowControl/>
        <w:numPr>
          <w:ilvl w:val="0"/>
          <w:numId w:val="0"/>
        </w:numPr>
        <w:spacing w:line="560" w:lineRule="exact"/>
        <w:ind w:firstLine="643"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b/>
          <w:bCs/>
          <w:kern w:val="0"/>
          <w:sz w:val="32"/>
          <w:szCs w:val="32"/>
          <w:lang w:val="en-US" w:eastAsia="zh-CN"/>
        </w:rPr>
        <w:t>（四）政府信息和政务信息公开组织领导和考核监督情况。</w:t>
      </w:r>
      <w:r>
        <w:rPr>
          <w:rFonts w:hint="eastAsia" w:ascii="仿宋_GB2312" w:hAnsi="宋体" w:eastAsia="仿宋_GB2312" w:cs="宋体"/>
          <w:kern w:val="0"/>
          <w:sz w:val="32"/>
          <w:szCs w:val="32"/>
          <w:lang w:val="en-US" w:eastAsia="zh-CN"/>
        </w:rPr>
        <w:t>我乡领导一直高度重视信息公开工作，将工作安排到乡办公室，并安排专门人员负责。推行信息公开工作“谁主管、谁负责”，落实具体公开内容的的规范化、责任化、制度化的信息公开程序。定期检查信息公开的进度和质量，及时指出信息公开工作中的不足，保证公开信息及时、准确、有效、有用。</w:t>
      </w:r>
    </w:p>
    <w:p>
      <w:pPr>
        <w:widowControl/>
        <w:numPr>
          <w:ilvl w:val="0"/>
          <w:numId w:val="0"/>
        </w:numPr>
        <w:spacing w:line="560" w:lineRule="exact"/>
        <w:ind w:firstLine="643"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b/>
          <w:bCs/>
          <w:kern w:val="0"/>
          <w:sz w:val="32"/>
          <w:szCs w:val="32"/>
          <w:lang w:val="en-US" w:eastAsia="zh-CN"/>
        </w:rPr>
        <w:t>（五）依申请公开办理情况。</w:t>
      </w:r>
      <w:r>
        <w:rPr>
          <w:rFonts w:hint="eastAsia" w:ascii="仿宋_GB2312" w:hAnsi="宋体" w:eastAsia="仿宋_GB2312" w:cs="宋体"/>
          <w:kern w:val="0"/>
          <w:sz w:val="32"/>
          <w:szCs w:val="32"/>
          <w:lang w:val="en-US" w:eastAsia="zh-CN"/>
        </w:rPr>
        <w:t>2018年我乡依申请公开信息16件，已按期回复。</w:t>
      </w:r>
    </w:p>
    <w:p>
      <w:pPr>
        <w:widowControl/>
        <w:numPr>
          <w:ilvl w:val="0"/>
          <w:numId w:val="0"/>
        </w:numPr>
        <w:spacing w:line="560" w:lineRule="exact"/>
        <w:ind w:firstLine="640"/>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三、工作中的经验做法</w:t>
      </w:r>
    </w:p>
    <w:p>
      <w:pPr>
        <w:numPr>
          <w:ilvl w:val="0"/>
          <w:numId w:val="0"/>
        </w:numPr>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在信息公开工作中，我乡一直紧紧围绕“依法、便民、高效、廉洁、透明”的要求，积极开展各项工作。一是完善政府信息公开制度、建立健全政府信息公开保障机制；二是定期召开会议研究信息公开工作，规法梳理信息公布内容；三是定期召开培训会，培训相关知识，以适应和跟进信息化发展步伐。</w:t>
      </w:r>
    </w:p>
    <w:p>
      <w:pPr>
        <w:widowControl/>
        <w:numPr>
          <w:ilvl w:val="0"/>
          <w:numId w:val="0"/>
        </w:numPr>
        <w:spacing w:line="560" w:lineRule="exact"/>
        <w:ind w:firstLine="640"/>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四、存在的问题和对全区政务公开工作的意见和建议</w:t>
      </w:r>
    </w:p>
    <w:p>
      <w:pPr>
        <w:numPr>
          <w:ilvl w:val="0"/>
          <w:numId w:val="0"/>
        </w:numPr>
        <w:ind w:firstLine="640" w:firstLineChars="200"/>
        <w:jc w:val="both"/>
        <w:rPr>
          <w:rFonts w:hint="eastAsia" w:ascii="仿宋_GB2312" w:eastAsia="仿宋_GB2312"/>
          <w:sz w:val="32"/>
          <w:szCs w:val="32"/>
        </w:rPr>
      </w:pPr>
      <w:r>
        <w:rPr>
          <w:rFonts w:hint="eastAsia" w:ascii="仿宋_GB2312" w:eastAsia="仿宋_GB2312"/>
          <w:sz w:val="32"/>
          <w:szCs w:val="32"/>
        </w:rPr>
        <w:t>全乡各部门、科室按照《条例》要求开展各项工作，但在信息公开工作的内容和形式、工作制度、工作效率和服务意识等方面还存在诸多问题和不足。主要有以下几个方面：一是部门联系程度有待加强，偶有各部门信息沟通不畅现象发生，需要紧密联系。二是信息公开的内容时效性不够强，信息更新还不够及时，公开质量有待提高。三是信息公开工作人员工作能力有待进一步提高，队伍建设还需加强，需要继续开办信息化培训班。</w:t>
      </w:r>
    </w:p>
    <w:p>
      <w:pPr>
        <w:widowControl/>
        <w:numPr>
          <w:ilvl w:val="0"/>
          <w:numId w:val="0"/>
        </w:numPr>
        <w:spacing w:line="560" w:lineRule="exact"/>
        <w:ind w:firstLine="640"/>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五、2019年工作计划</w:t>
      </w:r>
    </w:p>
    <w:p>
      <w:pPr>
        <w:widowControl/>
        <w:numPr>
          <w:ilvl w:val="0"/>
          <w:numId w:val="0"/>
        </w:numPr>
        <w:spacing w:line="240" w:lineRule="auto"/>
        <w:ind w:firstLine="640" w:firstLineChars="200"/>
        <w:outlineLvl w:val="0"/>
        <w:rPr>
          <w:rFonts w:hint="eastAsia" w:ascii="仿宋_GB2312" w:eastAsia="仿宋_GB2312"/>
          <w:sz w:val="32"/>
          <w:szCs w:val="32"/>
        </w:rPr>
      </w:pPr>
      <w:r>
        <w:rPr>
          <w:rFonts w:hint="eastAsia" w:ascii="仿宋_GB2312" w:eastAsia="仿宋_GB2312"/>
          <w:sz w:val="32"/>
          <w:szCs w:val="32"/>
          <w:lang w:eastAsia="zh-CN"/>
        </w:rPr>
        <w:t>宣传内容上</w:t>
      </w:r>
      <w:r>
        <w:rPr>
          <w:rFonts w:hint="eastAsia" w:ascii="仿宋_GB2312" w:eastAsia="仿宋_GB2312"/>
          <w:sz w:val="32"/>
          <w:szCs w:val="32"/>
        </w:rPr>
        <w:t>转变宣传思路，拓展宣传渠道，转换角度，有重点的对我乡</w:t>
      </w:r>
      <w:r>
        <w:rPr>
          <w:rFonts w:hint="eastAsia" w:ascii="仿宋_GB2312" w:eastAsia="仿宋_GB2312"/>
          <w:sz w:val="32"/>
          <w:szCs w:val="32"/>
          <w:lang w:eastAsia="zh-CN"/>
        </w:rPr>
        <w:t>美丽乡村建设、提升人民获得感</w:t>
      </w:r>
      <w:r>
        <w:rPr>
          <w:rFonts w:hint="eastAsia" w:ascii="仿宋_GB2312" w:eastAsia="仿宋_GB2312"/>
          <w:sz w:val="32"/>
          <w:szCs w:val="32"/>
        </w:rPr>
        <w:t>等</w:t>
      </w:r>
      <w:r>
        <w:rPr>
          <w:rFonts w:hint="eastAsia" w:ascii="仿宋_GB2312" w:eastAsia="仿宋_GB2312"/>
          <w:sz w:val="32"/>
          <w:szCs w:val="32"/>
          <w:lang w:eastAsia="zh-CN"/>
        </w:rPr>
        <w:t>方面</w:t>
      </w:r>
      <w:r>
        <w:rPr>
          <w:rFonts w:hint="eastAsia" w:ascii="仿宋_GB2312" w:eastAsia="仿宋_GB2312"/>
          <w:sz w:val="32"/>
          <w:szCs w:val="32"/>
        </w:rPr>
        <w:t>进行宣传，让外界能够充分了解我乡的建设情况。使政府信息公开工作在宣传我乡经济建设、都市型现代农业建设</w:t>
      </w:r>
      <w:r>
        <w:rPr>
          <w:rFonts w:hint="eastAsia" w:ascii="仿宋_GB2312" w:eastAsia="仿宋_GB2312"/>
          <w:sz w:val="32"/>
          <w:szCs w:val="32"/>
          <w:lang w:eastAsia="zh-CN"/>
        </w:rPr>
        <w:t>及新型城镇化建设</w:t>
      </w:r>
      <w:r>
        <w:rPr>
          <w:rFonts w:hint="eastAsia" w:ascii="仿宋_GB2312" w:eastAsia="仿宋_GB2312"/>
          <w:sz w:val="32"/>
          <w:szCs w:val="32"/>
        </w:rPr>
        <w:t>中发挥巨大的作用。</w:t>
      </w:r>
    </w:p>
    <w:p>
      <w:pPr>
        <w:widowControl/>
        <w:numPr>
          <w:ilvl w:val="0"/>
          <w:numId w:val="0"/>
        </w:numPr>
        <w:spacing w:line="560" w:lineRule="exact"/>
        <w:jc w:val="both"/>
        <w:outlineLvl w:val="0"/>
        <w:rPr>
          <w:rFonts w:hint="eastAsia" w:ascii="仿宋_GB2312" w:eastAsia="仿宋_GB2312"/>
          <w:sz w:val="32"/>
          <w:szCs w:val="32"/>
          <w:lang w:val="en-US" w:eastAsia="zh-CN"/>
        </w:rPr>
      </w:pPr>
    </w:p>
    <w:p>
      <w:pPr>
        <w:widowControl/>
        <w:numPr>
          <w:ilvl w:val="0"/>
          <w:numId w:val="0"/>
        </w:numPr>
        <w:spacing w:line="560" w:lineRule="exact"/>
        <w:jc w:val="both"/>
        <w:outlineLvl w:val="0"/>
        <w:rPr>
          <w:rFonts w:hint="eastAsia" w:ascii="仿宋_GB2312" w:eastAsia="仿宋_GB2312"/>
          <w:sz w:val="32"/>
          <w:szCs w:val="32"/>
          <w:lang w:val="en-US" w:eastAsia="zh-CN"/>
        </w:rPr>
      </w:pPr>
    </w:p>
    <w:p>
      <w:pPr>
        <w:widowControl/>
        <w:numPr>
          <w:ilvl w:val="0"/>
          <w:numId w:val="0"/>
        </w:numPr>
        <w:spacing w:line="560" w:lineRule="exact"/>
        <w:jc w:val="both"/>
        <w:outlineLvl w:val="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于家务回族乡人民政府</w:t>
      </w:r>
    </w:p>
    <w:p>
      <w:pPr>
        <w:widowControl/>
        <w:numPr>
          <w:ilvl w:val="0"/>
          <w:numId w:val="0"/>
        </w:numPr>
        <w:spacing w:line="560" w:lineRule="exact"/>
        <w:jc w:val="both"/>
        <w:outlineLvl w:val="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2019年3月</w:t>
      </w:r>
    </w:p>
    <w:p>
      <w:pPr>
        <w:widowControl/>
        <w:numPr>
          <w:ilvl w:val="0"/>
          <w:numId w:val="0"/>
        </w:numPr>
        <w:spacing w:line="560" w:lineRule="exact"/>
        <w:jc w:val="both"/>
        <w:outlineLvl w:val="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p>
    <w:p>
      <w:pPr>
        <w:widowControl/>
        <w:numPr>
          <w:ilvl w:val="0"/>
          <w:numId w:val="0"/>
        </w:numPr>
        <w:spacing w:line="560" w:lineRule="exact"/>
        <w:jc w:val="both"/>
        <w:outlineLvl w:val="0"/>
        <w:rPr>
          <w:rFonts w:hint="eastAsia" w:ascii="仿宋_GB2312" w:eastAsia="仿宋_GB2312"/>
          <w:sz w:val="32"/>
          <w:szCs w:val="32"/>
          <w:lang w:val="en-US" w:eastAsia="zh-CN"/>
        </w:rPr>
      </w:pPr>
    </w:p>
    <w:p>
      <w:pPr>
        <w:widowControl/>
        <w:numPr>
          <w:ilvl w:val="0"/>
          <w:numId w:val="0"/>
        </w:numPr>
        <w:spacing w:line="560" w:lineRule="exact"/>
        <w:jc w:val="both"/>
        <w:outlineLvl w:val="0"/>
        <w:rPr>
          <w:rFonts w:hint="eastAsia" w:ascii="仿宋_GB2312" w:eastAsia="仿宋_GB2312"/>
          <w:sz w:val="32"/>
          <w:szCs w:val="32"/>
          <w:lang w:val="en-US" w:eastAsia="zh-CN"/>
        </w:rPr>
      </w:pPr>
    </w:p>
    <w:p>
      <w:pPr>
        <w:widowControl/>
        <w:numPr>
          <w:ilvl w:val="0"/>
          <w:numId w:val="0"/>
        </w:numPr>
        <w:spacing w:line="560" w:lineRule="exact"/>
        <w:jc w:val="both"/>
        <w:outlineLvl w:val="0"/>
        <w:rPr>
          <w:rFonts w:hint="eastAsia" w:ascii="仿宋_GB2312" w:eastAsia="仿宋_GB2312"/>
          <w:sz w:val="32"/>
          <w:szCs w:val="32"/>
          <w:lang w:val="en-US" w:eastAsia="zh-CN"/>
        </w:rPr>
      </w:pPr>
    </w:p>
    <w:p>
      <w:pPr>
        <w:widowControl/>
        <w:numPr>
          <w:ilvl w:val="0"/>
          <w:numId w:val="0"/>
        </w:numPr>
        <w:spacing w:line="560" w:lineRule="exact"/>
        <w:jc w:val="both"/>
        <w:outlineLvl w:val="0"/>
        <w:rPr>
          <w:rFonts w:hint="eastAsia" w:ascii="仿宋_GB2312" w:eastAsia="仿宋_GB2312"/>
          <w:sz w:val="32"/>
          <w:szCs w:val="32"/>
          <w:lang w:val="en-US" w:eastAsia="zh-CN"/>
        </w:rPr>
      </w:pPr>
    </w:p>
    <w:p>
      <w:pPr>
        <w:widowControl/>
        <w:numPr>
          <w:ilvl w:val="0"/>
          <w:numId w:val="0"/>
        </w:numPr>
        <w:spacing w:line="560" w:lineRule="exact"/>
        <w:jc w:val="both"/>
        <w:outlineLvl w:val="0"/>
        <w:rPr>
          <w:rFonts w:hint="eastAsia" w:ascii="仿宋_GB2312" w:eastAsia="仿宋_GB2312"/>
          <w:sz w:val="32"/>
          <w:szCs w:val="32"/>
          <w:lang w:val="en-US" w:eastAsia="zh-CN"/>
        </w:rPr>
      </w:pPr>
    </w:p>
    <w:p>
      <w:pPr>
        <w:widowControl/>
        <w:numPr>
          <w:ilvl w:val="0"/>
          <w:numId w:val="0"/>
        </w:numPr>
        <w:spacing w:line="560" w:lineRule="exact"/>
        <w:jc w:val="both"/>
        <w:outlineLvl w:val="0"/>
        <w:rPr>
          <w:rFonts w:hint="eastAsia" w:ascii="仿宋_GB2312" w:eastAsia="仿宋_GB2312"/>
          <w:sz w:val="32"/>
          <w:szCs w:val="32"/>
          <w:lang w:val="en-US" w:eastAsia="zh-CN"/>
        </w:rPr>
      </w:pPr>
    </w:p>
    <w:p>
      <w:pPr>
        <w:widowControl/>
        <w:numPr>
          <w:ilvl w:val="0"/>
          <w:numId w:val="0"/>
        </w:numPr>
        <w:spacing w:line="560" w:lineRule="exact"/>
        <w:jc w:val="both"/>
        <w:outlineLvl w:val="0"/>
        <w:rPr>
          <w:rFonts w:hint="eastAsia" w:ascii="仿宋_GB2312" w:eastAsia="仿宋_GB2312"/>
          <w:sz w:val="32"/>
          <w:szCs w:val="32"/>
          <w:lang w:val="en-US" w:eastAsia="zh-CN"/>
        </w:rPr>
      </w:pPr>
    </w:p>
    <w:p>
      <w:pPr>
        <w:widowControl/>
        <w:numPr>
          <w:ilvl w:val="0"/>
          <w:numId w:val="0"/>
        </w:numPr>
        <w:spacing w:line="560" w:lineRule="exact"/>
        <w:jc w:val="both"/>
        <w:outlineLvl w:val="0"/>
        <w:rPr>
          <w:rFonts w:hint="eastAsia" w:ascii="仿宋_GB2312" w:eastAsia="仿宋_GB2312"/>
          <w:sz w:val="32"/>
          <w:szCs w:val="32"/>
          <w:lang w:val="en-US" w:eastAsia="zh-CN"/>
        </w:rPr>
      </w:pPr>
    </w:p>
    <w:p>
      <w:pPr>
        <w:widowControl/>
        <w:numPr>
          <w:ilvl w:val="0"/>
          <w:numId w:val="0"/>
        </w:numPr>
        <w:spacing w:line="560" w:lineRule="exact"/>
        <w:jc w:val="both"/>
        <w:outlineLvl w:val="0"/>
        <w:rPr>
          <w:rFonts w:hint="eastAsia" w:ascii="仿宋_GB2312" w:eastAsia="仿宋_GB2312"/>
          <w:sz w:val="32"/>
          <w:szCs w:val="32"/>
          <w:lang w:val="en-US" w:eastAsia="zh-CN"/>
        </w:rPr>
      </w:pPr>
    </w:p>
    <w:p>
      <w:pPr>
        <w:widowControl/>
        <w:numPr>
          <w:ilvl w:val="0"/>
          <w:numId w:val="0"/>
        </w:numPr>
        <w:spacing w:line="560" w:lineRule="exact"/>
        <w:jc w:val="both"/>
        <w:outlineLvl w:val="0"/>
        <w:rPr>
          <w:rFonts w:hint="eastAsia" w:ascii="仿宋_GB2312" w:eastAsia="仿宋_GB2312"/>
          <w:sz w:val="32"/>
          <w:szCs w:val="32"/>
          <w:lang w:val="en-US" w:eastAsia="zh-CN"/>
        </w:rPr>
      </w:pPr>
    </w:p>
    <w:p>
      <w:pPr>
        <w:widowControl/>
        <w:numPr>
          <w:ilvl w:val="0"/>
          <w:numId w:val="0"/>
        </w:numPr>
        <w:spacing w:line="560" w:lineRule="exact"/>
        <w:jc w:val="both"/>
        <w:outlineLvl w:val="0"/>
        <w:rPr>
          <w:rFonts w:hint="eastAsia" w:ascii="仿宋_GB2312" w:eastAsia="仿宋_GB2312"/>
          <w:sz w:val="32"/>
          <w:szCs w:val="32"/>
          <w:lang w:val="en-US" w:eastAsia="zh-CN"/>
        </w:rPr>
      </w:pPr>
    </w:p>
    <w:p>
      <w:pPr>
        <w:widowControl/>
        <w:numPr>
          <w:ilvl w:val="0"/>
          <w:numId w:val="0"/>
        </w:numPr>
        <w:spacing w:line="560" w:lineRule="exact"/>
        <w:jc w:val="both"/>
        <w:outlineLvl w:val="0"/>
        <w:rPr>
          <w:rFonts w:hint="eastAsia" w:ascii="仿宋_GB2312" w:eastAsia="仿宋_GB2312"/>
          <w:sz w:val="32"/>
          <w:szCs w:val="32"/>
          <w:lang w:val="en-US" w:eastAsia="zh-CN"/>
        </w:rPr>
      </w:pPr>
    </w:p>
    <w:p>
      <w:pPr>
        <w:widowControl/>
        <w:numPr>
          <w:ilvl w:val="0"/>
          <w:numId w:val="0"/>
        </w:numPr>
        <w:spacing w:line="560" w:lineRule="exact"/>
        <w:jc w:val="both"/>
        <w:outlineLvl w:val="0"/>
        <w:rPr>
          <w:rFonts w:hint="eastAsia" w:ascii="仿宋_GB2312" w:eastAsia="仿宋_GB2312"/>
          <w:sz w:val="32"/>
          <w:szCs w:val="32"/>
          <w:lang w:val="en-US" w:eastAsia="zh-CN"/>
        </w:rPr>
      </w:pPr>
    </w:p>
    <w:p>
      <w:pPr>
        <w:widowControl/>
        <w:numPr>
          <w:ilvl w:val="0"/>
          <w:numId w:val="0"/>
        </w:numPr>
        <w:spacing w:line="560" w:lineRule="exact"/>
        <w:jc w:val="both"/>
        <w:outlineLvl w:val="0"/>
        <w:rPr>
          <w:rFonts w:hint="eastAsia" w:ascii="仿宋_GB2312" w:eastAsia="仿宋_GB2312"/>
          <w:sz w:val="32"/>
          <w:szCs w:val="32"/>
          <w:lang w:val="en-US" w:eastAsia="zh-CN"/>
        </w:rPr>
      </w:pPr>
    </w:p>
    <w:p>
      <w:pPr>
        <w:widowControl/>
        <w:numPr>
          <w:ilvl w:val="0"/>
          <w:numId w:val="0"/>
        </w:numPr>
        <w:spacing w:line="560" w:lineRule="exact"/>
        <w:jc w:val="both"/>
        <w:outlineLvl w:val="0"/>
        <w:rPr>
          <w:rFonts w:hint="eastAsia" w:ascii="仿宋_GB2312" w:eastAsia="仿宋_GB2312"/>
          <w:sz w:val="32"/>
          <w:szCs w:val="32"/>
          <w:lang w:val="en-US" w:eastAsia="zh-CN"/>
        </w:rPr>
      </w:pPr>
    </w:p>
    <w:p>
      <w:pPr>
        <w:widowControl/>
        <w:numPr>
          <w:ilvl w:val="0"/>
          <w:numId w:val="0"/>
        </w:numPr>
        <w:spacing w:line="560" w:lineRule="exact"/>
        <w:jc w:val="both"/>
        <w:outlineLvl w:val="0"/>
        <w:rPr>
          <w:rFonts w:hint="eastAsia" w:ascii="仿宋_GB2312" w:eastAsia="仿宋_GB2312"/>
          <w:sz w:val="32"/>
          <w:szCs w:val="32"/>
          <w:lang w:val="en-US" w:eastAsia="zh-CN"/>
        </w:rPr>
      </w:pPr>
    </w:p>
    <w:p>
      <w:pPr>
        <w:widowControl/>
        <w:numPr>
          <w:ilvl w:val="0"/>
          <w:numId w:val="0"/>
        </w:numPr>
        <w:spacing w:line="560" w:lineRule="exact"/>
        <w:jc w:val="both"/>
        <w:outlineLvl w:val="0"/>
        <w:rPr>
          <w:rFonts w:hint="eastAsia" w:ascii="仿宋_GB2312" w:eastAsia="仿宋_GB2312"/>
          <w:sz w:val="32"/>
          <w:szCs w:val="32"/>
          <w:lang w:val="en-US" w:eastAsia="zh-CN"/>
        </w:rPr>
      </w:pPr>
    </w:p>
    <w:tbl>
      <w:tblPr>
        <w:tblStyle w:val="5"/>
        <w:tblW w:w="9555" w:type="dxa"/>
        <w:jc w:val="center"/>
        <w:tblInd w:w="93" w:type="dxa"/>
        <w:tblLayout w:type="fixed"/>
        <w:tblCellMar>
          <w:top w:w="0" w:type="dxa"/>
          <w:left w:w="108" w:type="dxa"/>
          <w:bottom w:w="0" w:type="dxa"/>
          <w:right w:w="108" w:type="dxa"/>
        </w:tblCellMar>
      </w:tblPr>
      <w:tblGrid>
        <w:gridCol w:w="7755"/>
        <w:gridCol w:w="720"/>
        <w:gridCol w:w="1080"/>
      </w:tblGrid>
      <w:tr>
        <w:tblPrEx>
          <w:tblLayout w:type="fixed"/>
          <w:tblCellMar>
            <w:top w:w="0" w:type="dxa"/>
            <w:left w:w="108" w:type="dxa"/>
            <w:bottom w:w="0" w:type="dxa"/>
            <w:right w:w="108" w:type="dxa"/>
          </w:tblCellMar>
        </w:tblPrEx>
        <w:trPr>
          <w:trHeight w:val="540" w:hRule="atLeast"/>
          <w:jc w:val="center"/>
        </w:trPr>
        <w:tc>
          <w:tcPr>
            <w:tcW w:w="9555" w:type="dxa"/>
            <w:gridSpan w:val="3"/>
            <w:tcBorders>
              <w:top w:val="nil"/>
              <w:left w:val="nil"/>
              <w:bottom w:val="nil"/>
              <w:right w:val="nil"/>
            </w:tcBorders>
            <w:shd w:val="clear" w:color="FFFFFF" w:fill="auto"/>
            <w:vAlign w:val="center"/>
          </w:tcPr>
          <w:p>
            <w:pPr>
              <w:widowControl/>
              <w:jc w:val="center"/>
              <w:rPr>
                <w:rFonts w:hint="eastAsia"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政府信息公开情况统计表</w:t>
            </w:r>
          </w:p>
        </w:tc>
      </w:tr>
      <w:tr>
        <w:tblPrEx>
          <w:tblLayout w:type="fixed"/>
          <w:tblCellMar>
            <w:top w:w="0" w:type="dxa"/>
            <w:left w:w="108" w:type="dxa"/>
            <w:bottom w:w="0" w:type="dxa"/>
            <w:right w:w="108" w:type="dxa"/>
          </w:tblCellMar>
        </w:tblPrEx>
        <w:trPr>
          <w:trHeight w:val="285" w:hRule="atLeast"/>
          <w:jc w:val="center"/>
        </w:trPr>
        <w:tc>
          <w:tcPr>
            <w:tcW w:w="9555" w:type="dxa"/>
            <w:gridSpan w:val="3"/>
            <w:tcBorders>
              <w:top w:val="nil"/>
              <w:left w:val="nil"/>
              <w:bottom w:val="nil"/>
              <w:right w:val="nil"/>
            </w:tcBorders>
            <w:shd w:val="clear" w:color="FFFFFF" w:fill="auto"/>
            <w:vAlign w:val="center"/>
          </w:tcPr>
          <w:p>
            <w:pPr>
              <w:widowControl/>
              <w:jc w:val="center"/>
              <w:rPr>
                <w:rFonts w:ascii="楷体_GB2312" w:hAnsi="宋体" w:eastAsia="楷体_GB2312" w:cs="宋体"/>
                <w:kern w:val="0"/>
                <w:sz w:val="32"/>
                <w:szCs w:val="32"/>
              </w:rPr>
            </w:pPr>
            <w:r>
              <w:rPr>
                <w:rFonts w:hint="eastAsia" w:ascii="楷体_GB2312" w:hAnsi="宋体" w:eastAsia="楷体_GB2312" w:cs="宋体"/>
                <w:kern w:val="0"/>
                <w:sz w:val="32"/>
                <w:szCs w:val="32"/>
              </w:rPr>
              <w:t xml:space="preserve">（   </w:t>
            </w:r>
            <w:r>
              <w:rPr>
                <w:rFonts w:hint="eastAsia" w:ascii="楷体_GB2312" w:hAnsi="宋体" w:eastAsia="楷体_GB2312" w:cs="宋体"/>
                <w:kern w:val="0"/>
                <w:sz w:val="32"/>
                <w:szCs w:val="32"/>
                <w:lang w:val="en-US" w:eastAsia="zh-CN"/>
              </w:rPr>
              <w:t>2018</w:t>
            </w:r>
            <w:r>
              <w:rPr>
                <w:rFonts w:hint="eastAsia" w:ascii="楷体_GB2312" w:hAnsi="宋体" w:eastAsia="楷体_GB2312" w:cs="宋体"/>
                <w:kern w:val="0"/>
                <w:sz w:val="32"/>
                <w:szCs w:val="32"/>
              </w:rPr>
              <w:t xml:space="preserve">   年度）</w:t>
            </w:r>
          </w:p>
        </w:tc>
      </w:tr>
      <w:tr>
        <w:tblPrEx>
          <w:tblLayout w:type="fixed"/>
          <w:tblCellMar>
            <w:top w:w="0" w:type="dxa"/>
            <w:left w:w="108" w:type="dxa"/>
            <w:bottom w:w="0" w:type="dxa"/>
            <w:right w:w="108" w:type="dxa"/>
          </w:tblCellMar>
        </w:tblPrEx>
        <w:trPr>
          <w:trHeight w:val="405" w:hRule="atLeast"/>
          <w:jc w:val="center"/>
        </w:trPr>
        <w:tc>
          <w:tcPr>
            <w:tcW w:w="7755" w:type="dxa"/>
            <w:tcBorders>
              <w:top w:val="nil"/>
              <w:left w:val="nil"/>
              <w:bottom w:val="nil"/>
              <w:right w:val="nil"/>
            </w:tcBorders>
            <w:shd w:val="clear" w:color="FFFFFF" w:fill="auto"/>
            <w:vAlign w:val="center"/>
          </w:tcPr>
          <w:p>
            <w:pPr>
              <w:widowControl/>
              <w:jc w:val="left"/>
              <w:rPr>
                <w:rFonts w:ascii="宋体" w:hAnsi="宋体" w:cs="宋体"/>
                <w:color w:val="000000"/>
                <w:kern w:val="0"/>
                <w:sz w:val="22"/>
                <w:szCs w:val="22"/>
              </w:rPr>
            </w:pPr>
          </w:p>
        </w:tc>
        <w:tc>
          <w:tcPr>
            <w:tcW w:w="720" w:type="dxa"/>
            <w:tcBorders>
              <w:top w:val="nil"/>
              <w:left w:val="nil"/>
              <w:bottom w:val="nil"/>
              <w:right w:val="nil"/>
            </w:tcBorders>
            <w:shd w:val="clear" w:color="FFFFFF" w:fill="auto"/>
            <w:vAlign w:val="center"/>
          </w:tcPr>
          <w:p>
            <w:pPr>
              <w:widowControl/>
              <w:jc w:val="center"/>
              <w:rPr>
                <w:rFonts w:ascii="宋体" w:hAnsi="宋体" w:cs="宋体"/>
                <w:color w:val="000000"/>
                <w:kern w:val="0"/>
                <w:sz w:val="22"/>
                <w:szCs w:val="22"/>
              </w:rPr>
            </w:pPr>
          </w:p>
        </w:tc>
        <w:tc>
          <w:tcPr>
            <w:tcW w:w="1080" w:type="dxa"/>
            <w:tcBorders>
              <w:top w:val="nil"/>
              <w:left w:val="nil"/>
              <w:bottom w:val="nil"/>
              <w:right w:val="nil"/>
            </w:tcBorders>
            <w:shd w:val="clear" w:color="FFFFFF" w:fill="auto"/>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7755" w:type="dxa"/>
            <w:tcBorders>
              <w:top w:val="nil"/>
              <w:left w:val="nil"/>
              <w:bottom w:val="single" w:color="auto" w:sz="8" w:space="0"/>
              <w:right w:val="nil"/>
            </w:tcBorders>
            <w:shd w:val="clear" w:color="FFFFFF" w:fill="auto"/>
            <w:vAlign w:val="center"/>
          </w:tcPr>
          <w:p>
            <w:pPr>
              <w:widowControl/>
              <w:jc w:val="left"/>
              <w:rPr>
                <w:rFonts w:hint="eastAsia" w:ascii="仿宋_GB2312" w:hAnsi="宋体" w:eastAsia="仿宋_GB2312" w:cs="宋体"/>
                <w:kern w:val="0"/>
                <w:sz w:val="24"/>
                <w:lang w:eastAsia="zh-CN"/>
              </w:rPr>
            </w:pPr>
            <w:r>
              <w:rPr>
                <w:rFonts w:hint="eastAsia" w:ascii="仿宋_GB2312" w:hAnsi="宋体" w:eastAsia="仿宋_GB2312" w:cs="宋体"/>
                <w:kern w:val="0"/>
                <w:sz w:val="24"/>
              </w:rPr>
              <w:t>填报单位（盖章）：</w:t>
            </w:r>
            <w:r>
              <w:rPr>
                <w:rFonts w:hint="eastAsia" w:ascii="仿宋_GB2312" w:hAnsi="宋体" w:eastAsia="仿宋_GB2312" w:cs="宋体"/>
                <w:kern w:val="0"/>
                <w:sz w:val="24"/>
                <w:lang w:eastAsia="zh-CN"/>
              </w:rPr>
              <w:t>于家务乡</w:t>
            </w:r>
          </w:p>
        </w:tc>
        <w:tc>
          <w:tcPr>
            <w:tcW w:w="720" w:type="dxa"/>
            <w:tcBorders>
              <w:top w:val="nil"/>
              <w:left w:val="nil"/>
              <w:bottom w:val="single" w:color="auto" w:sz="8" w:space="0"/>
              <w:right w:val="nil"/>
            </w:tcBorders>
            <w:shd w:val="clear" w:color="FFFFFF"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080" w:type="dxa"/>
            <w:tcBorders>
              <w:top w:val="nil"/>
              <w:left w:val="nil"/>
              <w:bottom w:val="single" w:color="auto" w:sz="8" w:space="0"/>
              <w:right w:val="nil"/>
            </w:tcBorders>
            <w:shd w:val="clear" w:color="FFFFFF"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Layout w:type="fixed"/>
          <w:tblCellMar>
            <w:top w:w="0" w:type="dxa"/>
            <w:left w:w="108" w:type="dxa"/>
            <w:bottom w:w="0" w:type="dxa"/>
            <w:right w:w="108" w:type="dxa"/>
          </w:tblCellMar>
        </w:tblPrEx>
        <w:trPr>
          <w:trHeight w:val="402" w:hRule="atLeast"/>
          <w:jc w:val="center"/>
        </w:trPr>
        <w:tc>
          <w:tcPr>
            <w:tcW w:w="7755" w:type="dxa"/>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统 计 指 标</w:t>
            </w:r>
          </w:p>
        </w:tc>
        <w:tc>
          <w:tcPr>
            <w:tcW w:w="720"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单位</w:t>
            </w:r>
          </w:p>
        </w:tc>
        <w:tc>
          <w:tcPr>
            <w:tcW w:w="1080" w:type="dxa"/>
            <w:tcBorders>
              <w:top w:val="single" w:color="auto" w:sz="8" w:space="0"/>
              <w:left w:val="nil"/>
              <w:bottom w:val="single" w:color="auto" w:sz="4" w:space="0"/>
              <w:right w:val="single" w:color="auto" w:sz="8" w:space="0"/>
            </w:tcBorders>
            <w:shd w:val="clear" w:color="auto" w:fill="auto"/>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统计数</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一、主动公开情况</w:t>
            </w:r>
          </w:p>
        </w:tc>
        <w:tc>
          <w:tcPr>
            <w:tcW w:w="720" w:type="dxa"/>
            <w:tcBorders>
              <w:top w:val="nil"/>
              <w:left w:val="nil"/>
              <w:bottom w:val="single" w:color="auto" w:sz="4" w:space="0"/>
              <w:right w:val="single" w:color="auto" w:sz="4" w:space="0"/>
              <w:tr2bl w:val="single" w:color="auto" w:sz="4" w:space="0"/>
            </w:tcBorders>
            <w:shd w:val="clear" w:color="auto" w:fill="auto"/>
            <w:vAlign w:val="center"/>
          </w:tcPr>
          <w:p>
            <w:pPr>
              <w:widowControl/>
              <w:jc w:val="center"/>
              <w:rPr>
                <w:rFonts w:ascii="宋体" w:hAnsi="宋体" w:cs="宋体"/>
                <w:color w:val="000000"/>
                <w:kern w:val="0"/>
                <w:sz w:val="24"/>
              </w:rPr>
            </w:pP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660"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（一）主动公开政府信息数</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 xml:space="preserve">       （不同渠道和方式公开相同信息计1条）</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283</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其中：主动公开规范性文件数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nil"/>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制发规范性文件总数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660" w:hRule="atLeast"/>
          <w:jc w:val="center"/>
        </w:trPr>
        <w:tc>
          <w:tcPr>
            <w:tcW w:w="7755"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（二）重点领域公开政府信息数</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 xml:space="preserve">       （不同渠道和方式公开相同信息计1条）</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49</w:t>
            </w:r>
          </w:p>
        </w:tc>
      </w:tr>
      <w:tr>
        <w:tblPrEx>
          <w:tblLayout w:type="fixed"/>
          <w:tblCellMar>
            <w:top w:w="0" w:type="dxa"/>
            <w:left w:w="108" w:type="dxa"/>
            <w:bottom w:w="0" w:type="dxa"/>
            <w:right w:w="108" w:type="dxa"/>
          </w:tblCellMar>
        </w:tblPrEx>
        <w:trPr>
          <w:trHeight w:val="600"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rPr>
                <w:rFonts w:ascii="仿宋_GB2312" w:hAnsi="宋体" w:eastAsia="仿宋_GB2312" w:cs="宋体"/>
                <w:kern w:val="0"/>
                <w:sz w:val="24"/>
              </w:rPr>
            </w:pPr>
            <w:r>
              <w:rPr>
                <w:rFonts w:hint="eastAsia" w:ascii="仿宋_GB2312" w:hAnsi="宋体" w:eastAsia="仿宋_GB2312" w:cs="宋体"/>
                <w:kern w:val="0"/>
                <w:sz w:val="24"/>
              </w:rPr>
              <w:t xml:space="preserve">        其中：主动公开财政预算决算、“三公经费”和行政经费信息数</w:t>
            </w:r>
          </w:p>
        </w:tc>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11</w:t>
            </w:r>
          </w:p>
        </w:tc>
      </w:tr>
      <w:tr>
        <w:tblPrEx>
          <w:tblLayout w:type="fixed"/>
          <w:tblCellMar>
            <w:top w:w="0" w:type="dxa"/>
            <w:left w:w="108" w:type="dxa"/>
            <w:bottom w:w="0" w:type="dxa"/>
            <w:right w:w="108" w:type="dxa"/>
          </w:tblCellMar>
        </w:tblPrEx>
        <w:trPr>
          <w:trHeight w:val="645"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主动公开保障性安居工程建设计划、项目开工和竣工情况，保障性住房的分配和退出等信息数</w:t>
            </w:r>
          </w:p>
        </w:tc>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570"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 xml:space="preserve">              主动公开食品安全标准，食品生产经营许可、专项检查整治等信息数</w:t>
            </w:r>
          </w:p>
        </w:tc>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highlight w:val="none"/>
              </w:rPr>
            </w:pPr>
            <w:r>
              <w:rPr>
                <w:rFonts w:hint="eastAsia" w:ascii="仿宋_GB2312" w:hAnsi="宋体" w:eastAsia="仿宋_GB2312" w:cs="宋体"/>
                <w:kern w:val="0"/>
                <w:sz w:val="24"/>
                <w:highlight w:val="none"/>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highlight w:val="none"/>
                <w:lang w:val="en-US" w:eastAsia="zh-CN"/>
              </w:rPr>
            </w:pPr>
            <w:r>
              <w:rPr>
                <w:rFonts w:hint="eastAsia" w:ascii="仿宋_GB2312" w:hAnsi="宋体" w:eastAsia="仿宋_GB2312" w:cs="宋体"/>
                <w:kern w:val="0"/>
                <w:sz w:val="24"/>
                <w:highlight w:val="none"/>
                <w:lang w:val="en-US" w:eastAsia="zh-CN"/>
              </w:rPr>
              <w:t>0</w:t>
            </w:r>
          </w:p>
        </w:tc>
      </w:tr>
      <w:tr>
        <w:tblPrEx>
          <w:tblLayout w:type="fixed"/>
          <w:tblCellMar>
            <w:top w:w="0" w:type="dxa"/>
            <w:left w:w="108" w:type="dxa"/>
            <w:bottom w:w="0" w:type="dxa"/>
            <w:right w:w="108" w:type="dxa"/>
          </w:tblCellMar>
        </w:tblPrEx>
        <w:trPr>
          <w:trHeight w:val="585"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主动公开环境核查审批、环境状况公报和重特大突发环境事件等信息数</w:t>
            </w:r>
          </w:p>
        </w:tc>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780"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主动公开招投标违法违规行为及处理情况、国有资金占控股或者主导地位依法应当招标的项目等信息数</w:t>
            </w:r>
          </w:p>
        </w:tc>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555"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主动公开生产安全事故的政府举措、处置进展、风险预警、防范措施等信息数</w:t>
            </w:r>
          </w:p>
        </w:tc>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690"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主动公开农用地转为建设用地批准、征收集体土地批准、征地公告、征地补偿安置公示、集体土地征收结案等信息数</w:t>
            </w:r>
          </w:p>
        </w:tc>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720"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主动公开政府指导价、政府定价和收费标准调整的项目、价格、依据、执行时间和范围等信息数</w:t>
            </w:r>
          </w:p>
        </w:tc>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525"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主动公开本市企业信用信息系统中的警示信息和良好信息等信息数</w:t>
            </w:r>
          </w:p>
        </w:tc>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585"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主动公开政府部门预算执行审计结果等信息数</w:t>
            </w:r>
          </w:p>
        </w:tc>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675"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主动公开行政机关对与人民群众利益密切相关的公共企事业单位进行监督管理的信息数</w:t>
            </w:r>
          </w:p>
        </w:tc>
        <w:tc>
          <w:tcPr>
            <w:tcW w:w="720" w:type="dxa"/>
            <w:tcBorders>
              <w:top w:val="nil"/>
              <w:left w:val="single" w:color="auto" w:sz="4" w:space="0"/>
              <w:bottom w:val="single" w:color="auto" w:sz="8"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5"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主动公开市人民政府决定主动公开的其他信息数</w:t>
            </w:r>
          </w:p>
        </w:tc>
        <w:tc>
          <w:tcPr>
            <w:tcW w:w="720"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（三）通过不同渠道和方式公开政府信息的情况</w:t>
            </w:r>
          </w:p>
        </w:tc>
        <w:tc>
          <w:tcPr>
            <w:tcW w:w="720" w:type="dxa"/>
            <w:tcBorders>
              <w:top w:val="single" w:color="auto" w:sz="8" w:space="0"/>
              <w:left w:val="nil"/>
              <w:bottom w:val="single" w:color="auto" w:sz="4" w:space="0"/>
              <w:right w:val="single" w:color="auto" w:sz="4" w:space="0"/>
              <w:tr2bl w:val="single" w:color="auto" w:sz="4" w:space="0"/>
            </w:tcBorders>
            <w:shd w:val="clear" w:color="auto" w:fill="auto"/>
            <w:vAlign w:val="center"/>
          </w:tcPr>
          <w:p>
            <w:pPr>
              <w:widowControl/>
              <w:jc w:val="center"/>
              <w:rPr>
                <w:rFonts w:ascii="仿宋_GB2312" w:hAnsi="宋体" w:eastAsia="仿宋_GB2312" w:cs="宋体"/>
                <w:kern w:val="0"/>
                <w:sz w:val="24"/>
              </w:rPr>
            </w:pPr>
          </w:p>
        </w:tc>
        <w:tc>
          <w:tcPr>
            <w:tcW w:w="1080" w:type="dxa"/>
            <w:tcBorders>
              <w:top w:val="single" w:color="auto" w:sz="8" w:space="0"/>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1.政府公报公开政府信息数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2.政府网站公开政府信息数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3.政务微博公开政府信息数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4.政务微信公开政府信息数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5.其他方式公开政府信息数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二、回应解读情况</w:t>
            </w:r>
          </w:p>
        </w:tc>
        <w:tc>
          <w:tcPr>
            <w:tcW w:w="720" w:type="dxa"/>
            <w:tcBorders>
              <w:top w:val="nil"/>
              <w:left w:val="nil"/>
              <w:bottom w:val="single" w:color="auto" w:sz="4" w:space="0"/>
              <w:right w:val="single" w:color="auto" w:sz="4" w:space="0"/>
              <w:tr2bl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660"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（一）回应公众关注热点或重大舆情数</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 xml:space="preserve">         （不同方式回应同一热点或舆情计1次）</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（二）通过不同渠道和方式回应解读的情况</w:t>
            </w:r>
          </w:p>
        </w:tc>
        <w:tc>
          <w:tcPr>
            <w:tcW w:w="720" w:type="dxa"/>
            <w:tcBorders>
              <w:top w:val="nil"/>
              <w:left w:val="nil"/>
              <w:bottom w:val="single" w:color="auto" w:sz="4" w:space="0"/>
              <w:right w:val="single" w:color="auto" w:sz="4" w:space="0"/>
              <w:tr2bl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1.参加或举办新闻发布会总次数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其中：主要负责同志参加新闻发布会次数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2.政府网站在线访谈次数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其中：主要负责同志参加政府网站在线访谈次数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3.政策解读稿件发布数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篇</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4.微博微信回应事件数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5.其他方式回应事件数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三、依申请公开情况</w:t>
            </w:r>
          </w:p>
        </w:tc>
        <w:tc>
          <w:tcPr>
            <w:tcW w:w="720" w:type="dxa"/>
            <w:tcBorders>
              <w:top w:val="nil"/>
              <w:left w:val="nil"/>
              <w:bottom w:val="single" w:color="auto" w:sz="4" w:space="0"/>
              <w:right w:val="single" w:color="auto" w:sz="4" w:space="0"/>
              <w:tr2bl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（一）收到申请数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16</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1.当面申请数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2.传真申请数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3.网络申请数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4.信函申请数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16</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（二）申请办结数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16</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1.按时办结数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16</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2.延期办结数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（三）申请答复数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16</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1.属于已主动公开范围数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2.同意公开答复数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16</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3.同意部分公开答复数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4.不同意公开答复数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其中：涉及国家秘密</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涉及商业秘密</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涉及个人隐私</w:t>
            </w:r>
          </w:p>
        </w:tc>
        <w:tc>
          <w:tcPr>
            <w:tcW w:w="7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ind w:left="2400" w:hanging="2400" w:hangingChars="1000"/>
              <w:jc w:val="left"/>
              <w:rPr>
                <w:rFonts w:ascii="仿宋_GB2312" w:hAnsi="宋体" w:eastAsia="仿宋_GB2312" w:cs="宋体"/>
                <w:kern w:val="0"/>
                <w:sz w:val="24"/>
              </w:rPr>
            </w:pPr>
            <w:r>
              <w:rPr>
                <w:rFonts w:hint="eastAsia" w:ascii="仿宋_GB2312" w:hAnsi="宋体" w:eastAsia="仿宋_GB2312" w:cs="宋体"/>
                <w:kern w:val="0"/>
                <w:sz w:val="24"/>
              </w:rPr>
              <w:t>　　　　　　　　　　危及国家安全、公共安全、经济安全和社会稳定</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不是《条例》所指政府信息</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法律法规规定的其他情形</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5.不属于本行政机关公开数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6.申请信息不存在数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7.告知作出更改补充数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8.告知通过其他途径办理数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四、行政复议数量</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（一）维持具体行政行为数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（二）被依法纠错数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（三）其他情形数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五、行政诉讼数量</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（一）维持具体行政行为或者驳回原告诉讼请求数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（二）被依法纠错数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（三）其他情形数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六、举报投诉数量</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七、依申请公开信息收取的费用</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万元</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八、机构建设和保障经费情况</w:t>
            </w:r>
          </w:p>
        </w:tc>
        <w:tc>
          <w:tcPr>
            <w:tcW w:w="720" w:type="dxa"/>
            <w:tcBorders>
              <w:top w:val="nil"/>
              <w:left w:val="nil"/>
              <w:bottom w:val="single" w:color="auto" w:sz="4" w:space="0"/>
              <w:right w:val="single" w:color="auto" w:sz="4" w:space="0"/>
              <w:tr2bl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宋体" w:hAnsi="宋体" w:eastAsia="宋体" w:cs="宋体"/>
                <w:color w:val="000000"/>
                <w:kern w:val="0"/>
                <w:sz w:val="24"/>
                <w:lang w:val="en-US" w:eastAsia="zh-CN"/>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（一）政府信息公开工作专门机构数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个</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1</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（二）设置政府信息公开查阅点数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个</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1</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（三）从事政府信息公开工作人员数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人</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2</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1.专职人员数（不包括政府公报及政府网站工作人员数）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人</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1</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2.兼职人员数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人</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1</w:t>
            </w:r>
          </w:p>
        </w:tc>
      </w:tr>
      <w:tr>
        <w:tblPrEx>
          <w:tblLayout w:type="fixed"/>
          <w:tblCellMar>
            <w:top w:w="0" w:type="dxa"/>
            <w:left w:w="108" w:type="dxa"/>
            <w:bottom w:w="0" w:type="dxa"/>
            <w:right w:w="108" w:type="dxa"/>
          </w:tblCellMar>
        </w:tblPrEx>
        <w:trPr>
          <w:trHeight w:val="660"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ind w:left="960" w:hanging="960" w:hangingChars="400"/>
              <w:jc w:val="left"/>
              <w:rPr>
                <w:rFonts w:ascii="仿宋_GB2312" w:hAnsi="宋体" w:eastAsia="仿宋_GB2312" w:cs="宋体"/>
                <w:kern w:val="0"/>
                <w:sz w:val="24"/>
              </w:rPr>
            </w:pPr>
            <w:r>
              <w:rPr>
                <w:rFonts w:hint="eastAsia" w:ascii="仿宋_GB2312" w:hAnsi="宋体" w:eastAsia="仿宋_GB2312" w:cs="宋体"/>
                <w:kern w:val="0"/>
                <w:sz w:val="24"/>
              </w:rPr>
              <w:t xml:space="preserve">  （四）政府信息公开专项经费（不包括用于政府公报编辑管理及政府网站建设维护等方面的经费）</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万元</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九、政府信息公开会议和培训情况</w:t>
            </w:r>
          </w:p>
        </w:tc>
        <w:tc>
          <w:tcPr>
            <w:tcW w:w="720" w:type="dxa"/>
            <w:tcBorders>
              <w:top w:val="nil"/>
              <w:left w:val="nil"/>
              <w:bottom w:val="single" w:color="auto" w:sz="4" w:space="0"/>
              <w:right w:val="single" w:color="auto" w:sz="4" w:space="0"/>
              <w:tr2bl w:val="single" w:color="auto" w:sz="4" w:space="0"/>
            </w:tcBorders>
            <w:shd w:val="clear" w:color="auto" w:fill="auto"/>
            <w:vAlign w:val="center"/>
          </w:tcPr>
          <w:p>
            <w:pPr>
              <w:widowControl/>
              <w:jc w:val="center"/>
              <w:rPr>
                <w:rFonts w:ascii="宋体" w:hAnsi="宋体" w:cs="宋体"/>
                <w:color w:val="000000"/>
                <w:kern w:val="0"/>
                <w:sz w:val="24"/>
              </w:rPr>
            </w:pP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（一）召开政府信息公开工作会议或专题会议数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5</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（二）举办各类培训班数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1</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（三）接受培训人员数</w:t>
            </w:r>
          </w:p>
        </w:tc>
        <w:tc>
          <w:tcPr>
            <w:tcW w:w="720" w:type="dxa"/>
            <w:tcBorders>
              <w:top w:val="nil"/>
              <w:left w:val="nil"/>
              <w:bottom w:val="single" w:color="auto" w:sz="8"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人次</w:t>
            </w:r>
          </w:p>
        </w:tc>
        <w:tc>
          <w:tcPr>
            <w:tcW w:w="1080"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2</w:t>
            </w:r>
          </w:p>
        </w:tc>
      </w:tr>
      <w:tr>
        <w:tblPrEx>
          <w:tblLayout w:type="fixed"/>
          <w:tblCellMar>
            <w:top w:w="0" w:type="dxa"/>
            <w:left w:w="108" w:type="dxa"/>
            <w:bottom w:w="0" w:type="dxa"/>
            <w:right w:w="108" w:type="dxa"/>
          </w:tblCellMar>
        </w:tblPrEx>
        <w:trPr>
          <w:trHeight w:val="402" w:hRule="atLeast"/>
          <w:jc w:val="center"/>
        </w:trPr>
        <w:tc>
          <w:tcPr>
            <w:tcW w:w="9555" w:type="dxa"/>
            <w:gridSpan w:val="3"/>
            <w:tcBorders>
              <w:top w:val="single" w:color="auto" w:sz="8" w:space="0"/>
              <w:left w:val="nil"/>
              <w:bottom w:val="nil"/>
              <w:right w:val="nil"/>
            </w:tcBorders>
            <w:shd w:val="clear" w:color="auto" w:fill="auto"/>
            <w:vAlign w:val="center"/>
          </w:tcPr>
          <w:p>
            <w:pPr>
              <w:widowControl/>
              <w:jc w:val="left"/>
              <w:rPr>
                <w:rFonts w:hint="eastAsia" w:ascii="仿宋_GB2312" w:hAnsi="宋体" w:eastAsia="仿宋_GB2312" w:cs="宋体"/>
                <w:kern w:val="0"/>
                <w:sz w:val="24"/>
              </w:rPr>
            </w:pPr>
          </w:p>
          <w:p>
            <w:pPr>
              <w:widowControl/>
              <w:jc w:val="left"/>
              <w:rPr>
                <w:rFonts w:ascii="仿宋_GB2312" w:hAnsi="宋体" w:eastAsia="仿宋_GB2312" w:cs="宋体"/>
                <w:kern w:val="0"/>
                <w:sz w:val="24"/>
              </w:rPr>
            </w:pPr>
            <w:r>
              <w:rPr>
                <w:rFonts w:hint="eastAsia" w:ascii="仿宋_GB2312" w:hAnsi="宋体" w:eastAsia="仿宋_GB2312" w:cs="宋体"/>
                <w:kern w:val="0"/>
                <w:sz w:val="24"/>
              </w:rPr>
              <w:t>单位负责人：                 审核人：                       填报人：</w:t>
            </w:r>
          </w:p>
        </w:tc>
      </w:tr>
      <w:tr>
        <w:tblPrEx>
          <w:tblLayout w:type="fixed"/>
          <w:tblCellMar>
            <w:top w:w="0" w:type="dxa"/>
            <w:left w:w="108" w:type="dxa"/>
            <w:bottom w:w="0" w:type="dxa"/>
            <w:right w:w="108" w:type="dxa"/>
          </w:tblCellMar>
        </w:tblPrEx>
        <w:trPr>
          <w:trHeight w:val="402" w:hRule="atLeast"/>
          <w:jc w:val="center"/>
        </w:trPr>
        <w:tc>
          <w:tcPr>
            <w:tcW w:w="9555" w:type="dxa"/>
            <w:gridSpan w:val="3"/>
            <w:tcBorders>
              <w:top w:val="nil"/>
              <w:left w:val="nil"/>
              <w:bottom w:val="nil"/>
              <w:right w:val="nil"/>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联系电话：                                                  </w:t>
            </w:r>
            <w:bookmarkStart w:id="0" w:name="_GoBack"/>
            <w:bookmarkEnd w:id="0"/>
            <w:r>
              <w:rPr>
                <w:rFonts w:hint="eastAsia" w:ascii="仿宋_GB2312" w:hAnsi="宋体" w:eastAsia="仿宋_GB2312" w:cs="宋体"/>
                <w:kern w:val="0"/>
                <w:sz w:val="24"/>
              </w:rPr>
              <w:t>填报日期：</w:t>
            </w:r>
          </w:p>
        </w:tc>
      </w:tr>
    </w:tbl>
    <w:p>
      <w:pPr>
        <w:spacing w:line="560" w:lineRule="exact"/>
        <w:rPr>
          <w:rFonts w:hint="eastAsia" w:ascii="仿宋_GB2312" w:eastAsia="仿宋_GB2312"/>
          <w:sz w:val="32"/>
          <w:szCs w:val="32"/>
        </w:rPr>
      </w:pPr>
    </w:p>
    <w:p>
      <w:pPr>
        <w:widowControl/>
        <w:spacing w:line="560" w:lineRule="exact"/>
        <w:ind w:firstLine="640" w:firstLineChars="200"/>
        <w:rPr>
          <w:rFonts w:hint="eastAsia" w:ascii="仿宋_GB2312" w:hAnsi="宋体" w:eastAsia="仿宋_GB2312" w:cs="宋体"/>
          <w:kern w:val="0"/>
          <w:sz w:val="32"/>
          <w:szCs w:val="32"/>
          <w:lang w:val="en-US" w:eastAsia="zh-CN"/>
        </w:rPr>
      </w:pPr>
    </w:p>
    <w:p>
      <w:pPr>
        <w:pStyle w:val="4"/>
        <w:keepNext w:val="0"/>
        <w:keepLines w:val="0"/>
        <w:widowControl/>
        <w:numPr>
          <w:ilvl w:val="0"/>
          <w:numId w:val="0"/>
        </w:numPr>
        <w:suppressLineNumbers w:val="0"/>
        <w:wordWrap w:val="0"/>
        <w:ind w:right="0" w:rightChars="0"/>
        <w:jc w:val="both"/>
        <w:rPr>
          <w:rFonts w:hint="eastAsia" w:ascii="仿宋" w:hAnsi="仿宋" w:eastAsia="仿宋" w:cs="仿宋"/>
          <w:sz w:val="32"/>
          <w:szCs w:val="32"/>
          <w:lang w:val="en-US" w:eastAsia="zh-CN"/>
        </w:rPr>
      </w:pPr>
    </w:p>
    <w:p>
      <w:pPr>
        <w:jc w:val="center"/>
        <w:rPr>
          <w:rFonts w:hint="eastAsia" w:ascii="黑体" w:hAnsi="黑体" w:eastAsia="黑体" w:cs="黑体"/>
          <w:sz w:val="44"/>
          <w:szCs w:val="44"/>
          <w:lang w:val="en-US" w:eastAsia="zh-CN"/>
        </w:rPr>
      </w:pPr>
    </w:p>
    <w:p>
      <w:p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F7340"/>
    <w:multiLevelType w:val="singleLevel"/>
    <w:tmpl w:val="584F7340"/>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DB7590"/>
    <w:rsid w:val="0D8D2D93"/>
    <w:rsid w:val="1F7904FB"/>
    <w:rsid w:val="35E93603"/>
    <w:rsid w:val="3DDB7590"/>
    <w:rsid w:val="40537F38"/>
    <w:rsid w:val="62C47F1F"/>
    <w:rsid w:val="67504535"/>
    <w:rsid w:val="68D92C05"/>
    <w:rsid w:val="75FC4A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FollowedHyperlink"/>
    <w:basedOn w:val="6"/>
    <w:qFormat/>
    <w:uiPriority w:val="0"/>
    <w:rPr>
      <w:color w:val="000000"/>
      <w:u w:val="none"/>
    </w:rPr>
  </w:style>
  <w:style w:type="character" w:styleId="8">
    <w:name w:val="Hyperlink"/>
    <w:basedOn w:val="6"/>
    <w:qFormat/>
    <w:uiPriority w:val="0"/>
    <w:rPr>
      <w:color w:val="00000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2016-12-13T01:18:00Z</dcterms:created>
  <dc:creator>Administrator</dc:creator>
  <cp:lastModifiedBy>⊙◤↔◥⊙</cp:lastModifiedBy>
  <dcterms:modified xsi:type="dcterms:W3CDTF">2019-03-19T08:12:47Z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