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exact"/>
        <w:ind w:left="0" w:leftChars="0" w:right="0" w:rightChars="0" w:firstLine="600"/>
        <w:jc w:val="center"/>
        <w:rPr>
          <w:rFonts w:hint="eastAsia" w:asciiTheme="minorEastAsia" w:hAnsiTheme="minorEastAsia" w:eastAsiaTheme="minorEastAsia" w:cstheme="minorEastAsia"/>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val="en-US" w:eastAsia="zh-CN" w:bidi="ar"/>
        </w:rPr>
        <w:t>通州区国资委2018年政府信息公开年报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exact"/>
        <w:ind w:left="0" w:leftChars="0" w:right="0" w:rightChars="0" w:firstLine="600"/>
        <w:jc w:val="both"/>
        <w:rPr>
          <w:rFonts w:hint="eastAsia" w:ascii="仿宋" w:hAnsi="仿宋" w:eastAsia="仿宋" w:cs="仿宋"/>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exact"/>
        <w:ind w:left="0" w:leftChars="0" w:right="0" w:rightChars="0" w:firstLine="600"/>
        <w:jc w:val="both"/>
      </w:pPr>
      <w:r>
        <w:rPr>
          <w:rFonts w:ascii="仿宋" w:hAnsi="仿宋" w:eastAsia="仿宋" w:cs="仿宋"/>
          <w:kern w:val="0"/>
          <w:sz w:val="32"/>
          <w:szCs w:val="32"/>
          <w:lang w:val="en-US" w:eastAsia="zh-CN" w:bidi="ar"/>
        </w:rPr>
        <w:t>根据《中华人民共和国政府信息公开条例》，特</w:t>
      </w:r>
      <w:r>
        <w:rPr>
          <w:rFonts w:hint="eastAsia" w:ascii="仿宋" w:hAnsi="仿宋" w:eastAsia="仿宋" w:cs="仿宋"/>
          <w:kern w:val="0"/>
          <w:sz w:val="32"/>
          <w:szCs w:val="32"/>
          <w:lang w:val="en-US" w:eastAsia="zh-CN" w:bidi="ar"/>
        </w:rPr>
        <w:t>公开通州区国资委2018年政府信息公开工作年度报告。全文包括概述、主动公开政府信息情况、依申请公开政府信息情况、政府信息公开申请行政复议和提起行政诉讼的情况、政府信息公开工作存在的主要问题及改进情况以及其他需要报告的事项。本报告中数据的统计期限为2018年1月1日起至2018年12月31日。</w:t>
      </w:r>
    </w:p>
    <w:p>
      <w:pPr>
        <w:keepNext w:val="0"/>
        <w:keepLines w:val="0"/>
        <w:widowControl w:val="0"/>
        <w:suppressLineNumbers w:val="0"/>
        <w:spacing w:before="0" w:beforeAutospacing="0" w:after="0" w:afterAutospacing="0" w:line="620" w:lineRule="exact"/>
        <w:ind w:left="0" w:leftChars="0" w:right="0" w:rightChars="0" w:firstLine="643" w:firstLineChars="200"/>
        <w:jc w:val="both"/>
        <w:textAlignment w:val="top"/>
        <w:rPr>
          <w:rFonts w:hint="eastAsia" w:ascii="黑体" w:hAnsi="黑体" w:eastAsia="黑体" w:cs="黑体"/>
          <w:sz w:val="32"/>
          <w:szCs w:val="32"/>
        </w:rPr>
      </w:pPr>
      <w:r>
        <w:rPr>
          <w:rFonts w:hint="eastAsia" w:ascii="黑体" w:hAnsi="黑体" w:eastAsia="黑体" w:cs="黑体"/>
          <w:b/>
          <w:kern w:val="0"/>
          <w:sz w:val="32"/>
          <w:szCs w:val="32"/>
          <w:lang w:val="en-US" w:eastAsia="zh-CN" w:bidi="ar"/>
        </w:rPr>
        <w:t>一、概述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exact"/>
        <w:ind w:left="0" w:leftChars="0" w:right="0" w:rightChars="0" w:firstLine="600"/>
        <w:jc w:val="both"/>
        <w:rPr>
          <w:rFonts w:hint="eastAsia" w:ascii="仿宋_GB2312" w:hAnsi="仿宋_GB2312" w:eastAsia="仿宋_GB2312" w:cs="仿宋_GB2312"/>
          <w:color w:val="000000"/>
          <w:sz w:val="32"/>
          <w:szCs w:val="32"/>
          <w:lang w:eastAsia="zh-CN" w:bidi="ar-SA"/>
        </w:rPr>
      </w:pPr>
      <w:r>
        <w:rPr>
          <w:rFonts w:hint="eastAsia" w:ascii="仿宋_GB2312" w:hAnsi="仿宋_GB2312" w:eastAsia="仿宋_GB2312" w:cs="仿宋_GB2312"/>
          <w:color w:val="000000"/>
          <w:sz w:val="32"/>
          <w:szCs w:val="32"/>
          <w:lang w:eastAsia="zh-CN" w:bidi="ar-SA"/>
        </w:rPr>
        <w:t>紧紧围绕北京市、通州区有关信息公开工作要求，坚持</w:t>
      </w:r>
      <w:r>
        <w:rPr>
          <w:rFonts w:hint="eastAsia" w:ascii="仿宋_GB2312" w:hAnsi="仿宋_GB2312" w:eastAsia="仿宋_GB2312" w:cs="仿宋_GB2312"/>
          <w:color w:val="000000"/>
          <w:sz w:val="32"/>
          <w:szCs w:val="32"/>
          <w:lang w:eastAsia="zh-CN"/>
        </w:rPr>
        <w:t>“以公开为常态、不公开为例外”的基本原则，</w:t>
      </w:r>
      <w:r>
        <w:rPr>
          <w:rFonts w:hint="eastAsia" w:ascii="仿宋_GB2312" w:hAnsi="仿宋_GB2312" w:eastAsia="仿宋_GB2312" w:cs="仿宋_GB2312"/>
          <w:color w:val="000000"/>
          <w:sz w:val="32"/>
          <w:szCs w:val="32"/>
          <w:lang w:eastAsia="zh-CN" w:bidi="ar-SA"/>
        </w:rPr>
        <w:t>着力加强信息公开工作领导，</w:t>
      </w:r>
      <w:r>
        <w:rPr>
          <w:rFonts w:hint="eastAsia" w:ascii="仿宋_GB2312" w:hAnsi="仿宋_GB2312" w:eastAsia="仿宋_GB2312" w:cs="仿宋_GB2312"/>
          <w:color w:val="000000"/>
          <w:kern w:val="0"/>
          <w:sz w:val="32"/>
          <w:szCs w:val="32"/>
        </w:rPr>
        <w:t>加大政府信息公开力度，加强</w:t>
      </w:r>
      <w:r>
        <w:rPr>
          <w:rFonts w:hint="eastAsia" w:ascii="仿宋_GB2312" w:hAnsi="仿宋_GB2312" w:eastAsia="仿宋_GB2312" w:cs="仿宋_GB2312"/>
          <w:color w:val="000000"/>
          <w:kern w:val="0"/>
          <w:sz w:val="32"/>
          <w:szCs w:val="32"/>
          <w:lang w:eastAsia="zh-CN"/>
        </w:rPr>
        <w:t>国资监管、国企改革等方面</w:t>
      </w:r>
      <w:r>
        <w:rPr>
          <w:rFonts w:hint="eastAsia" w:ascii="仿宋_GB2312" w:hAnsi="仿宋_GB2312" w:eastAsia="仿宋_GB2312" w:cs="仿宋_GB2312"/>
          <w:color w:val="000000"/>
          <w:kern w:val="0"/>
          <w:sz w:val="32"/>
          <w:szCs w:val="32"/>
        </w:rPr>
        <w:t>政策解读，强化舆情分析应对，</w:t>
      </w:r>
      <w:r>
        <w:rPr>
          <w:rFonts w:hint="eastAsia" w:ascii="仿宋_GB2312" w:hAnsi="仿宋_GB2312" w:eastAsia="仿宋_GB2312" w:cs="仿宋_GB2312"/>
          <w:color w:val="000000"/>
          <w:sz w:val="32"/>
          <w:szCs w:val="32"/>
          <w:lang w:eastAsia="zh-CN" w:bidi="ar-SA"/>
        </w:rPr>
        <w:t>优化平台管理，创新方式方法，拓宽范围内容，规范制度流程，</w:t>
      </w:r>
      <w:r>
        <w:rPr>
          <w:rFonts w:hint="eastAsia" w:ascii="仿宋_GB2312" w:hAnsi="仿宋_GB2312" w:eastAsia="仿宋_GB2312" w:cs="仿宋_GB2312"/>
          <w:sz w:val="32"/>
          <w:szCs w:val="32"/>
        </w:rPr>
        <w:t>积极</w:t>
      </w:r>
      <w:r>
        <w:rPr>
          <w:rFonts w:hint="eastAsia" w:ascii="仿宋_GB2312" w:hAnsi="仿宋_GB2312" w:eastAsia="仿宋_GB2312" w:cs="仿宋_GB2312"/>
          <w:sz w:val="32"/>
          <w:szCs w:val="32"/>
          <w:lang w:eastAsia="zh-CN"/>
        </w:rPr>
        <w:t>参与</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eastAsia="zh-CN"/>
        </w:rPr>
        <w:t>建设培训</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，扎实做好整改提升和</w:t>
      </w:r>
      <w:r>
        <w:rPr>
          <w:rFonts w:hint="eastAsia" w:ascii="仿宋_GB2312" w:hAnsi="仿宋_GB2312" w:eastAsia="仿宋_GB2312" w:cs="仿宋_GB2312"/>
          <w:sz w:val="32"/>
          <w:szCs w:val="32"/>
        </w:rPr>
        <w:t>年度综测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rPr>
        <w:t>主动回应社会关切，接受人民监督</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sz w:val="32"/>
          <w:szCs w:val="32"/>
          <w:lang w:eastAsia="zh-CN" w:bidi="ar-SA"/>
        </w:rPr>
        <w:t>全力推进政务信息公开工作扎实有序开展，信息公开工作取得明显成果。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exact"/>
        <w:ind w:left="0" w:leftChars="0" w:right="0" w:rightChars="0" w:firstLine="600"/>
        <w:jc w:val="both"/>
      </w:pPr>
      <w:r>
        <w:rPr>
          <w:rFonts w:hint="eastAsia" w:ascii="仿宋" w:hAnsi="仿宋" w:eastAsia="仿宋" w:cs="仿宋"/>
          <w:kern w:val="0"/>
          <w:sz w:val="32"/>
          <w:szCs w:val="32"/>
          <w:lang w:val="en-US" w:eastAsia="zh-CN" w:bidi="ar"/>
        </w:rPr>
        <w:t>2018年通州区国资委认真贯彻落实《政府信息公开条例》和有关文件和会议精神，将政务公开工作摆上重要日程，明确分管领导及具体责任人，信息公开工作分工明确，每个科室确定一位信息员，负责收集、整理政府信息，由办公室统一发布，各科室各司其职、各负其责、相互配合，严格执行信息公开监督检查、评议等相关制度，形成规范的信息公开工作程序,在全委上下形成了有人管、有人抓，早计划、早安排的局面，确保信息公开全面、及时、准确。</w:t>
      </w:r>
    </w:p>
    <w:p>
      <w:pPr>
        <w:keepNext w:val="0"/>
        <w:keepLines w:val="0"/>
        <w:widowControl w:val="0"/>
        <w:suppressLineNumbers w:val="0"/>
        <w:spacing w:before="0" w:beforeAutospacing="0" w:after="0" w:afterAutospacing="0" w:line="620" w:lineRule="exact"/>
        <w:ind w:left="0" w:leftChars="0" w:right="0" w:rightChars="0" w:firstLine="643" w:firstLineChars="200"/>
        <w:jc w:val="both"/>
        <w:textAlignment w:val="top"/>
      </w:pPr>
      <w:r>
        <w:rPr>
          <w:rFonts w:hint="eastAsia" w:ascii="黑体" w:hAnsi="黑体" w:eastAsia="黑体" w:cs="黑体"/>
          <w:b/>
          <w:kern w:val="0"/>
          <w:sz w:val="32"/>
          <w:szCs w:val="32"/>
          <w:lang w:val="en-US" w:eastAsia="zh-CN" w:bidi="ar"/>
        </w:rPr>
        <w:t>二、主动公开政府信息情况</w:t>
      </w:r>
    </w:p>
    <w:p>
      <w:pPr>
        <w:keepNext w:val="0"/>
        <w:keepLines w:val="0"/>
        <w:widowControl w:val="0"/>
        <w:suppressLineNumbers w:val="0"/>
        <w:spacing w:before="0" w:beforeAutospacing="0" w:after="0" w:afterAutospacing="0" w:line="620" w:lineRule="exact"/>
        <w:ind w:right="0" w:rightChars="0"/>
        <w:jc w:val="both"/>
        <w:textAlignment w:val="top"/>
      </w:pPr>
      <w:r>
        <w:rPr>
          <w:rFonts w:hint="eastAsia" w:ascii="仿宋" w:hAnsi="仿宋" w:eastAsia="仿宋" w:cs="仿宋"/>
          <w:kern w:val="0"/>
          <w:sz w:val="32"/>
          <w:szCs w:val="32"/>
          <w:lang w:val="en-US" w:eastAsia="zh-CN" w:bidi="ar"/>
        </w:rPr>
        <w:t xml:space="preserve">    主动公开政府信息数量(2018年主动公开政府信息166条)。</w:t>
      </w:r>
    </w:p>
    <w:p>
      <w:pPr>
        <w:keepNext w:val="0"/>
        <w:keepLines w:val="0"/>
        <w:widowControl w:val="0"/>
        <w:suppressLineNumbers w:val="0"/>
        <w:spacing w:before="0" w:beforeAutospacing="0" w:after="0" w:afterAutospacing="0" w:line="620" w:lineRule="exact"/>
        <w:ind w:left="0" w:leftChars="0" w:right="0" w:rightChars="0" w:firstLine="643" w:firstLineChars="200"/>
        <w:jc w:val="both"/>
        <w:textAlignment w:val="top"/>
        <w:rPr>
          <w:rFonts w:hint="eastAsia" w:ascii="黑体" w:hAnsi="黑体" w:eastAsia="黑体" w:cs="黑体"/>
          <w:sz w:val="32"/>
          <w:szCs w:val="32"/>
        </w:rPr>
      </w:pPr>
      <w:r>
        <w:rPr>
          <w:rFonts w:hint="eastAsia" w:ascii="黑体" w:hAnsi="黑体" w:eastAsia="黑体" w:cs="黑体"/>
          <w:b/>
          <w:kern w:val="0"/>
          <w:sz w:val="32"/>
          <w:szCs w:val="32"/>
          <w:lang w:val="en-US" w:eastAsia="zh-CN" w:bidi="ar"/>
        </w:rPr>
        <w:t>三、政府信息依申请公开办理情况</w:t>
      </w:r>
    </w:p>
    <w:p>
      <w:pPr>
        <w:keepNext w:val="0"/>
        <w:keepLines w:val="0"/>
        <w:widowControl w:val="0"/>
        <w:suppressLineNumbers w:val="0"/>
        <w:spacing w:before="0" w:beforeAutospacing="0" w:after="0" w:afterAutospacing="0" w:line="620" w:lineRule="exact"/>
        <w:ind w:left="0" w:leftChars="0" w:right="0" w:rightChars="0" w:firstLine="640" w:firstLineChars="200"/>
        <w:jc w:val="both"/>
        <w:textAlignment w:val="top"/>
      </w:pPr>
      <w:r>
        <w:rPr>
          <w:rFonts w:hint="eastAsia" w:ascii="仿宋" w:hAnsi="仿宋" w:eastAsia="仿宋" w:cs="仿宋"/>
          <w:kern w:val="0"/>
          <w:sz w:val="32"/>
          <w:szCs w:val="32"/>
          <w:lang w:val="en-US" w:eastAsia="zh-CN" w:bidi="ar"/>
        </w:rPr>
        <w:t>2018年，我委共收到公民、法人或其他组织要求政府信息公开申请2条,</w:t>
      </w:r>
      <w:r>
        <w:rPr>
          <w:rFonts w:hint="eastAsia" w:ascii="仿宋_GB2312" w:hAnsi="仿宋" w:eastAsia="仿宋_GB2312" w:cs="Arial"/>
          <w:color w:val="000000"/>
          <w:sz w:val="32"/>
          <w:szCs w:val="32"/>
          <w:lang w:eastAsia="zh-CN" w:bidi="ar-SA"/>
        </w:rPr>
        <w:t>均为</w:t>
      </w:r>
      <w:r>
        <w:rPr>
          <w:rFonts w:hint="eastAsia" w:ascii="仿宋_GB2312" w:hAnsi="仿宋" w:eastAsia="仿宋_GB2312"/>
          <w:color w:val="000000"/>
          <w:sz w:val="32"/>
          <w:szCs w:val="32"/>
          <w:lang w:eastAsia="zh-CN"/>
        </w:rPr>
        <w:t>信函申请，全部按时予以答复和登记，有效提高了政府工作的透明度，保证了广大群众的知情权</w:t>
      </w:r>
      <w:r>
        <w:rPr>
          <w:rFonts w:hint="eastAsia" w:ascii="仿宋" w:hAnsi="仿宋" w:eastAsia="仿宋" w:cs="仿宋"/>
          <w:kern w:val="0"/>
          <w:sz w:val="32"/>
          <w:szCs w:val="32"/>
          <w:lang w:val="en-US" w:eastAsia="zh-CN" w:bidi="ar"/>
        </w:rPr>
        <w:t>。</w:t>
      </w:r>
    </w:p>
    <w:p>
      <w:pPr>
        <w:keepNext w:val="0"/>
        <w:keepLines w:val="0"/>
        <w:widowControl w:val="0"/>
        <w:suppressLineNumbers w:val="0"/>
        <w:spacing w:before="0" w:beforeAutospacing="0" w:after="0" w:afterAutospacing="0" w:line="620" w:lineRule="exact"/>
        <w:ind w:left="0" w:leftChars="0" w:right="0" w:rightChars="0" w:firstLine="643" w:firstLineChars="200"/>
        <w:jc w:val="both"/>
        <w:textAlignment w:val="top"/>
        <w:rPr>
          <w:rFonts w:hint="eastAsia" w:ascii="黑体" w:hAnsi="黑体" w:eastAsia="黑体" w:cs="黑体"/>
          <w:sz w:val="32"/>
          <w:szCs w:val="32"/>
        </w:rPr>
      </w:pPr>
      <w:r>
        <w:rPr>
          <w:rFonts w:hint="eastAsia" w:ascii="黑体" w:hAnsi="黑体" w:eastAsia="黑体" w:cs="黑体"/>
          <w:b/>
          <w:kern w:val="0"/>
          <w:sz w:val="32"/>
          <w:szCs w:val="32"/>
          <w:lang w:val="en-US" w:eastAsia="zh-CN" w:bidi="ar"/>
        </w:rPr>
        <w:t>四、因政府信息公开申请行政复议、提起行政诉讼的情况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exact"/>
        <w:ind w:left="0" w:leftChars="0" w:right="0" w:rightChars="0" w:firstLine="600"/>
        <w:jc w:val="both"/>
      </w:pPr>
      <w:r>
        <w:rPr>
          <w:rFonts w:hint="eastAsia" w:ascii="仿宋" w:hAnsi="仿宋" w:eastAsia="仿宋" w:cs="仿宋"/>
          <w:kern w:val="0"/>
          <w:sz w:val="32"/>
          <w:szCs w:val="32"/>
          <w:lang w:val="en-US" w:eastAsia="zh-CN" w:bidi="ar"/>
        </w:rPr>
        <w:t>2018年，我委未曾受理过政府信息公开申请事项，没有因行政行为失当或违法引发政复议和行政诉讼情况。</w:t>
      </w:r>
    </w:p>
    <w:p>
      <w:pPr>
        <w:keepNext w:val="0"/>
        <w:keepLines w:val="0"/>
        <w:widowControl w:val="0"/>
        <w:suppressLineNumbers w:val="0"/>
        <w:spacing w:before="0" w:beforeAutospacing="0" w:after="0" w:afterAutospacing="0" w:line="620" w:lineRule="exact"/>
        <w:ind w:left="0" w:leftChars="0" w:right="0" w:rightChars="0" w:firstLine="643" w:firstLineChars="200"/>
        <w:jc w:val="both"/>
        <w:textAlignment w:val="top"/>
        <w:rPr>
          <w:rFonts w:hint="eastAsia" w:ascii="黑体" w:hAnsi="黑体" w:eastAsia="黑体" w:cs="黑体"/>
          <w:sz w:val="32"/>
          <w:szCs w:val="32"/>
        </w:rPr>
      </w:pPr>
      <w:r>
        <w:rPr>
          <w:rFonts w:hint="eastAsia" w:ascii="黑体" w:hAnsi="黑体" w:eastAsia="黑体" w:cs="黑体"/>
          <w:b/>
          <w:kern w:val="0"/>
          <w:sz w:val="32"/>
          <w:szCs w:val="32"/>
          <w:lang w:val="en-US" w:eastAsia="zh-CN" w:bidi="ar"/>
        </w:rPr>
        <w:t>五、政府信息公开工作存在的主要问题及改进措施</w:t>
      </w:r>
    </w:p>
    <w:p>
      <w:pPr>
        <w:keepNext w:val="0"/>
        <w:keepLines w:val="0"/>
        <w:widowControl w:val="0"/>
        <w:suppressLineNumbers w:val="0"/>
        <w:spacing w:before="0" w:beforeAutospacing="0" w:after="0" w:afterAutospacing="0" w:line="620" w:lineRule="exact"/>
        <w:ind w:left="0" w:leftChars="0" w:right="0" w:rightChars="0" w:firstLine="640" w:firstLineChars="200"/>
        <w:jc w:val="both"/>
        <w:rPr>
          <w:rFonts w:hint="eastAsia" w:ascii="仿宋" w:hAnsi="仿宋" w:eastAsia="仿宋" w:cs="仿宋"/>
          <w:color w:val="000000"/>
          <w:sz w:val="32"/>
          <w:szCs w:val="32"/>
          <w:shd w:val="clear" w:fill="FFFFFF"/>
        </w:rPr>
      </w:pPr>
      <w:r>
        <w:rPr>
          <w:rFonts w:hint="eastAsia" w:ascii="仿宋" w:hAnsi="仿宋" w:eastAsia="仿宋" w:cs="仿宋"/>
          <w:kern w:val="2"/>
          <w:sz w:val="32"/>
          <w:szCs w:val="32"/>
          <w:lang w:val="en-US" w:eastAsia="zh-CN" w:bidi="ar"/>
        </w:rPr>
        <w:t>2018，</w:t>
      </w:r>
      <w:r>
        <w:rPr>
          <w:rFonts w:ascii="仿宋" w:hAnsi="仿宋" w:eastAsia="仿宋" w:cs="仿宋"/>
          <w:color w:val="000000"/>
          <w:sz w:val="32"/>
          <w:szCs w:val="32"/>
          <w:shd w:val="clear" w:fill="FFFFFF"/>
        </w:rPr>
        <w:t>通州区国资委虽然在政务公开工作方面做了大量工作，取得了</w:t>
      </w:r>
      <w:r>
        <w:rPr>
          <w:rFonts w:hint="eastAsia" w:ascii="仿宋" w:hAnsi="仿宋" w:eastAsia="仿宋" w:cs="仿宋"/>
          <w:color w:val="000000"/>
          <w:sz w:val="32"/>
          <w:szCs w:val="32"/>
          <w:shd w:val="clear" w:fill="FFFFFF"/>
          <w:lang w:eastAsia="zh-CN"/>
        </w:rPr>
        <w:t>较好</w:t>
      </w:r>
      <w:r>
        <w:rPr>
          <w:rFonts w:ascii="仿宋" w:hAnsi="仿宋" w:eastAsia="仿宋" w:cs="仿宋"/>
          <w:color w:val="000000"/>
          <w:sz w:val="32"/>
          <w:szCs w:val="32"/>
          <w:shd w:val="clear" w:fill="FFFFFF"/>
        </w:rPr>
        <w:t>成绩，但与</w:t>
      </w:r>
      <w:r>
        <w:rPr>
          <w:rFonts w:hint="eastAsia" w:ascii="仿宋" w:hAnsi="仿宋" w:eastAsia="仿宋" w:cs="仿宋"/>
          <w:color w:val="000000"/>
          <w:sz w:val="32"/>
          <w:szCs w:val="32"/>
          <w:shd w:val="clear" w:fill="FFFFFF"/>
          <w:lang w:eastAsia="zh-CN"/>
        </w:rPr>
        <w:t>上级</w:t>
      </w:r>
      <w:r>
        <w:rPr>
          <w:rFonts w:ascii="仿宋" w:hAnsi="仿宋" w:eastAsia="仿宋" w:cs="仿宋"/>
          <w:color w:val="000000"/>
          <w:sz w:val="32"/>
          <w:szCs w:val="32"/>
          <w:shd w:val="clear" w:fill="FFFFFF"/>
        </w:rPr>
        <w:t>的要求相比还存在一定的差距，</w:t>
      </w:r>
      <w:r>
        <w:rPr>
          <w:rFonts w:hint="eastAsia" w:ascii="仿宋" w:hAnsi="仿宋" w:eastAsia="仿宋" w:cs="仿宋"/>
          <w:color w:val="000000"/>
          <w:sz w:val="32"/>
          <w:szCs w:val="32"/>
          <w:shd w:val="clear" w:fill="FFFFFF"/>
          <w:lang w:eastAsia="zh-CN"/>
        </w:rPr>
        <w:t>还</w:t>
      </w:r>
      <w:r>
        <w:rPr>
          <w:rFonts w:ascii="仿宋" w:hAnsi="仿宋" w:eastAsia="仿宋" w:cs="仿宋"/>
          <w:color w:val="000000"/>
          <w:sz w:val="32"/>
          <w:szCs w:val="32"/>
          <w:shd w:val="clear" w:fill="FFFFFF"/>
        </w:rPr>
        <w:t>存在一些问题。</w:t>
      </w:r>
      <w:r>
        <w:rPr>
          <w:rFonts w:hint="eastAsia" w:ascii="楷体_GB2312" w:hAnsi="楷体_GB2312" w:eastAsia="楷体_GB2312" w:cs="楷体_GB2312"/>
          <w:color w:val="000000"/>
          <w:sz w:val="32"/>
          <w:szCs w:val="32"/>
          <w:shd w:val="clear" w:fill="FFFFFF"/>
        </w:rPr>
        <w:t>一是</w:t>
      </w:r>
      <w:r>
        <w:rPr>
          <w:rFonts w:ascii="仿宋" w:hAnsi="仿宋" w:eastAsia="仿宋" w:cs="仿宋"/>
          <w:color w:val="000000"/>
          <w:sz w:val="32"/>
          <w:szCs w:val="32"/>
          <w:shd w:val="clear" w:fill="FFFFFF"/>
        </w:rPr>
        <w:t>信息</w:t>
      </w:r>
      <w:r>
        <w:rPr>
          <w:rFonts w:hint="eastAsia" w:ascii="仿宋" w:hAnsi="仿宋" w:eastAsia="仿宋" w:cs="仿宋"/>
          <w:color w:val="000000"/>
          <w:sz w:val="32"/>
          <w:szCs w:val="32"/>
          <w:shd w:val="clear" w:fill="FFFFFF"/>
          <w:lang w:eastAsia="zh-CN"/>
        </w:rPr>
        <w:t>公开的</w:t>
      </w:r>
      <w:r>
        <w:rPr>
          <w:rFonts w:ascii="仿宋" w:hAnsi="仿宋" w:eastAsia="仿宋" w:cs="仿宋"/>
          <w:color w:val="000000"/>
          <w:sz w:val="32"/>
          <w:szCs w:val="32"/>
          <w:shd w:val="clear" w:fill="FFFFFF"/>
        </w:rPr>
        <w:t>全面性</w:t>
      </w:r>
      <w:r>
        <w:rPr>
          <w:rFonts w:hint="eastAsia" w:ascii="仿宋" w:hAnsi="仿宋" w:eastAsia="仿宋" w:cs="仿宋"/>
          <w:color w:val="000000"/>
          <w:sz w:val="32"/>
          <w:szCs w:val="32"/>
          <w:shd w:val="clear" w:fill="FFFFFF"/>
          <w:lang w:eastAsia="zh-CN"/>
        </w:rPr>
        <w:t>还有待</w:t>
      </w:r>
      <w:r>
        <w:rPr>
          <w:rFonts w:ascii="仿宋" w:hAnsi="仿宋" w:eastAsia="仿宋" w:cs="仿宋"/>
          <w:color w:val="000000"/>
          <w:sz w:val="32"/>
          <w:szCs w:val="32"/>
          <w:shd w:val="clear" w:fill="FFFFFF"/>
        </w:rPr>
        <w:t>进一步加强；</w:t>
      </w:r>
      <w:r>
        <w:rPr>
          <w:rFonts w:hint="eastAsia" w:ascii="楷体_GB2312" w:hAnsi="楷体_GB2312" w:eastAsia="楷体_GB2312" w:cs="楷体_GB2312"/>
          <w:color w:val="000000"/>
          <w:sz w:val="32"/>
          <w:szCs w:val="32"/>
          <w:shd w:val="clear" w:fill="FFFFFF"/>
        </w:rPr>
        <w:t>二是</w:t>
      </w:r>
      <w:r>
        <w:rPr>
          <w:rFonts w:ascii="仿宋" w:hAnsi="仿宋" w:eastAsia="仿宋" w:cs="仿宋"/>
          <w:color w:val="000000"/>
          <w:sz w:val="32"/>
          <w:szCs w:val="32"/>
          <w:shd w:val="clear" w:fill="FFFFFF"/>
        </w:rPr>
        <w:t>信息报送机制还不够完善；</w:t>
      </w:r>
      <w:r>
        <w:rPr>
          <w:rFonts w:hint="eastAsia" w:ascii="楷体_GB2312" w:hAnsi="楷体_GB2312" w:eastAsia="楷体_GB2312" w:cs="楷体_GB2312"/>
          <w:color w:val="000000"/>
          <w:sz w:val="32"/>
          <w:szCs w:val="32"/>
          <w:shd w:val="clear" w:fill="FFFFFF"/>
        </w:rPr>
        <w:t>三是</w:t>
      </w:r>
      <w:r>
        <w:rPr>
          <w:rFonts w:ascii="仿宋" w:hAnsi="仿宋" w:eastAsia="仿宋" w:cs="仿宋"/>
          <w:color w:val="000000"/>
          <w:sz w:val="32"/>
          <w:szCs w:val="32"/>
          <w:shd w:val="clear" w:fill="FFFFFF"/>
        </w:rPr>
        <w:t>信息报送网络</w:t>
      </w:r>
      <w:r>
        <w:rPr>
          <w:rFonts w:hint="eastAsia" w:ascii="仿宋" w:hAnsi="仿宋" w:eastAsia="仿宋" w:cs="仿宋"/>
          <w:color w:val="000000"/>
          <w:sz w:val="32"/>
          <w:szCs w:val="32"/>
          <w:shd w:val="clear" w:fill="FFFFFF"/>
          <w:lang w:eastAsia="zh-CN"/>
        </w:rPr>
        <w:t>还</w:t>
      </w:r>
      <w:r>
        <w:rPr>
          <w:rFonts w:ascii="仿宋" w:hAnsi="仿宋" w:eastAsia="仿宋" w:cs="仿宋"/>
          <w:color w:val="000000"/>
          <w:sz w:val="32"/>
          <w:szCs w:val="32"/>
          <w:shd w:val="clear" w:fill="FFFFFF"/>
        </w:rPr>
        <w:t>不够畅通</w:t>
      </w:r>
      <w:r>
        <w:rPr>
          <w:rFonts w:hint="eastAsia" w:ascii="宋体" w:hAnsi="宋体" w:eastAsia="宋体" w:cs="宋体"/>
          <w:color w:val="000000"/>
          <w:sz w:val="32"/>
          <w:szCs w:val="32"/>
          <w:shd w:val="clear" w:fill="FFFFFF"/>
        </w:rPr>
        <w:t>,</w:t>
      </w:r>
      <w:r>
        <w:rPr>
          <w:rFonts w:hint="eastAsia" w:ascii="仿宋_GB2312" w:hAnsi="仿宋_GB2312" w:eastAsia="仿宋_GB2312" w:cs="仿宋_GB2312"/>
          <w:color w:val="000000"/>
          <w:sz w:val="32"/>
          <w:szCs w:val="32"/>
          <w:shd w:val="clear" w:fill="FFFFFF"/>
          <w:lang w:eastAsia="zh-CN"/>
        </w:rPr>
        <w:t>发布方式还比较</w:t>
      </w:r>
      <w:r>
        <w:rPr>
          <w:rFonts w:hint="eastAsia" w:ascii="仿宋" w:hAnsi="仿宋" w:eastAsia="仿宋" w:cs="仿宋"/>
          <w:color w:val="000000"/>
          <w:sz w:val="32"/>
          <w:szCs w:val="32"/>
          <w:shd w:val="clear" w:fill="FFFFFF"/>
        </w:rPr>
        <w:t>单一。</w:t>
      </w:r>
    </w:p>
    <w:p>
      <w:pPr>
        <w:pStyle w:val="2"/>
        <w:keepNext w:val="0"/>
        <w:keepLines w:val="0"/>
        <w:widowControl/>
        <w:suppressLineNumbers w:val="0"/>
        <w:spacing w:before="0" w:beforeAutospacing="0" w:after="0" w:afterAutospacing="0" w:line="440" w:lineRule="atLeast"/>
        <w:ind w:left="0" w:right="0" w:firstLine="640"/>
        <w:rPr>
          <w:rFonts w:hint="eastAsia" w:ascii="宋体" w:hAnsi="宋体" w:eastAsia="宋体" w:cs="宋体"/>
          <w:sz w:val="24"/>
          <w:szCs w:val="24"/>
        </w:rPr>
      </w:pPr>
      <w:r>
        <w:rPr>
          <w:rFonts w:hint="eastAsia" w:ascii="仿宋" w:hAnsi="仿宋" w:eastAsia="仿宋" w:cs="仿宋"/>
          <w:color w:val="000000"/>
          <w:sz w:val="32"/>
          <w:szCs w:val="32"/>
          <w:shd w:val="clear" w:fill="FFFFFF"/>
          <w:lang w:eastAsia="zh-CN"/>
        </w:rPr>
        <w:t>下一步</w:t>
      </w:r>
      <w:r>
        <w:rPr>
          <w:rFonts w:hint="eastAsia" w:ascii="仿宋" w:hAnsi="仿宋" w:eastAsia="仿宋" w:cs="仿宋"/>
          <w:color w:val="000000"/>
          <w:sz w:val="32"/>
          <w:szCs w:val="32"/>
          <w:shd w:val="clear" w:fill="FFFFFF"/>
        </w:rPr>
        <w:t>，国资委将</w:t>
      </w:r>
      <w:r>
        <w:rPr>
          <w:rFonts w:hint="eastAsia" w:ascii="仿宋" w:hAnsi="仿宋" w:eastAsia="仿宋" w:cs="仿宋"/>
          <w:color w:val="000000"/>
          <w:sz w:val="32"/>
          <w:szCs w:val="32"/>
          <w:shd w:val="clear" w:fill="FFFFFF"/>
          <w:lang w:eastAsia="zh-CN"/>
        </w:rPr>
        <w:t>继续</w:t>
      </w:r>
      <w:r>
        <w:rPr>
          <w:rFonts w:hint="eastAsia" w:ascii="仿宋" w:hAnsi="仿宋" w:eastAsia="仿宋" w:cs="仿宋"/>
          <w:color w:val="000000"/>
          <w:sz w:val="32"/>
          <w:szCs w:val="32"/>
          <w:shd w:val="clear" w:fill="FFFFFF"/>
        </w:rPr>
        <w:t>大力推进政府信息公开工作，不断规范政府信息公开内容，创新政府信息公开形式，突出政府信息公开重点，提高政府信息水平，促进各项工作的开展。</w:t>
      </w:r>
      <w:r>
        <w:rPr>
          <w:rFonts w:hint="eastAsia" w:ascii="楷体_GB2312" w:hAnsi="楷体_GB2312" w:eastAsia="楷体_GB2312" w:cs="楷体_GB2312"/>
          <w:color w:val="000000"/>
          <w:sz w:val="32"/>
          <w:szCs w:val="32"/>
          <w:shd w:val="clear" w:fill="FFFFFF"/>
        </w:rPr>
        <w:t>一是</w:t>
      </w:r>
      <w:r>
        <w:rPr>
          <w:rFonts w:hint="eastAsia" w:ascii="仿宋" w:hAnsi="仿宋" w:eastAsia="仿宋" w:cs="仿宋"/>
          <w:color w:val="000000"/>
          <w:sz w:val="32"/>
          <w:szCs w:val="32"/>
          <w:shd w:val="clear" w:fill="FFFFFF"/>
          <w:lang w:eastAsia="zh-CN"/>
        </w:rPr>
        <w:t>不断优化完善</w:t>
      </w:r>
      <w:r>
        <w:rPr>
          <w:rFonts w:hint="eastAsia" w:ascii="仿宋" w:hAnsi="仿宋" w:eastAsia="仿宋" w:cs="仿宋"/>
          <w:color w:val="000000"/>
          <w:sz w:val="32"/>
          <w:szCs w:val="32"/>
          <w:shd w:val="clear" w:fill="FFFFFF"/>
        </w:rPr>
        <w:t>信息公开的工作机制</w:t>
      </w:r>
      <w:r>
        <w:rPr>
          <w:rFonts w:hint="eastAsia" w:ascii="仿宋" w:hAnsi="仿宋" w:eastAsia="仿宋" w:cs="仿宋"/>
          <w:color w:val="000000"/>
          <w:sz w:val="32"/>
          <w:szCs w:val="32"/>
          <w:shd w:val="clear" w:fill="FFFFFF"/>
          <w:lang w:eastAsia="zh-CN"/>
        </w:rPr>
        <w:t>，认真做到</w:t>
      </w:r>
      <w:r>
        <w:rPr>
          <w:rFonts w:hint="eastAsia" w:ascii="仿宋" w:hAnsi="仿宋" w:eastAsia="仿宋" w:cs="仿宋"/>
          <w:color w:val="000000"/>
          <w:sz w:val="32"/>
          <w:szCs w:val="32"/>
          <w:shd w:val="clear" w:fill="FFFFFF"/>
        </w:rPr>
        <w:t>及时、准确</w:t>
      </w:r>
      <w:r>
        <w:rPr>
          <w:rFonts w:hint="eastAsia" w:ascii="仿宋" w:hAnsi="仿宋" w:eastAsia="仿宋" w:cs="仿宋"/>
          <w:color w:val="000000"/>
          <w:sz w:val="32"/>
          <w:szCs w:val="32"/>
          <w:shd w:val="clear" w:fill="FFFFFF"/>
          <w:lang w:eastAsia="zh-CN"/>
        </w:rPr>
        <w:t>、全面</w:t>
      </w:r>
      <w:r>
        <w:rPr>
          <w:rFonts w:hint="eastAsia" w:ascii="仿宋" w:hAnsi="仿宋" w:eastAsia="仿宋" w:cs="仿宋"/>
          <w:color w:val="000000"/>
          <w:sz w:val="32"/>
          <w:szCs w:val="32"/>
          <w:shd w:val="clear" w:fill="FFFFFF"/>
        </w:rPr>
        <w:t>公开</w:t>
      </w:r>
      <w:r>
        <w:rPr>
          <w:rFonts w:hint="eastAsia" w:ascii="仿宋" w:hAnsi="仿宋" w:eastAsia="仿宋" w:cs="仿宋"/>
          <w:color w:val="000000"/>
          <w:sz w:val="32"/>
          <w:szCs w:val="32"/>
          <w:shd w:val="clear" w:fill="FFFFFF"/>
          <w:lang w:eastAsia="zh-CN"/>
        </w:rPr>
        <w:t>相关</w:t>
      </w:r>
      <w:r>
        <w:rPr>
          <w:rFonts w:hint="eastAsia" w:ascii="仿宋" w:hAnsi="仿宋" w:eastAsia="仿宋" w:cs="仿宋"/>
          <w:color w:val="000000"/>
          <w:sz w:val="32"/>
          <w:szCs w:val="32"/>
          <w:shd w:val="clear" w:fill="FFFFFF"/>
        </w:rPr>
        <w:t>信息。</w:t>
      </w:r>
      <w:r>
        <w:rPr>
          <w:rFonts w:hint="eastAsia" w:ascii="楷体_GB2312" w:hAnsi="楷体_GB2312" w:eastAsia="楷体_GB2312" w:cs="楷体_GB2312"/>
          <w:color w:val="000000"/>
          <w:sz w:val="32"/>
          <w:szCs w:val="32"/>
          <w:shd w:val="clear" w:fill="FFFFFF"/>
        </w:rPr>
        <w:t>二是</w:t>
      </w:r>
      <w:r>
        <w:rPr>
          <w:rFonts w:hint="eastAsia" w:ascii="仿宋_GB2312" w:hAnsi="仿宋_GB2312" w:eastAsia="仿宋_GB2312" w:cs="仿宋_GB2312"/>
          <w:color w:val="000000"/>
          <w:sz w:val="32"/>
          <w:szCs w:val="32"/>
          <w:shd w:val="clear" w:fill="FFFFFF"/>
          <w:lang w:eastAsia="zh-CN"/>
        </w:rPr>
        <w:t>着力</w:t>
      </w:r>
      <w:r>
        <w:rPr>
          <w:rFonts w:hint="eastAsia" w:ascii="仿宋" w:hAnsi="仿宋" w:eastAsia="仿宋" w:cs="仿宋"/>
          <w:color w:val="000000"/>
          <w:sz w:val="32"/>
          <w:szCs w:val="32"/>
          <w:shd w:val="clear" w:fill="FFFFFF"/>
          <w:lang w:eastAsia="zh-CN"/>
        </w:rPr>
        <w:t>加强</w:t>
      </w:r>
      <w:r>
        <w:rPr>
          <w:rFonts w:hint="eastAsia" w:ascii="仿宋" w:hAnsi="仿宋" w:eastAsia="仿宋" w:cs="仿宋"/>
          <w:color w:val="000000"/>
          <w:sz w:val="32"/>
          <w:szCs w:val="32"/>
          <w:shd w:val="clear" w:fill="FFFFFF"/>
        </w:rPr>
        <w:t>信息公开管理</w:t>
      </w:r>
      <w:r>
        <w:rPr>
          <w:rFonts w:hint="eastAsia" w:ascii="仿宋" w:hAnsi="仿宋" w:eastAsia="仿宋" w:cs="仿宋"/>
          <w:color w:val="000000"/>
          <w:sz w:val="32"/>
          <w:szCs w:val="32"/>
          <w:shd w:val="clear" w:fill="FFFFFF"/>
          <w:lang w:eastAsia="zh-CN"/>
        </w:rPr>
        <w:t>工作，完善报送、</w:t>
      </w:r>
      <w:r>
        <w:rPr>
          <w:rFonts w:hint="eastAsia" w:ascii="仿宋" w:hAnsi="仿宋" w:eastAsia="仿宋" w:cs="仿宋"/>
          <w:color w:val="000000"/>
          <w:sz w:val="32"/>
          <w:szCs w:val="32"/>
          <w:shd w:val="clear" w:fill="FFFFFF"/>
        </w:rPr>
        <w:t>审核</w:t>
      </w:r>
      <w:r>
        <w:rPr>
          <w:rFonts w:hint="eastAsia" w:ascii="仿宋" w:hAnsi="仿宋" w:eastAsia="仿宋" w:cs="仿宋"/>
          <w:color w:val="000000"/>
          <w:sz w:val="32"/>
          <w:szCs w:val="32"/>
          <w:shd w:val="clear" w:fill="FFFFFF"/>
          <w:lang w:eastAsia="zh-CN"/>
        </w:rPr>
        <w:t>、把关、反馈等</w:t>
      </w:r>
      <w:r>
        <w:rPr>
          <w:rFonts w:hint="eastAsia" w:ascii="仿宋" w:hAnsi="仿宋" w:eastAsia="仿宋" w:cs="仿宋"/>
          <w:color w:val="000000"/>
          <w:sz w:val="32"/>
          <w:szCs w:val="32"/>
          <w:shd w:val="clear" w:fill="FFFFFF"/>
        </w:rPr>
        <w:t>机制，</w:t>
      </w:r>
      <w:r>
        <w:rPr>
          <w:rFonts w:hint="eastAsia" w:ascii="仿宋" w:hAnsi="仿宋" w:eastAsia="仿宋" w:cs="仿宋"/>
          <w:color w:val="000000"/>
          <w:sz w:val="32"/>
          <w:szCs w:val="32"/>
          <w:shd w:val="clear" w:fill="FFFFFF"/>
          <w:lang w:eastAsia="zh-CN"/>
        </w:rPr>
        <w:t>充分</w:t>
      </w:r>
      <w:r>
        <w:rPr>
          <w:rFonts w:hint="eastAsia" w:ascii="仿宋" w:hAnsi="仿宋" w:eastAsia="仿宋" w:cs="仿宋"/>
          <w:color w:val="000000"/>
          <w:sz w:val="32"/>
          <w:szCs w:val="32"/>
          <w:shd w:val="clear" w:fill="FFFFFF"/>
        </w:rPr>
        <w:t>保障公开信息的全面</w:t>
      </w:r>
      <w:r>
        <w:rPr>
          <w:rFonts w:hint="eastAsia" w:ascii="仿宋" w:hAnsi="仿宋" w:eastAsia="仿宋" w:cs="仿宋"/>
          <w:color w:val="000000"/>
          <w:sz w:val="32"/>
          <w:szCs w:val="32"/>
          <w:shd w:val="clear" w:fill="FFFFFF"/>
          <w:lang w:eastAsia="zh-CN"/>
        </w:rPr>
        <w:t>性、多样性、</w:t>
      </w:r>
      <w:r>
        <w:rPr>
          <w:rFonts w:hint="eastAsia" w:ascii="仿宋" w:hAnsi="仿宋" w:eastAsia="仿宋" w:cs="仿宋"/>
          <w:color w:val="000000"/>
          <w:sz w:val="32"/>
          <w:szCs w:val="32"/>
          <w:shd w:val="clear" w:fill="FFFFFF"/>
        </w:rPr>
        <w:t>安全</w:t>
      </w:r>
      <w:r>
        <w:rPr>
          <w:rFonts w:hint="eastAsia" w:ascii="仿宋" w:hAnsi="仿宋" w:eastAsia="仿宋" w:cs="仿宋"/>
          <w:color w:val="000000"/>
          <w:sz w:val="32"/>
          <w:szCs w:val="32"/>
          <w:shd w:val="clear" w:fill="FFFFFF"/>
          <w:lang w:eastAsia="zh-CN"/>
        </w:rPr>
        <w:t>性和权威性</w:t>
      </w:r>
      <w:r>
        <w:rPr>
          <w:rFonts w:hint="eastAsia" w:ascii="仿宋" w:hAnsi="仿宋" w:eastAsia="仿宋" w:cs="仿宋"/>
          <w:color w:val="000000"/>
          <w:sz w:val="32"/>
          <w:szCs w:val="32"/>
          <w:shd w:val="clear" w:fill="FFFFFF"/>
        </w:rPr>
        <w:t>。</w:t>
      </w:r>
      <w:r>
        <w:rPr>
          <w:rFonts w:hint="eastAsia" w:ascii="楷体_GB2312" w:hAnsi="楷体_GB2312" w:eastAsia="楷体_GB2312" w:cs="楷体_GB2312"/>
          <w:color w:val="000000"/>
          <w:sz w:val="32"/>
          <w:szCs w:val="32"/>
          <w:shd w:val="clear" w:fill="FFFFFF"/>
        </w:rPr>
        <w:t>三</w:t>
      </w:r>
      <w:r>
        <w:rPr>
          <w:rFonts w:hint="eastAsia" w:ascii="楷体_GB2312" w:hAnsi="楷体_GB2312" w:eastAsia="楷体_GB2312" w:cs="楷体_GB2312"/>
          <w:color w:val="000000"/>
          <w:sz w:val="32"/>
          <w:szCs w:val="32"/>
          <w:shd w:val="clear" w:fill="FFFFFF"/>
          <w:lang w:eastAsia="zh-CN"/>
        </w:rPr>
        <w:t>是</w:t>
      </w:r>
      <w:r>
        <w:rPr>
          <w:rFonts w:hint="eastAsia" w:ascii="仿宋" w:hAnsi="仿宋" w:eastAsia="仿宋" w:cs="仿宋"/>
          <w:color w:val="000000"/>
          <w:sz w:val="32"/>
          <w:szCs w:val="32"/>
          <w:shd w:val="clear" w:fill="FFFFFF"/>
          <w:lang w:eastAsia="zh-CN"/>
        </w:rPr>
        <w:t>积极</w:t>
      </w:r>
      <w:r>
        <w:rPr>
          <w:rFonts w:hint="eastAsia" w:ascii="仿宋" w:hAnsi="仿宋" w:eastAsia="仿宋" w:cs="仿宋"/>
          <w:color w:val="000000"/>
          <w:sz w:val="32"/>
          <w:szCs w:val="32"/>
          <w:shd w:val="clear" w:fill="FFFFFF"/>
        </w:rPr>
        <w:t>学习和借鉴优秀单位的工作经验，不断提高国资委信息公开的工作水平。</w:t>
      </w:r>
      <w:r>
        <w:rPr>
          <w:rFonts w:hint="eastAsia" w:ascii="楷体_GB2312" w:hAnsi="楷体_GB2312" w:eastAsia="楷体_GB2312" w:cs="楷体_GB2312"/>
          <w:color w:val="000000"/>
          <w:sz w:val="32"/>
          <w:szCs w:val="32"/>
          <w:shd w:val="clear" w:fill="FFFFFF"/>
        </w:rPr>
        <w:t>四是</w:t>
      </w:r>
      <w:r>
        <w:rPr>
          <w:rFonts w:hint="eastAsia" w:ascii="仿宋" w:hAnsi="仿宋" w:eastAsia="仿宋" w:cs="仿宋"/>
          <w:color w:val="000000"/>
          <w:sz w:val="32"/>
          <w:szCs w:val="32"/>
          <w:shd w:val="clear" w:fill="FFFFFF"/>
          <w:lang w:eastAsia="zh-CN"/>
        </w:rPr>
        <w:t>加大</w:t>
      </w:r>
      <w:r>
        <w:rPr>
          <w:rFonts w:hint="eastAsia" w:ascii="仿宋" w:hAnsi="仿宋" w:eastAsia="仿宋" w:cs="仿宋"/>
          <w:color w:val="000000"/>
          <w:sz w:val="32"/>
          <w:szCs w:val="32"/>
          <w:shd w:val="clear" w:fill="FFFFFF"/>
        </w:rPr>
        <w:t>宣传</w:t>
      </w:r>
      <w:r>
        <w:rPr>
          <w:rFonts w:hint="eastAsia" w:ascii="仿宋" w:hAnsi="仿宋" w:eastAsia="仿宋" w:cs="仿宋"/>
          <w:color w:val="000000"/>
          <w:sz w:val="32"/>
          <w:szCs w:val="32"/>
          <w:shd w:val="clear" w:fill="FFFFFF"/>
          <w:lang w:eastAsia="zh-CN"/>
        </w:rPr>
        <w:t>解读力度</w:t>
      </w:r>
      <w:r>
        <w:rPr>
          <w:rFonts w:hint="eastAsia" w:ascii="仿宋" w:hAnsi="仿宋" w:eastAsia="仿宋" w:cs="仿宋"/>
          <w:color w:val="000000"/>
          <w:sz w:val="32"/>
          <w:szCs w:val="32"/>
          <w:shd w:val="clear" w:fill="FFFFFF"/>
        </w:rPr>
        <w:t>，</w:t>
      </w:r>
      <w:r>
        <w:rPr>
          <w:rFonts w:hint="eastAsia" w:ascii="仿宋" w:hAnsi="仿宋" w:eastAsia="仿宋" w:cs="仿宋"/>
          <w:color w:val="000000"/>
          <w:sz w:val="32"/>
          <w:szCs w:val="32"/>
          <w:shd w:val="clear" w:fill="FFFFFF"/>
          <w:lang w:eastAsia="zh-CN"/>
        </w:rPr>
        <w:t>拓宽</w:t>
      </w:r>
      <w:r>
        <w:rPr>
          <w:rFonts w:hint="eastAsia" w:ascii="仿宋" w:hAnsi="仿宋" w:eastAsia="仿宋" w:cs="仿宋"/>
          <w:color w:val="000000"/>
          <w:sz w:val="32"/>
          <w:szCs w:val="32"/>
          <w:shd w:val="clear" w:fill="FFFFFF"/>
        </w:rPr>
        <w:t>信息公开的多样化渠道。</w:t>
      </w:r>
      <w:r>
        <w:rPr>
          <w:rFonts w:hint="eastAsia" w:ascii="楷体_GB2312" w:hAnsi="楷体_GB2312" w:eastAsia="楷体_GB2312" w:cs="楷体_GB2312"/>
          <w:color w:val="000000"/>
          <w:sz w:val="32"/>
          <w:szCs w:val="32"/>
          <w:shd w:val="clear" w:fill="FFFFFF"/>
          <w:lang w:eastAsia="zh-CN"/>
        </w:rPr>
        <w:t>五是</w:t>
      </w:r>
      <w:r>
        <w:rPr>
          <w:rFonts w:hint="eastAsia" w:ascii="仿宋_GB2312" w:hAnsi="仿宋_GB2312" w:eastAsia="仿宋_GB2312" w:cs="仿宋_GB2312"/>
          <w:color w:val="000000"/>
          <w:sz w:val="32"/>
          <w:szCs w:val="32"/>
          <w:shd w:val="clear" w:fill="FFFFFF"/>
          <w:lang w:eastAsia="zh-CN"/>
        </w:rPr>
        <w:t>加快</w:t>
      </w:r>
      <w:r>
        <w:rPr>
          <w:rFonts w:hint="eastAsia" w:ascii="仿宋" w:hAnsi="仿宋" w:eastAsia="仿宋" w:cs="仿宋"/>
          <w:color w:val="000000"/>
          <w:sz w:val="32"/>
          <w:szCs w:val="32"/>
          <w:shd w:val="clear" w:fill="FFFFFF"/>
          <w:lang w:eastAsia="zh-CN"/>
        </w:rPr>
        <w:t>信息平台建设，</w:t>
      </w:r>
      <w:r>
        <w:rPr>
          <w:rFonts w:hint="eastAsia" w:ascii="仿宋" w:hAnsi="仿宋" w:eastAsia="仿宋" w:cs="仿宋"/>
          <w:color w:val="000000"/>
          <w:sz w:val="32"/>
          <w:szCs w:val="32"/>
          <w:shd w:val="clear" w:fill="FFFFFF"/>
        </w:rPr>
        <w:t>充分利用现有网络资源，</w:t>
      </w:r>
      <w:r>
        <w:rPr>
          <w:rFonts w:hint="eastAsia" w:ascii="仿宋" w:hAnsi="仿宋" w:eastAsia="仿宋" w:cs="仿宋"/>
          <w:color w:val="000000"/>
          <w:sz w:val="32"/>
          <w:szCs w:val="32"/>
          <w:shd w:val="clear" w:fill="FFFFFF"/>
          <w:lang w:eastAsia="zh-CN"/>
        </w:rPr>
        <w:t>多手段、多样式</w:t>
      </w:r>
      <w:r>
        <w:rPr>
          <w:rFonts w:hint="eastAsia" w:ascii="仿宋" w:hAnsi="仿宋" w:eastAsia="仿宋" w:cs="仿宋"/>
          <w:color w:val="000000"/>
          <w:sz w:val="32"/>
          <w:szCs w:val="32"/>
          <w:shd w:val="clear" w:fill="FFFFFF"/>
        </w:rPr>
        <w:t>发挥信息公开平台作用，拓展信息公开内容和形式。</w:t>
      </w:r>
    </w:p>
    <w:p>
      <w:pPr>
        <w:keepNext w:val="0"/>
        <w:keepLines w:val="0"/>
        <w:widowControl w:val="0"/>
        <w:suppressLineNumbers w:val="0"/>
        <w:spacing w:before="0" w:beforeAutospacing="0" w:after="0" w:afterAutospacing="0" w:line="620" w:lineRule="exact"/>
        <w:ind w:left="0" w:leftChars="0" w:right="0" w:rightChars="0" w:firstLine="640" w:firstLineChars="200"/>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附件：国资委政府信息公开情况统计表</w:t>
      </w:r>
    </w:p>
    <w:p>
      <w:pPr>
        <w:keepNext w:val="0"/>
        <w:keepLines w:val="0"/>
        <w:widowControl w:val="0"/>
        <w:suppressLineNumbers w:val="0"/>
        <w:spacing w:before="0" w:beforeAutospacing="0" w:after="0" w:afterAutospacing="0" w:line="620" w:lineRule="exact"/>
        <w:ind w:left="0" w:leftChars="0" w:right="0" w:rightChars="0" w:firstLine="640" w:firstLineChars="200"/>
        <w:jc w:val="both"/>
        <w:rPr>
          <w:rFonts w:hint="eastAsia"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val="0"/>
        <w:suppressLineNumbers w:val="0"/>
        <w:spacing w:before="0" w:beforeAutospacing="0" w:after="0" w:afterAutospacing="0" w:line="620" w:lineRule="exact"/>
        <w:ind w:left="0" w:leftChars="0" w:right="0" w:rightChars="0" w:firstLine="640" w:firstLineChars="200"/>
        <w:jc w:val="both"/>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                               通州区国资委</w:t>
      </w:r>
    </w:p>
    <w:p>
      <w:pPr>
        <w:keepNext w:val="0"/>
        <w:keepLines w:val="0"/>
        <w:widowControl w:val="0"/>
        <w:suppressLineNumbers w:val="0"/>
        <w:spacing w:before="0" w:beforeAutospacing="0" w:after="0" w:afterAutospacing="0" w:line="620" w:lineRule="exact"/>
        <w:ind w:left="0" w:leftChars="0" w:right="0" w:rightChars="0" w:firstLine="640" w:firstLineChars="200"/>
        <w:jc w:val="both"/>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                                2019年3月</w:t>
      </w:r>
    </w:p>
    <w:p>
      <w:pPr>
        <w:keepNext w:val="0"/>
        <w:keepLines w:val="0"/>
        <w:widowControl w:val="0"/>
        <w:suppressLineNumbers w:val="0"/>
        <w:spacing w:before="0" w:beforeAutospacing="0" w:after="0" w:afterAutospacing="0" w:line="620" w:lineRule="exact"/>
        <w:ind w:left="0" w:leftChars="0" w:right="0" w:rightChars="0" w:firstLine="640" w:firstLineChars="200"/>
        <w:jc w:val="both"/>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widowControl w:val="0"/>
        <w:suppressLineNumbers w:val="0"/>
        <w:spacing w:before="0" w:beforeAutospacing="0" w:after="0" w:afterAutospacing="0" w:line="620" w:lineRule="exact"/>
        <w:ind w:left="0" w:leftChars="0" w:right="0" w:rightChars="0" w:firstLine="640" w:firstLineChars="200"/>
        <w:jc w:val="both"/>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widowControl w:val="0"/>
        <w:suppressLineNumbers w:val="0"/>
        <w:spacing w:before="0" w:beforeAutospacing="0" w:after="0" w:afterAutospacing="0" w:line="620" w:lineRule="exact"/>
        <w:ind w:left="0" w:leftChars="0" w:right="0" w:rightChars="0" w:firstLine="640" w:firstLineChars="200"/>
        <w:jc w:val="both"/>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widowControl w:val="0"/>
        <w:suppressLineNumbers w:val="0"/>
        <w:spacing w:before="0" w:beforeAutospacing="0" w:after="0" w:afterAutospacing="0" w:line="620" w:lineRule="exact"/>
        <w:ind w:left="0" w:leftChars="0" w:right="0" w:rightChars="0" w:firstLine="640" w:firstLineChars="200"/>
        <w:jc w:val="both"/>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widowControl w:val="0"/>
        <w:suppressLineNumbers w:val="0"/>
        <w:spacing w:before="0" w:beforeAutospacing="0" w:after="0" w:afterAutospacing="0" w:line="620" w:lineRule="exact"/>
        <w:ind w:left="0" w:leftChars="0" w:right="0" w:rightChars="0" w:firstLine="640" w:firstLineChars="200"/>
        <w:jc w:val="both"/>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widowControl w:val="0"/>
        <w:suppressLineNumbers w:val="0"/>
        <w:spacing w:before="0" w:beforeAutospacing="0" w:after="0" w:afterAutospacing="0" w:line="620" w:lineRule="exact"/>
        <w:ind w:left="0" w:leftChars="0" w:right="0" w:rightChars="0" w:firstLine="640" w:firstLineChars="200"/>
        <w:jc w:val="both"/>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keepNext w:val="0"/>
        <w:keepLines w:val="0"/>
        <w:widowControl w:val="0"/>
        <w:suppressLineNumbers w:val="0"/>
        <w:spacing w:before="0" w:beforeAutospacing="0" w:after="0" w:afterAutospacing="0" w:line="620" w:lineRule="exact"/>
        <w:ind w:left="0" w:leftChars="0" w:right="0" w:rightChars="0" w:firstLine="640" w:firstLineChars="200"/>
        <w:jc w:val="both"/>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tbl>
      <w:tblPr>
        <w:tblStyle w:val="7"/>
        <w:tblW w:w="9555" w:type="dxa"/>
        <w:jc w:val="center"/>
        <w:tblInd w:w="93" w:type="dxa"/>
        <w:tblLayout w:type="fixed"/>
        <w:tblCellMar>
          <w:top w:w="0" w:type="dxa"/>
          <w:left w:w="108" w:type="dxa"/>
          <w:bottom w:w="0" w:type="dxa"/>
          <w:right w:w="108" w:type="dxa"/>
        </w:tblCellMar>
      </w:tblPr>
      <w:tblGrid>
        <w:gridCol w:w="7755"/>
        <w:gridCol w:w="720"/>
        <w:gridCol w:w="1080"/>
      </w:tblGrid>
      <w:tr>
        <w:tblPrEx>
          <w:tblLayout w:type="fixed"/>
          <w:tblCellMar>
            <w:top w:w="0" w:type="dxa"/>
            <w:left w:w="108" w:type="dxa"/>
            <w:bottom w:w="0" w:type="dxa"/>
            <w:right w:w="108" w:type="dxa"/>
          </w:tblCellMar>
        </w:tblPrEx>
        <w:trPr>
          <w:trHeight w:val="540" w:hRule="atLeast"/>
          <w:jc w:val="center"/>
        </w:trPr>
        <w:tc>
          <w:tcPr>
            <w:tcW w:w="9555" w:type="dxa"/>
            <w:gridSpan w:val="3"/>
            <w:tcBorders>
              <w:top w:val="nil"/>
              <w:left w:val="nil"/>
              <w:bottom w:val="nil"/>
              <w:right w:val="nil"/>
            </w:tcBorders>
            <w:shd w:val="clear" w:color="FFFFFF" w:fill="auto"/>
            <w:vAlign w:val="center"/>
          </w:tcPr>
          <w:p>
            <w:pPr>
              <w:widowControl/>
              <w:jc w:val="center"/>
              <w:rPr>
                <w:rFonts w:hint="eastAsia" w:ascii="方正小标宋简体" w:hAnsi="宋体" w:eastAsia="方正小标宋简体" w:cs="宋体"/>
                <w:color w:val="000000"/>
                <w:kern w:val="0"/>
                <w:sz w:val="44"/>
                <w:szCs w:val="44"/>
              </w:rPr>
            </w:pPr>
            <w:bookmarkStart w:id="0" w:name="_GoBack"/>
            <w:bookmarkEnd w:id="0"/>
            <w:r>
              <w:rPr>
                <w:rFonts w:hint="eastAsia" w:ascii="方正小标宋简体" w:hAnsi="宋体" w:eastAsia="方正小标宋简体" w:cs="宋体"/>
                <w:color w:val="000000"/>
                <w:kern w:val="0"/>
                <w:sz w:val="44"/>
                <w:szCs w:val="44"/>
              </w:rPr>
              <w:t>政府信息公开情况统计表</w:t>
            </w:r>
          </w:p>
        </w:tc>
      </w:tr>
      <w:tr>
        <w:tblPrEx>
          <w:tblLayout w:type="fixed"/>
          <w:tblCellMar>
            <w:top w:w="0" w:type="dxa"/>
            <w:left w:w="108" w:type="dxa"/>
            <w:bottom w:w="0" w:type="dxa"/>
            <w:right w:w="108" w:type="dxa"/>
          </w:tblCellMar>
        </w:tblPrEx>
        <w:trPr>
          <w:trHeight w:val="285" w:hRule="atLeast"/>
          <w:jc w:val="center"/>
        </w:trPr>
        <w:tc>
          <w:tcPr>
            <w:tcW w:w="9555" w:type="dxa"/>
            <w:gridSpan w:val="3"/>
            <w:tcBorders>
              <w:top w:val="nil"/>
              <w:left w:val="nil"/>
              <w:bottom w:val="nil"/>
              <w:right w:val="nil"/>
            </w:tcBorders>
            <w:shd w:val="clear" w:color="FFFFFF" w:fill="auto"/>
            <w:vAlign w:val="center"/>
          </w:tcPr>
          <w:p>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 xml:space="preserve">（ </w:t>
            </w:r>
            <w:r>
              <w:rPr>
                <w:rFonts w:hint="eastAsia" w:ascii="楷体_GB2312" w:hAnsi="宋体" w:eastAsia="楷体_GB2312" w:cs="宋体"/>
                <w:kern w:val="0"/>
                <w:sz w:val="32"/>
                <w:szCs w:val="32"/>
                <w:lang w:val="en-US" w:eastAsia="zh-CN"/>
              </w:rPr>
              <w:t>2018</w:t>
            </w:r>
            <w:r>
              <w:rPr>
                <w:rFonts w:hint="eastAsia" w:ascii="楷体_GB2312" w:hAnsi="宋体" w:eastAsia="楷体_GB2312" w:cs="宋体"/>
                <w:kern w:val="0"/>
                <w:sz w:val="32"/>
                <w:szCs w:val="32"/>
              </w:rPr>
              <w:t>年度）</w:t>
            </w:r>
          </w:p>
        </w:tc>
      </w:tr>
      <w:tr>
        <w:tblPrEx>
          <w:tblLayout w:type="fixed"/>
          <w:tblCellMar>
            <w:top w:w="0" w:type="dxa"/>
            <w:left w:w="108" w:type="dxa"/>
            <w:bottom w:w="0" w:type="dxa"/>
            <w:right w:w="108" w:type="dxa"/>
          </w:tblCellMar>
        </w:tblPrEx>
        <w:trPr>
          <w:trHeight w:val="405" w:hRule="atLeast"/>
          <w:jc w:val="center"/>
        </w:trPr>
        <w:tc>
          <w:tcPr>
            <w:tcW w:w="7755"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c>
          <w:tcPr>
            <w:tcW w:w="720" w:type="dxa"/>
            <w:tcBorders>
              <w:top w:val="nil"/>
              <w:left w:val="nil"/>
              <w:bottom w:val="nil"/>
              <w:right w:val="nil"/>
            </w:tcBorders>
            <w:shd w:val="clear" w:color="FFFFFF" w:fill="auto"/>
            <w:vAlign w:val="center"/>
          </w:tcPr>
          <w:p>
            <w:pPr>
              <w:widowControl/>
              <w:jc w:val="center"/>
              <w:rPr>
                <w:rFonts w:ascii="宋体" w:hAnsi="宋体" w:cs="宋体"/>
                <w:color w:val="000000"/>
                <w:kern w:val="0"/>
                <w:sz w:val="22"/>
                <w:szCs w:val="22"/>
              </w:rPr>
            </w:pPr>
          </w:p>
        </w:tc>
        <w:tc>
          <w:tcPr>
            <w:tcW w:w="1080"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755" w:type="dxa"/>
            <w:tcBorders>
              <w:top w:val="nil"/>
              <w:left w:val="nil"/>
              <w:bottom w:val="single" w:color="auto" w:sz="8" w:space="0"/>
              <w:right w:val="nil"/>
            </w:tcBorders>
            <w:shd w:val="clear" w:color="FFFFFF"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填报单位（盖章）</w:t>
            </w:r>
            <w:r>
              <w:rPr>
                <w:rFonts w:hint="eastAsia" w:ascii="仿宋_GB2312" w:hAnsi="宋体" w:eastAsia="仿宋_GB2312" w:cs="宋体"/>
                <w:kern w:val="0"/>
                <w:sz w:val="24"/>
                <w:lang w:val="en-US" w:eastAsia="zh-CN"/>
              </w:rPr>
              <w:t>:通州区国资委</w:t>
            </w:r>
          </w:p>
        </w:tc>
        <w:tc>
          <w:tcPr>
            <w:tcW w:w="720" w:type="dxa"/>
            <w:tcBorders>
              <w:top w:val="nil"/>
              <w:left w:val="nil"/>
              <w:bottom w:val="single" w:color="auto" w:sz="8" w:space="0"/>
              <w:right w:val="nil"/>
            </w:tcBorders>
            <w:shd w:val="clear" w:color="FFFFFF"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080" w:type="dxa"/>
            <w:tcBorders>
              <w:top w:val="nil"/>
              <w:left w:val="nil"/>
              <w:bottom w:val="single" w:color="auto" w:sz="8" w:space="0"/>
              <w:right w:val="nil"/>
            </w:tcBorders>
            <w:shd w:val="clear" w:color="FFFFFF"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 计 指 标</w:t>
            </w:r>
          </w:p>
        </w:tc>
        <w:tc>
          <w:tcPr>
            <w:tcW w:w="72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单位</w:t>
            </w: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统计数</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一、主动公开情况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60"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（一）主动公开政府信息数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166</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其中：主动公开规范性文件数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nil"/>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制发规范性文件总数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4</w:t>
            </w:r>
          </w:p>
        </w:tc>
      </w:tr>
      <w:tr>
        <w:tblPrEx>
          <w:tblLayout w:type="fixed"/>
          <w:tblCellMar>
            <w:top w:w="0" w:type="dxa"/>
            <w:left w:w="108" w:type="dxa"/>
            <w:bottom w:w="0" w:type="dxa"/>
            <w:right w:w="108" w:type="dxa"/>
          </w:tblCellMar>
        </w:tblPrEx>
        <w:trPr>
          <w:trHeight w:val="660" w:hRule="atLeast"/>
          <w:jc w:val="center"/>
        </w:trPr>
        <w:tc>
          <w:tcPr>
            <w:tcW w:w="7755"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（二）重点领域公开政府信息数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51</w:t>
            </w:r>
          </w:p>
        </w:tc>
      </w:tr>
      <w:tr>
        <w:tblPrEx>
          <w:tblLayout w:type="fixed"/>
          <w:tblCellMar>
            <w:top w:w="0" w:type="dxa"/>
            <w:left w:w="108" w:type="dxa"/>
            <w:bottom w:w="0" w:type="dxa"/>
            <w:right w:w="108" w:type="dxa"/>
          </w:tblCellMar>
        </w:tblPrEx>
        <w:trPr>
          <w:trHeight w:val="60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rPr>
                <w:rFonts w:ascii="仿宋_GB2312" w:hAnsi="宋体" w:eastAsia="仿宋_GB2312" w:cs="宋体"/>
                <w:kern w:val="0"/>
                <w:sz w:val="24"/>
              </w:rPr>
            </w:pPr>
            <w:r>
              <w:rPr>
                <w:rFonts w:hint="eastAsia" w:ascii="仿宋_GB2312" w:hAnsi="宋体" w:eastAsia="仿宋_GB2312" w:cs="宋体"/>
                <w:kern w:val="0"/>
                <w:sz w:val="24"/>
              </w:rPr>
              <w:t xml:space="preserve">        其中：主动公开财政预算决算、“三公经费”和行政经费信息数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64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主动公开保障性安居工程建设计划、项目开工和竣工情况，保障性住房的分配和退出等信息数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7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主动公开食品安全标准，食品生产经营许可、专项检查整治等信息数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8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主动公开环境核查审批、环境状况公报和重特大突发环境事件等信息数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78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主动公开招投标违法违规行为及处理情况、国有资金占控股或者主导地位依法应当招标的项目等信息数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5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主动公开生产安全事故的政府举措、处置进展、风险预警、防范措施等信息数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69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主动公开农用地转为建设用地批准、征收集体土地批准、征地公告、征地补偿安置公示、集体土地征收结案等信息数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72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主动公开政府指导价、政府定价和收费标准调整的项目、价格、依据、执行时间和范围等信息数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2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主动公开本市企业信用信息系统中的警示信息和良好信息等信息数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58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主动公开政府部门预算执行审计结果等信息数</w:t>
            </w:r>
          </w:p>
        </w:tc>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67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主动公开行政机关对与人民群众利益密切相关的公共企事业单位进行监督管理的信息数</w:t>
            </w:r>
          </w:p>
        </w:tc>
        <w:tc>
          <w:tcPr>
            <w:tcW w:w="720" w:type="dxa"/>
            <w:tcBorders>
              <w:top w:val="nil"/>
              <w:left w:val="single" w:color="auto" w:sz="4" w:space="0"/>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5"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主动公开市人民政府决定主动公开的其他信息数</w:t>
            </w:r>
          </w:p>
        </w:tc>
        <w:tc>
          <w:tcPr>
            <w:tcW w:w="720" w:type="dxa"/>
            <w:tcBorders>
              <w:top w:val="single" w:color="auto" w:sz="8" w:space="0"/>
              <w:left w:val="single" w:color="auto" w:sz="4"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（三）通过不同渠道和方式公开政府信息的情况</w:t>
            </w:r>
          </w:p>
        </w:tc>
        <w:tc>
          <w:tcPr>
            <w:tcW w:w="720" w:type="dxa"/>
            <w:tcBorders>
              <w:top w:val="single" w:color="auto" w:sz="8" w:space="0"/>
              <w:left w:val="nil"/>
              <w:bottom w:val="single" w:color="auto" w:sz="4" w:space="0"/>
              <w:right w:val="single" w:color="auto" w:sz="4" w:space="0"/>
              <w:tr2bl w:val="single" w:color="auto" w:sz="4" w:space="0"/>
            </w:tcBorders>
            <w:shd w:val="clear" w:color="auto" w:fill="auto"/>
            <w:vAlign w:val="center"/>
          </w:tcPr>
          <w:p>
            <w:pPr>
              <w:widowControl/>
              <w:jc w:val="center"/>
              <w:rPr>
                <w:rFonts w:ascii="仿宋_GB2312" w:hAnsi="宋体" w:eastAsia="仿宋_GB2312" w:cs="宋体"/>
                <w:kern w:val="0"/>
                <w:sz w:val="24"/>
              </w:rPr>
            </w:pPr>
          </w:p>
        </w:tc>
        <w:tc>
          <w:tcPr>
            <w:tcW w:w="1080" w:type="dxa"/>
            <w:tcBorders>
              <w:top w:val="single" w:color="auto" w:sz="8" w:space="0"/>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1.政府公报公开政府信息数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3.政务微博公开政府信息数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4.政务微信公开政府信息数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5.其他方式公开政府信息数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二、回应解读情况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660"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（一）回应公众关注热点或重大舆情数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（不同方式回应同一热点或舆情计1次）</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（二）通过不同渠道和方式回应解读的情况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1.参加或举办新闻发布会总次数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其中：主要负责同志参加新闻发布会次数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2.政府网站在线访谈次数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其中：主要负责同志参加政府网站在线访谈次数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3.政策解读稿件发布数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篇</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4.微博微信回应事件数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5.其他方式回应事件数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三、依申请公开情况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（一）收到申请数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1.当面申请数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2.传真申请数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3.网络申请数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4.信函申请数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（二）申请办结数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1.按时办结数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2.延期办结数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（三）申请答复数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1.属于已主动公开范围数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2.同意公开答复数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3.同意部分公开答复数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4.不同意公开答复数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其中：涉及国家秘密</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涉及商业秘密</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涉及个人隐私</w:t>
            </w:r>
          </w:p>
        </w:tc>
        <w:tc>
          <w:tcPr>
            <w:tcW w:w="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ind w:left="2400" w:hanging="2400" w:hangingChars="1000"/>
              <w:jc w:val="left"/>
              <w:rPr>
                <w:rFonts w:ascii="仿宋_GB2312" w:hAnsi="宋体" w:eastAsia="仿宋_GB2312" w:cs="宋体"/>
                <w:kern w:val="0"/>
                <w:sz w:val="24"/>
              </w:rPr>
            </w:pPr>
            <w:r>
              <w:rPr>
                <w:rFonts w:hint="eastAsia" w:ascii="仿宋_GB2312" w:hAnsi="宋体" w:eastAsia="仿宋_GB2312" w:cs="宋体"/>
                <w:kern w:val="0"/>
                <w:sz w:val="24"/>
              </w:rPr>
              <w:t>　　　　　　　　　　危及国家安全、公共安全、经济安全和社会稳定</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不是《条例》所指政府信息</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法律法规规定的其他情形</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5.不属于本行政机关公开数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6.申请信息不存在数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7.告知作出更改补充数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8.告知通过其他途径办理数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四、行政复议数量</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五、行政诉讼数量</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（一）维持具体行政行为或者驳回原告诉讼请求数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六、举报投诉数量</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七、依申请公开信息收取的费用</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八、机构建设和保障经费情况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（一）政府信息公开工作专门机构数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（二）设置政府信息公开查阅点数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个</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（三）从事政府信息公开工作人员数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1.专职人员数（不包括政府公报及政府网站工作人员数）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2.兼职人员数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660"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ind w:left="960" w:hanging="960" w:hangingChars="400"/>
              <w:jc w:val="left"/>
              <w:rPr>
                <w:rFonts w:ascii="仿宋_GB2312" w:hAnsi="宋体" w:eastAsia="仿宋_GB2312" w:cs="宋体"/>
                <w:kern w:val="0"/>
                <w:sz w:val="24"/>
              </w:rPr>
            </w:pPr>
            <w:r>
              <w:rPr>
                <w:rFonts w:hint="eastAsia" w:ascii="仿宋_GB2312" w:hAnsi="宋体" w:eastAsia="仿宋_GB2312" w:cs="宋体"/>
                <w:kern w:val="0"/>
                <w:sz w:val="24"/>
              </w:rPr>
              <w:t xml:space="preserve">  （四）政府信息公开专项经费（不包括用于政府公报编辑管理及政府网站建设维护等方面的经费）</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万元</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九、政府信息公开会议和培训情况</w:t>
            </w:r>
          </w:p>
        </w:tc>
        <w:tc>
          <w:tcPr>
            <w:tcW w:w="720" w:type="dxa"/>
            <w:tcBorders>
              <w:top w:val="nil"/>
              <w:left w:val="nil"/>
              <w:bottom w:val="single" w:color="auto" w:sz="4" w:space="0"/>
              <w:right w:val="single" w:color="auto" w:sz="4" w:space="0"/>
              <w:tr2bl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（一）召开政府信息公开工作会议或专题会议数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（二）举办各类培训班数</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Layout w:type="fixed"/>
          <w:tblCellMar>
            <w:top w:w="0" w:type="dxa"/>
            <w:left w:w="108" w:type="dxa"/>
            <w:bottom w:w="0" w:type="dxa"/>
            <w:right w:w="108" w:type="dxa"/>
          </w:tblCellMar>
        </w:tblPrEx>
        <w:trPr>
          <w:trHeight w:val="402" w:hRule="atLeast"/>
          <w:jc w:val="center"/>
        </w:trPr>
        <w:tc>
          <w:tcPr>
            <w:tcW w:w="7755"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（三）接受培训人员数</w:t>
            </w:r>
          </w:p>
        </w:tc>
        <w:tc>
          <w:tcPr>
            <w:tcW w:w="720" w:type="dxa"/>
            <w:tcBorders>
              <w:top w:val="nil"/>
              <w:left w:val="nil"/>
              <w:bottom w:val="single" w:color="auto" w:sz="8"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人次</w:t>
            </w:r>
          </w:p>
        </w:tc>
        <w:tc>
          <w:tcPr>
            <w:tcW w:w="1080"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3</w:t>
            </w:r>
          </w:p>
        </w:tc>
      </w:tr>
    </w:tbl>
    <w:p>
      <w:pPr>
        <w:keepNext w:val="0"/>
        <w:keepLines w:val="0"/>
        <w:widowControl w:val="0"/>
        <w:suppressLineNumbers w:val="0"/>
        <w:spacing w:before="0" w:beforeAutospacing="0" w:after="0" w:afterAutospacing="0" w:line="620" w:lineRule="exact"/>
        <w:ind w:right="0" w:rightChars="0"/>
        <w:jc w:val="both"/>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02BA9"/>
    <w:rsid w:val="0097136E"/>
    <w:rsid w:val="06D474D6"/>
    <w:rsid w:val="09DC2BC2"/>
    <w:rsid w:val="0C2200D5"/>
    <w:rsid w:val="157F1EC1"/>
    <w:rsid w:val="17E40D99"/>
    <w:rsid w:val="1CE63019"/>
    <w:rsid w:val="21146468"/>
    <w:rsid w:val="29610619"/>
    <w:rsid w:val="420306EE"/>
    <w:rsid w:val="4425685F"/>
    <w:rsid w:val="45510A93"/>
    <w:rsid w:val="455A29C7"/>
    <w:rsid w:val="47602EFF"/>
    <w:rsid w:val="48075E97"/>
    <w:rsid w:val="49AA5F50"/>
    <w:rsid w:val="4B3E51E5"/>
    <w:rsid w:val="53CF0C22"/>
    <w:rsid w:val="56394ADF"/>
    <w:rsid w:val="5CA34DB1"/>
    <w:rsid w:val="5F397BCA"/>
    <w:rsid w:val="61947B67"/>
    <w:rsid w:val="67967DC9"/>
    <w:rsid w:val="690D2225"/>
    <w:rsid w:val="6B437D67"/>
    <w:rsid w:val="6BDC79D8"/>
    <w:rsid w:val="6C7E5757"/>
    <w:rsid w:val="6C9F26B4"/>
    <w:rsid w:val="6DF91862"/>
    <w:rsid w:val="6F1240B0"/>
    <w:rsid w:val="73C83038"/>
    <w:rsid w:val="746A4E51"/>
    <w:rsid w:val="75FA2321"/>
    <w:rsid w:val="777448CC"/>
    <w:rsid w:val="79502BA9"/>
    <w:rsid w:val="7DBB557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qFormat/>
    <w:uiPriority w:val="0"/>
    <w:rPr>
      <w:color w:val="000000"/>
      <w:u w:val="none"/>
    </w:rPr>
  </w:style>
  <w:style w:type="character" w:styleId="5">
    <w:name w:val="Emphasis"/>
    <w:basedOn w:val="3"/>
    <w:qFormat/>
    <w:uiPriority w:val="0"/>
  </w:style>
  <w:style w:type="character" w:styleId="6">
    <w:name w:val="Hyperlink"/>
    <w:basedOn w:val="3"/>
    <w:qFormat/>
    <w:uiPriority w:val="0"/>
    <w:rPr>
      <w:color w:val="000000"/>
      <w:u w:val="none"/>
    </w:rPr>
  </w:style>
  <w:style w:type="character" w:customStyle="1" w:styleId="8">
    <w:name w:val="jiuc"/>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2018-02-01T01:59:00Z</dcterms:created>
  <dc:creator>a</dc:creator>
  <cp:lastModifiedBy>bgs</cp:lastModifiedBy>
  <dcterms:modified xsi:type="dcterms:W3CDTF">2019-03-19T08:03:57Z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