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方正小标宋_GBK" w:hAnsi="Calibri" w:eastAsia="方正小标宋_GBK" w:cs="Times New Roman"/>
          <w:color w:val="FF0000"/>
          <w:w w:val="75"/>
          <w:sz w:val="96"/>
          <w:szCs w:val="96"/>
        </w:rPr>
      </w:pPr>
      <w:r>
        <w:rPr>
          <w:rFonts w:hint="eastAsia" w:ascii="方正小标宋_GBK" w:hAnsi="Calibri" w:eastAsia="方正小标宋_GBK" w:cs="Times New Roman"/>
          <w:color w:val="FF0000"/>
          <w:w w:val="75"/>
          <w:sz w:val="96"/>
          <w:szCs w:val="96"/>
        </w:rPr>
        <w:t>北京市通州区统计局文件</w:t>
      </w:r>
    </w:p>
    <w:p>
      <w:pPr>
        <w:spacing w:line="580" w:lineRule="exact"/>
        <w:jc w:val="center"/>
        <w:rPr>
          <w:rFonts w:ascii="仿宋_GB2312" w:hAnsi="Calibri" w:eastAsia="仿宋_GB2312" w:cs="Times New Roman"/>
          <w:sz w:val="32"/>
          <w:szCs w:val="32"/>
        </w:rPr>
      </w:pPr>
    </w:p>
    <w:p>
      <w:pPr>
        <w:spacing w:line="200" w:lineRule="exact"/>
        <w:jc w:val="center"/>
        <w:rPr>
          <w:rFonts w:ascii="Calibri" w:hAnsi="Calibri" w:eastAsia="宋体" w:cs="Times New Roman"/>
          <w:b/>
          <w:color w:val="FF0000"/>
          <w:sz w:val="32"/>
          <w:szCs w:val="32"/>
        </w:rPr>
      </w:pPr>
      <w:r>
        <w:rPr>
          <w:rFonts w:hint="eastAsia" w:ascii="Calibri" w:hAnsi="Calibri" w:eastAsia="宋体" w:cs="Times New Roman"/>
          <w:b/>
          <w:color w:val="FF0000"/>
          <w:sz w:val="32"/>
          <w:szCs w:val="32"/>
        </w:rPr>
        <w:t>━━━━━━━━━━━━━━━━━━━━━━━━━</w:t>
      </w:r>
    </w:p>
    <w:p>
      <w:pPr>
        <w:spacing w:line="540" w:lineRule="exact"/>
        <w:jc w:val="center"/>
        <w:rPr>
          <w:rFonts w:ascii="方正小标宋简体" w:eastAsia="方正小标宋简体"/>
          <w:sz w:val="40"/>
          <w:szCs w:val="32"/>
        </w:rPr>
      </w:pPr>
      <w:r>
        <w:rPr>
          <w:rFonts w:hint="eastAsia" w:ascii="方正小标宋简体" w:eastAsia="方正小标宋简体"/>
          <w:sz w:val="40"/>
          <w:szCs w:val="32"/>
        </w:rPr>
        <w:t>北京市通州区统计局</w:t>
      </w:r>
    </w:p>
    <w:p>
      <w:pPr>
        <w:spacing w:line="540" w:lineRule="exact"/>
        <w:jc w:val="center"/>
        <w:rPr>
          <w:rFonts w:ascii="方正小标宋简体" w:eastAsia="方正小标宋简体"/>
          <w:sz w:val="40"/>
          <w:szCs w:val="32"/>
        </w:rPr>
      </w:pPr>
      <w:r>
        <w:rPr>
          <w:rFonts w:ascii="方正小标宋简体" w:eastAsia="方正小标宋简体"/>
          <w:sz w:val="40"/>
          <w:szCs w:val="32"/>
        </w:rPr>
        <w:t>201</w:t>
      </w:r>
      <w:r>
        <w:rPr>
          <w:rFonts w:hint="eastAsia" w:ascii="方正小标宋简体" w:eastAsia="方正小标宋简体"/>
          <w:sz w:val="40"/>
          <w:szCs w:val="32"/>
        </w:rPr>
        <w:t>8年政府信息公开工作年度报告</w:t>
      </w:r>
    </w:p>
    <w:p>
      <w:pPr>
        <w:spacing w:line="540" w:lineRule="exact"/>
        <w:ind w:firstLine="640" w:firstLineChars="200"/>
        <w:rPr>
          <w:rFonts w:ascii="仿宋_GB2312" w:eastAsia="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本报告是根据《中华人民共和国政府信息公开条例》（以下简称《条例》）要求，由北京市通州区统计局编制。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文包括概述、行政机关主动公开政府信息的情况、行政机关依申请公开政府信息和不予公开政府信息的情况、因政府信息公开申请行政复议，提起行政诉讼的情况、政府信息公开工作存在的不足以及改进措施、附表《通州区统计局政府信息公开情况统计表（2018年度）》。</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本报告中所列数据的统计期限自2018年1月1日起，至2018年12月31日止。本报告的电子版可在通州区政府信息公开专栏</w:t>
      </w:r>
      <w:r>
        <w:rPr>
          <w:rFonts w:hint="eastAsia" w:ascii="仿宋_GB2312" w:hAnsi="仿宋" w:eastAsia="仿宋_GB2312"/>
          <w:sz w:val="32"/>
          <w:szCs w:val="32"/>
        </w:rPr>
        <w:t>http://www.beijing.gov.cn/zfxxgk/tzq11L024/zfxxgknb/tz_yjlist.shtml</w:t>
      </w:r>
      <w:r>
        <w:rPr>
          <w:rFonts w:hint="eastAsia" w:ascii="仿宋_GB2312" w:hAnsi="仿宋_GB2312" w:eastAsia="仿宋_GB2312" w:cs="仿宋_GB2312"/>
          <w:sz w:val="32"/>
          <w:szCs w:val="32"/>
        </w:rPr>
        <w:t>上下载。如对本报告有任何疑问，请联系区统计局局办公室（地址:北京市通州区新华西街1号；邮编：101149；联系电话：010-69546121；电子邮箱：yangfan@bjtzh.gov.cn）。</w:t>
      </w:r>
    </w:p>
    <w:p>
      <w:pPr>
        <w:pStyle w:val="4"/>
        <w:shd w:val="clear" w:color="auto" w:fill="FFFFFF"/>
        <w:spacing w:before="0" w:beforeAutospacing="0" w:after="0" w:afterAutospacing="0" w:line="315" w:lineRule="atLeast"/>
        <w:ind w:firstLine="630" w:firstLineChars="196"/>
        <w:textAlignment w:val="baseline"/>
        <w:rPr>
          <w:rFonts w:ascii="Calibri" w:hAnsi="Calibri"/>
          <w:color w:val="505050"/>
          <w:sz w:val="21"/>
          <w:szCs w:val="21"/>
        </w:rPr>
      </w:pPr>
      <w:r>
        <w:rPr>
          <w:rFonts w:hint="eastAsia" w:ascii="仿宋_GB2312" w:hAnsi="仿宋" w:eastAsia="仿宋_GB2312"/>
          <w:b/>
          <w:bCs/>
          <w:color w:val="505050"/>
          <w:sz w:val="32"/>
          <w:szCs w:val="32"/>
        </w:rPr>
        <w:t>一、概述</w:t>
      </w:r>
    </w:p>
    <w:p>
      <w:pPr>
        <w:spacing w:line="600" w:lineRule="exact"/>
        <w:ind w:firstLine="640" w:firstLineChars="200"/>
        <w:rPr>
          <w:rFonts w:ascii="Times New Roman" w:hAnsi="Times New Roman" w:eastAsia="黑体"/>
          <w:sz w:val="32"/>
          <w:szCs w:val="32"/>
        </w:rPr>
      </w:pPr>
      <w:r>
        <w:rPr>
          <w:rFonts w:hint="eastAsia" w:ascii="仿宋_GB2312" w:hAnsi="仿宋_GB2312" w:eastAsia="仿宋_GB2312" w:cs="仿宋_GB2312"/>
          <w:sz w:val="32"/>
          <w:szCs w:val="32"/>
        </w:rPr>
        <w:t>根据《条例》要求，区统计局办公室作为全局政府信息公开工作主管部门，负责推进、指导、协调、监督全局政府信息公开工作，设立了1个专门的信息申请受理点。2018年以来，我局对政府信息公开工作高度重视，认真组织，精心准备公开内容，创新公开形式，完善公开制度，强化公开监督。截至2018年底，政府信息公开工作运行正常，各项工作均得到了顺利开展。</w:t>
      </w:r>
    </w:p>
    <w:p>
      <w:pPr>
        <w:spacing w:line="60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rPr>
        <w:t>（一）强化组织领导，积极开展各项工作</w:t>
      </w:r>
    </w:p>
    <w:p>
      <w:pPr>
        <w:spacing w:line="600" w:lineRule="exact"/>
        <w:ind w:firstLine="643" w:firstLineChars="200"/>
        <w:rPr>
          <w:rFonts w:ascii="仿宋_GB2312" w:hAnsi="仿宋_GB2312" w:eastAsia="仿宋_GB2312" w:cs="仿宋_GB2312"/>
          <w:sz w:val="32"/>
          <w:szCs w:val="32"/>
        </w:rPr>
      </w:pPr>
      <w:r>
        <w:rPr>
          <w:rFonts w:hint="eastAsia" w:ascii="Times New Roman" w:hAnsi="Times New Roman" w:eastAsia="仿宋_GB2312"/>
          <w:b/>
          <w:sz w:val="32"/>
          <w:szCs w:val="32"/>
        </w:rPr>
        <w:t>一是</w:t>
      </w:r>
      <w:r>
        <w:rPr>
          <w:rFonts w:hint="eastAsia" w:ascii="仿宋_GB2312" w:hAnsi="仿宋_GB2312" w:eastAsia="仿宋_GB2312" w:cs="仿宋_GB2312"/>
          <w:sz w:val="32"/>
          <w:szCs w:val="32"/>
        </w:rPr>
        <w:t>强化组织领导。2018年以来，我局严格执行《通州区统计局政府信息公开工作方案》及《通州区统计局政务公开工作管理办法》等制度文件要求，坚持“主要领导亲自抓，分管领导具体抓，责任部门抓落实”的工作机制，由局办公室负责牵头，各科室积极配合，不断规范信息公开相关工作的受理程序、处理流程、信息保密审查等环节。</w:t>
      </w:r>
    </w:p>
    <w:p>
      <w:pPr>
        <w:spacing w:line="600" w:lineRule="exact"/>
        <w:ind w:firstLine="643" w:firstLineChars="200"/>
        <w:rPr>
          <w:rFonts w:ascii="仿宋_GB2312" w:hAnsi="仿宋_GB2312" w:eastAsia="仿宋_GB2312" w:cs="仿宋_GB2312"/>
          <w:sz w:val="32"/>
          <w:szCs w:val="32"/>
        </w:rPr>
      </w:pPr>
      <w:r>
        <w:rPr>
          <w:rFonts w:hint="eastAsia" w:ascii="Times New Roman" w:hAnsi="Times New Roman" w:eastAsia="仿宋_GB2312"/>
          <w:b/>
          <w:sz w:val="32"/>
          <w:szCs w:val="32"/>
        </w:rPr>
        <w:t>二是</w:t>
      </w:r>
      <w:r>
        <w:rPr>
          <w:rFonts w:hint="eastAsia" w:ascii="仿宋_GB2312" w:hAnsi="仿宋_GB2312" w:eastAsia="仿宋_GB2312" w:cs="仿宋_GB2312"/>
          <w:sz w:val="32"/>
          <w:szCs w:val="32"/>
        </w:rPr>
        <w:t>明确职责分工，确保信息公开及时准确。为确保政务信息发布及时准确，我局指定局办公室2名人员作为信息公开专职人员，专职负责政府信息公开日常更新、维护、监督审核等工作，局内各科室确定一名信息公开工作人员按照职责分工和权限，负责涉及本科室工作范围内政务信息的采集、编辑和上报工作。</w:t>
      </w:r>
    </w:p>
    <w:p>
      <w:pPr>
        <w:widowControl/>
        <w:spacing w:line="60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三是</w:t>
      </w:r>
      <w:r>
        <w:rPr>
          <w:rFonts w:hint="eastAsia" w:ascii="仿宋_GB2312" w:hAnsi="仿宋_GB2312" w:eastAsia="仿宋_GB2312" w:cs="仿宋_GB2312"/>
          <w:kern w:val="0"/>
          <w:sz w:val="32"/>
          <w:szCs w:val="32"/>
        </w:rPr>
        <w:t>积极配合完成“一区一网”建设改版工作。2018年，我局积极配合区政府办、区经信委开展“北京·通州”政务网站集约化平台建设改版工作，按照《通州区政务网站集约化建设方案》要求关闭原有局门户网站，将原网站数据迁移至区政府网站栏目中。在改版期间，我局指定专人负责做好沟通协调工作，及时更新发布相关信息，确保数据迁移准确完整，信息公开及时准确。</w:t>
      </w:r>
    </w:p>
    <w:p>
      <w:pPr>
        <w:spacing w:line="60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rPr>
        <w:t>（二）拓宽公开渠道，创新公开形式</w:t>
      </w:r>
    </w:p>
    <w:p>
      <w:pPr>
        <w:widowControl/>
        <w:adjustRightInd w:val="0"/>
        <w:spacing w:line="600"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仿宋_GB2312"/>
          <w:b/>
          <w:color w:val="000000"/>
          <w:kern w:val="0"/>
          <w:sz w:val="32"/>
          <w:szCs w:val="32"/>
        </w:rPr>
        <w:t>一是</w:t>
      </w:r>
      <w:r>
        <w:rPr>
          <w:rFonts w:hint="eastAsia" w:ascii="Times New Roman" w:hAnsi="Times New Roman" w:eastAsia="仿宋_GB2312"/>
          <w:color w:val="000000"/>
          <w:kern w:val="0"/>
          <w:sz w:val="32"/>
          <w:szCs w:val="32"/>
        </w:rPr>
        <w:t>以宣教活动促进信息公开。以</w:t>
      </w:r>
      <w:r>
        <w:rPr>
          <w:rFonts w:ascii="Times New Roman" w:hAnsi="Times New Roman" w:eastAsia="仿宋_GB2312"/>
          <w:color w:val="000000"/>
          <w:kern w:val="0"/>
          <w:sz w:val="32"/>
          <w:szCs w:val="32"/>
        </w:rPr>
        <w:t>“</w:t>
      </w:r>
      <w:r>
        <w:rPr>
          <w:rFonts w:hint="eastAsia" w:ascii="仿宋_GB2312" w:eastAsia="仿宋_GB2312"/>
          <w:color w:val="000000"/>
          <w:sz w:val="32"/>
          <w:szCs w:val="32"/>
        </w:rPr>
        <w:t>统计法治宣传月</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w:t>
      </w:r>
      <w:r>
        <w:rPr>
          <w:rFonts w:hint="eastAsia" w:ascii="仿宋_GB2312" w:eastAsia="仿宋_GB2312"/>
          <w:sz w:val="32"/>
          <w:szCs w:val="32"/>
        </w:rPr>
        <w:t xml:space="preserve"> ‘12.4’国家宪法日宣传活动</w:t>
      </w:r>
      <w:r>
        <w:rPr>
          <w:rFonts w:hint="eastAsia" w:ascii="Times New Roman" w:hAnsi="Times New Roman" w:eastAsia="仿宋_GB2312"/>
          <w:color w:val="000000"/>
          <w:kern w:val="0"/>
          <w:sz w:val="32"/>
          <w:szCs w:val="32"/>
        </w:rPr>
        <w:t>等活动为契机，</w:t>
      </w:r>
      <w:r>
        <w:rPr>
          <w:rFonts w:hint="eastAsia" w:ascii="仿宋_GB2312" w:hAnsi="仿宋" w:eastAsia="仿宋_GB2312"/>
          <w:sz w:val="32"/>
          <w:szCs w:val="32"/>
        </w:rPr>
        <w:t>创新公开内容和形式，通过</w:t>
      </w:r>
      <w:r>
        <w:rPr>
          <w:rFonts w:hint="eastAsia" w:ascii="仿宋_GB2312" w:eastAsia="仿宋_GB2312"/>
          <w:sz w:val="32"/>
          <w:szCs w:val="32"/>
        </w:rPr>
        <w:t>普法宣传活动，掀起了普法宣传的高潮。</w:t>
      </w:r>
      <w:r>
        <w:rPr>
          <w:rFonts w:hint="eastAsia" w:ascii="Times New Roman" w:hAnsi="Times New Roman" w:eastAsia="仿宋_GB2312"/>
          <w:color w:val="000000"/>
          <w:kern w:val="0"/>
          <w:sz w:val="32"/>
          <w:szCs w:val="32"/>
        </w:rPr>
        <w:t>让广大职工、群众积极参与到安政策、法律法规和文化知识的互动学习中，潜移默化的提升全民文化水平。</w:t>
      </w:r>
    </w:p>
    <w:p>
      <w:pPr>
        <w:topLinePunct/>
        <w:spacing w:line="600" w:lineRule="exact"/>
        <w:ind w:firstLine="643" w:firstLineChars="200"/>
        <w:rPr>
          <w:kern w:val="0"/>
        </w:rPr>
      </w:pPr>
      <w:r>
        <w:rPr>
          <w:rFonts w:hint="eastAsia" w:ascii="Times New Roman" w:hAnsi="Times New Roman" w:eastAsia="仿宋_GB2312"/>
          <w:b/>
          <w:color w:val="000000"/>
          <w:kern w:val="0"/>
          <w:sz w:val="32"/>
          <w:szCs w:val="32"/>
        </w:rPr>
        <w:t>二是</w:t>
      </w:r>
      <w:r>
        <w:rPr>
          <w:rFonts w:hint="eastAsia" w:ascii="Times New Roman" w:hAnsi="Times New Roman" w:eastAsia="仿宋_GB2312"/>
          <w:bCs/>
          <w:color w:val="000000"/>
          <w:kern w:val="0"/>
          <w:sz w:val="32"/>
          <w:szCs w:val="32"/>
        </w:rPr>
        <w:t>积极</w:t>
      </w:r>
      <w:r>
        <w:rPr>
          <w:rFonts w:hint="eastAsia" w:ascii="Times New Roman" w:hAnsi="Times New Roman" w:eastAsia="仿宋_GB2312"/>
          <w:color w:val="000000"/>
          <w:kern w:val="0"/>
          <w:sz w:val="32"/>
          <w:szCs w:val="32"/>
        </w:rPr>
        <w:t>利用媒体途径公开政务信息。</w:t>
      </w:r>
      <w:r>
        <w:rPr>
          <w:rFonts w:hint="eastAsia" w:ascii="Times New Roman" w:hAnsi="Times New Roman" w:eastAsia="仿宋_GB2312"/>
          <w:sz w:val="32"/>
          <w:szCs w:val="32"/>
        </w:rPr>
        <w:t>积极向区委、区政府、市局内网、报刊杂志等媒体，广泛</w:t>
      </w:r>
      <w:r>
        <w:rPr>
          <w:rFonts w:hint="eastAsia" w:ascii="Times New Roman" w:hAnsi="Times New Roman" w:eastAsia="仿宋_GB2312"/>
          <w:color w:val="000000"/>
          <w:kern w:val="0"/>
          <w:sz w:val="32"/>
          <w:szCs w:val="32"/>
        </w:rPr>
        <w:t>宣传统计工作的相关数据、方针政策和法律法规。</w:t>
      </w:r>
      <w:r>
        <w:rPr>
          <w:rFonts w:hint="eastAsia" w:ascii="仿宋_GB2312" w:hAnsi="仿宋" w:eastAsia="仿宋_GB2312"/>
          <w:sz w:val="32"/>
          <w:szCs w:val="32"/>
        </w:rPr>
        <w:t>截</w:t>
      </w:r>
      <w:r>
        <w:rPr>
          <w:rFonts w:hint="eastAsia" w:ascii="仿宋_GB2312" w:hAnsi="仿宋" w:eastAsia="仿宋_GB2312"/>
          <w:sz w:val="32"/>
          <w:szCs w:val="32"/>
          <w:lang w:eastAsia="zh-CN"/>
        </w:rPr>
        <w:t>至</w:t>
      </w:r>
      <w:bookmarkStart w:id="0" w:name="_GoBack"/>
      <w:bookmarkEnd w:id="0"/>
      <w:r>
        <w:rPr>
          <w:rFonts w:hint="eastAsia" w:ascii="仿宋_GB2312" w:hAnsi="仿宋" w:eastAsia="仿宋_GB2312"/>
          <w:sz w:val="32"/>
          <w:szCs w:val="32"/>
        </w:rPr>
        <w:t>目前，</w:t>
      </w:r>
      <w:r>
        <w:rPr>
          <w:rFonts w:hint="eastAsia" w:ascii="仿宋_GB2312" w:eastAsia="仿宋_GB2312"/>
          <w:kern w:val="0"/>
          <w:sz w:val="32"/>
          <w:szCs w:val="32"/>
        </w:rPr>
        <w:t>2018年，共向区委《通州信息》、区政府《昨日区情》等党政信息部门及《中国信息报》、国家统计局内网、市统计局内网及通州区政府网、《通州时讯》、“通州组工”微信公众号等新闻媒体报送信息1056篇，被采用信息505篇。其中，区两办采用144篇，市局内网采用267篇，国家局内网采用9篇，中国信息报采用16篇。信息采用量、综合得分1-12月在区委系统107家委办局中排名第7；1-11月在政府系统59个委办局单位中排名第11（1-12月暂未公布）。</w:t>
      </w:r>
    </w:p>
    <w:p>
      <w:pPr>
        <w:topLinePunct/>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二、政府信息主动公开情况</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按照《条例》第9至12条规定的主动公开政府信息范围，统计局对政府信息进行及时清理和目录编制工作，并按照《条例》第15条规定，通过通州区政务门户网站主动公开。</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自《条例》实施之日起，通州区政务门户网站“通州统计信息网”增设了统计局政府信息公开专栏。专栏下设政府信息公开指南、政府信息公开目录、政府信息公开年报、依申请公开、监督投诉等栏目，方便公众查阅全局主动公开的政府信息。</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截至2018年12月31日，通过政府信息公开专栏主动公开政府信息2210条，其中2018年新增164条（通过政府网站公开）。</w:t>
      </w:r>
    </w:p>
    <w:p>
      <w:pPr>
        <w:pStyle w:val="4"/>
        <w:shd w:val="clear" w:color="auto" w:fill="FFFFFF"/>
        <w:spacing w:before="0" w:beforeAutospacing="0" w:after="0" w:afterAutospacing="0" w:line="315" w:lineRule="atLeast"/>
        <w:ind w:firstLine="640" w:firstLineChars="200"/>
        <w:textAlignment w:val="baseline"/>
        <w:rPr>
          <w:rFonts w:ascii="黑体" w:hAnsi="Calibri" w:eastAsia="黑体"/>
          <w:color w:val="505050"/>
          <w:sz w:val="21"/>
          <w:szCs w:val="21"/>
        </w:rPr>
      </w:pPr>
      <w:r>
        <w:rPr>
          <w:rFonts w:hint="eastAsia" w:ascii="黑体" w:hAnsi="仿宋" w:eastAsia="黑体"/>
          <w:bCs/>
          <w:color w:val="505050"/>
          <w:sz w:val="32"/>
          <w:szCs w:val="32"/>
        </w:rPr>
        <w:t>三、依申请公开情况</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按照《条例》第13条规定，统计局自《条例》实施之日起正式受理公民、法人或者其他组织根据自身生产、生活、科研等特殊需要提出的政府信息公开申请。为落实《条例》确定的政府信息依申请公开制度，统计局指定了政府信息公开申请受理场所，并公布了政府信息公开受理机构的联系方式。</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000000"/>
          <w:sz w:val="32"/>
          <w:szCs w:val="32"/>
        </w:rPr>
        <w:t>截至2018年12月31日，全局共收到依申请公开申请3件;全年接受公民、法人及其他组织政府信息公开方面的咨询396人次，提供统计数据92479笔。</w:t>
      </w:r>
    </w:p>
    <w:p>
      <w:pPr>
        <w:pStyle w:val="4"/>
        <w:shd w:val="clear" w:color="auto" w:fill="FFFFFF"/>
        <w:spacing w:before="0" w:beforeAutospacing="0" w:after="0" w:afterAutospacing="0" w:line="315" w:lineRule="atLeast"/>
        <w:ind w:firstLine="640" w:firstLineChars="200"/>
        <w:textAlignment w:val="baseline"/>
        <w:rPr>
          <w:rFonts w:ascii="黑体" w:hAnsi="Calibri" w:eastAsia="黑体"/>
          <w:color w:val="505050"/>
          <w:sz w:val="21"/>
          <w:szCs w:val="21"/>
        </w:rPr>
      </w:pPr>
      <w:r>
        <w:rPr>
          <w:rFonts w:hint="eastAsia" w:ascii="黑体" w:hAnsi="仿宋" w:eastAsia="黑体"/>
          <w:bCs/>
          <w:color w:val="505050"/>
          <w:sz w:val="32"/>
          <w:szCs w:val="32"/>
        </w:rPr>
        <w:t>四、复议、诉讼和举报投诉情况</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按照《条例》第33条规定，公民、法人或者其他组织认为行政机关在政府信息公开工作中的具体行政行为侵犯其合法权益的，可以依法申请行政复议或者提起行政诉讼。</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（一）行政复议</w:t>
      </w:r>
    </w:p>
    <w:p>
      <w:pPr>
        <w:pStyle w:val="4"/>
        <w:shd w:val="clear" w:color="auto" w:fill="FFFFFF"/>
        <w:spacing w:before="0" w:beforeAutospacing="0" w:after="0" w:afterAutospacing="0" w:line="315" w:lineRule="atLeast"/>
        <w:ind w:firstLine="48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　2018年全局受理有关政府信息公开行政复议申请0件。</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（二）行政诉讼</w:t>
      </w:r>
    </w:p>
    <w:p>
      <w:pPr>
        <w:pStyle w:val="4"/>
        <w:shd w:val="clear" w:color="auto" w:fill="FFFFFF"/>
        <w:spacing w:before="0" w:beforeAutospacing="0" w:after="0" w:afterAutospacing="0" w:line="315" w:lineRule="atLeast"/>
        <w:ind w:firstLine="64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2018年全局共发生与政府信息公开有关的行政诉讼案件0件。</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（三）举报投诉</w:t>
      </w:r>
    </w:p>
    <w:p>
      <w:pPr>
        <w:pStyle w:val="4"/>
        <w:shd w:val="clear" w:color="auto" w:fill="FFFFFF"/>
        <w:spacing w:before="0" w:beforeAutospacing="0" w:after="0" w:afterAutospacing="0" w:line="315" w:lineRule="atLeast"/>
        <w:ind w:firstLine="640" w:firstLineChars="200"/>
        <w:textAlignment w:val="baseline"/>
        <w:rPr>
          <w:rFonts w:ascii="仿宋_GB2312" w:hAnsi="Calibri" w:eastAsia="仿宋_GB2312"/>
          <w:color w:val="505050"/>
          <w:sz w:val="21"/>
          <w:szCs w:val="21"/>
        </w:rPr>
      </w:pPr>
      <w:r>
        <w:rPr>
          <w:rFonts w:hint="eastAsia" w:ascii="仿宋_GB2312" w:hAnsi="仿宋" w:eastAsia="仿宋_GB2312"/>
          <w:color w:val="505050"/>
          <w:sz w:val="32"/>
          <w:szCs w:val="32"/>
        </w:rPr>
        <w:t>2018年全局共发生与政府信息公开有关的举报投诉0件。</w:t>
      </w:r>
    </w:p>
    <w:p>
      <w:pPr>
        <w:widowControl/>
        <w:spacing w:line="600" w:lineRule="exact"/>
        <w:ind w:firstLine="640" w:firstLineChars="200"/>
        <w:jc w:val="left"/>
        <w:rPr>
          <w:rFonts w:ascii="黑体" w:hAnsi="黑体" w:eastAsia="黑体" w:cs="黑体"/>
          <w:kern w:val="0"/>
          <w:sz w:val="32"/>
          <w:szCs w:val="32"/>
        </w:rPr>
      </w:pPr>
      <w:r>
        <w:rPr>
          <w:rFonts w:hint="eastAsia" w:ascii="仿宋" w:hAnsi="仿宋" w:eastAsia="仿宋"/>
          <w:color w:val="505050"/>
          <w:sz w:val="32"/>
          <w:szCs w:val="32"/>
        </w:rPr>
        <w:t> </w:t>
      </w:r>
      <w:r>
        <w:rPr>
          <w:rFonts w:hint="eastAsia" w:ascii="黑体" w:hAnsi="黑体" w:eastAsia="黑体" w:cs="黑体"/>
          <w:kern w:val="0"/>
          <w:sz w:val="32"/>
          <w:szCs w:val="32"/>
        </w:rPr>
        <w:t>五、存在的不足以及改进措施</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2018年，我局信息公开工作虽然取得了一些成绩，但也存在一些不足：一是对政府信息公开工作认识需要进一步提高；二是信息公开的形式及内容仍需在实践中进一步完善。</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2019年，我局将继续强化组织领导，努力探索政府信息和政务公开的新办法、新举措，提高政府信息和政务公开工作的质量和效益，并着力从以下几个方面进行改进：</w:t>
      </w:r>
    </w:p>
    <w:p>
      <w:pPr>
        <w:spacing w:line="600" w:lineRule="exact"/>
        <w:ind w:firstLine="482" w:firstLineChars="150"/>
        <w:rPr>
          <w:rFonts w:ascii="Times New Roman" w:hAnsi="Times New Roman" w:eastAsia="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完善信息公开机制建设。</w:t>
      </w:r>
      <w:r>
        <w:rPr>
          <w:rFonts w:hint="eastAsia" w:ascii="Times New Roman" w:hAnsi="Times New Roman" w:eastAsia="仿宋_GB2312"/>
          <w:sz w:val="32"/>
          <w:szCs w:val="32"/>
        </w:rPr>
        <w:t>进一步完善政府信息公开各项制度，对政府信息和政务公开的保密机制、协调机制、监督保障机制等方面进行详细规范，使信息和政务公开各个方面、各个环节都有规可依、有章可循，确保政府信息公开工作规范化、制度化。</w:t>
      </w:r>
    </w:p>
    <w:p>
      <w:pPr>
        <w:spacing w:line="60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进一步完善政府信息公开内容。要重点加强对公共服务事项、行政职责、执法依据、办事程序等与人民群众利益密切相关的统计重点工作的公开力度，做到应公开尽公开。</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不断创新政府信息公开新形式。以社会需求为导向，在不断深化政府信息公开内容的同时，努力做到公开方式的灵活多样，积极探索新时代网络发展过程中适合信息公开特点的新途径。 </w:t>
      </w:r>
    </w:p>
    <w:p>
      <w:pPr>
        <w:spacing w:line="600" w:lineRule="exact"/>
        <w:ind w:firstLine="480" w:firstLineChars="150"/>
        <w:rPr>
          <w:rFonts w:ascii="Times New Roman" w:hAnsi="Times New Roman" w:eastAsia="仿宋_GB2312"/>
          <w:sz w:val="32"/>
          <w:szCs w:val="32"/>
        </w:rPr>
      </w:pPr>
    </w:p>
    <w:p>
      <w:pPr>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附件：通州区统计局政府信息公开情况统计表（2018年度）</w:t>
      </w:r>
    </w:p>
    <w:p>
      <w:pPr>
        <w:spacing w:line="600" w:lineRule="exact"/>
        <w:ind w:firstLine="640" w:firstLineChars="200"/>
        <w:rPr>
          <w:rFonts w:ascii="Times New Roman" w:hAnsi="Times New Roman" w:eastAsia="仿宋_GB2312"/>
          <w:sz w:val="32"/>
          <w:szCs w:val="32"/>
        </w:rPr>
      </w:pPr>
    </w:p>
    <w:p>
      <w:pPr>
        <w:spacing w:line="60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北京市通州区统计局</w:t>
      </w:r>
    </w:p>
    <w:p>
      <w:pPr>
        <w:spacing w:line="600" w:lineRule="exact"/>
        <w:ind w:firstLine="4320" w:firstLineChars="1350"/>
        <w:rPr>
          <w:rFonts w:ascii="仿宋_GB2312" w:hAnsi="仿宋_GB2312" w:eastAsia="仿宋_GB2312" w:cs="仿宋_GB2312"/>
          <w:sz w:val="32"/>
          <w:szCs w:val="32"/>
        </w:rPr>
      </w:pPr>
      <w:r>
        <w:rPr>
          <w:rFonts w:hint="eastAsia" w:ascii="仿宋_GB2312" w:hAnsi="仿宋_GB2312" w:eastAsia="仿宋_GB2312" w:cs="仿宋_GB2312"/>
          <w:sz w:val="32"/>
          <w:szCs w:val="32"/>
        </w:rPr>
        <w:t>2019年3月</w:t>
      </w: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p>
      <w:pPr>
        <w:spacing w:line="600" w:lineRule="exact"/>
        <w:ind w:firstLine="4320" w:firstLineChars="1350"/>
        <w:rPr>
          <w:rFonts w:ascii="Times New Roman" w:hAnsi="Times New Roman" w:eastAsia="仿宋_GB2312"/>
          <w:sz w:val="32"/>
          <w:szCs w:val="32"/>
        </w:rPr>
      </w:pPr>
    </w:p>
    <w:tbl>
      <w:tblPr>
        <w:tblStyle w:val="5"/>
        <w:tblW w:w="9555" w:type="dxa"/>
        <w:jc w:val="center"/>
        <w:tblLayout w:type="fixed"/>
        <w:tblCellMar>
          <w:top w:w="0" w:type="dxa"/>
          <w:left w:w="108" w:type="dxa"/>
          <w:bottom w:w="0" w:type="dxa"/>
          <w:right w:w="108" w:type="dxa"/>
        </w:tblCellMar>
      </w:tblPr>
      <w:tblGrid>
        <w:gridCol w:w="7470"/>
        <w:gridCol w:w="285"/>
        <w:gridCol w:w="475"/>
        <w:gridCol w:w="245"/>
        <w:gridCol w:w="1080"/>
      </w:tblGrid>
      <w:tr>
        <w:tblPrEx>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rPr>
            </w:pPr>
            <w:r>
              <w:rPr>
                <w:rFonts w:hint="eastAsia" w:ascii="黑体" w:hAnsi="黑体" w:eastAsia="黑体" w:cs="黑体"/>
                <w:color w:val="000000"/>
                <w:kern w:val="0"/>
                <w:sz w:val="32"/>
                <w:szCs w:val="32"/>
              </w:rPr>
              <w:t>附件：</w:t>
            </w: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tblPrEx>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（2018年度）</w:t>
            </w:r>
          </w:p>
        </w:tc>
      </w:tr>
      <w:tr>
        <w:tblPrEx>
          <w:tblCellMar>
            <w:top w:w="0" w:type="dxa"/>
            <w:left w:w="108" w:type="dxa"/>
            <w:bottom w:w="0" w:type="dxa"/>
            <w:right w:w="108" w:type="dxa"/>
          </w:tblCellMar>
        </w:tblPrEx>
        <w:trPr>
          <w:trHeight w:val="300" w:hRule="atLeast"/>
          <w:jc w:val="center"/>
        </w:trPr>
        <w:tc>
          <w:tcPr>
            <w:tcW w:w="7755" w:type="dxa"/>
            <w:gridSpan w:val="2"/>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填报单位（盖章）：北京市通州区统计局</w:t>
            </w:r>
          </w:p>
        </w:tc>
        <w:tc>
          <w:tcPr>
            <w:tcW w:w="720" w:type="dxa"/>
            <w:gridSpan w:val="2"/>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164</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tblPrEx>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tblPrEx>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　</w:t>
            </w:r>
          </w:p>
        </w:tc>
      </w:tr>
      <w:tr>
        <w:tblPrEx>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164</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r>
      <w:tr>
        <w:tblPrEx>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w:t>
            </w:r>
          </w:p>
        </w:tc>
      </w:tr>
      <w:tr>
        <w:tblPrEx>
          <w:tblCellMar>
            <w:top w:w="0" w:type="dxa"/>
            <w:left w:w="108" w:type="dxa"/>
            <w:bottom w:w="0" w:type="dxa"/>
            <w:right w:w="108" w:type="dxa"/>
          </w:tblCellMar>
        </w:tblPrEx>
        <w:trPr>
          <w:trHeight w:val="402" w:hRule="atLeast"/>
          <w:jc w:val="center"/>
        </w:trPr>
        <w:tc>
          <w:tcPr>
            <w:tcW w:w="9555" w:type="dxa"/>
            <w:gridSpan w:val="5"/>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402" w:hRule="atLeast"/>
          <w:jc w:val="center"/>
        </w:trPr>
        <w:tc>
          <w:tcPr>
            <w:tcW w:w="9555" w:type="dxa"/>
            <w:gridSpan w:val="5"/>
            <w:tcBorders>
              <w:top w:val="nil"/>
              <w:left w:val="nil"/>
              <w:bottom w:val="nil"/>
              <w:right w:val="nil"/>
            </w:tcBorders>
            <w:shd w:val="clear" w:color="auto" w:fill="auto"/>
            <w:vAlign w:val="center"/>
          </w:tcPr>
          <w:p>
            <w:pPr>
              <w:widowControl/>
              <w:jc w:val="left"/>
              <w:rPr>
                <w:rFonts w:ascii="仿宋_GB2312" w:hAnsi="宋体" w:eastAsia="仿宋_GB2312" w:cs="宋体"/>
                <w:kern w:val="0"/>
                <w:sz w:val="24"/>
              </w:rPr>
            </w:pPr>
          </w:p>
        </w:tc>
      </w:tr>
    </w:tbl>
    <w:p>
      <w:pPr>
        <w:spacing w:line="600" w:lineRule="exact"/>
        <w:ind w:firstLine="4320" w:firstLineChars="1350"/>
        <w:jc w:val="left"/>
        <w:rPr>
          <w:rFonts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xMDNkZDJmMmFiYzA4NTg0N2YyMTY0MTcwZTU4OTYifQ=="/>
  </w:docVars>
  <w:rsids>
    <w:rsidRoot w:val="0012785C"/>
    <w:rsid w:val="0012785C"/>
    <w:rsid w:val="0015600F"/>
    <w:rsid w:val="001E30F6"/>
    <w:rsid w:val="0020686D"/>
    <w:rsid w:val="00383DF0"/>
    <w:rsid w:val="004A350B"/>
    <w:rsid w:val="00531ADB"/>
    <w:rsid w:val="00566E92"/>
    <w:rsid w:val="005A0128"/>
    <w:rsid w:val="0066354F"/>
    <w:rsid w:val="00767679"/>
    <w:rsid w:val="00776389"/>
    <w:rsid w:val="007E4BDF"/>
    <w:rsid w:val="00896E1F"/>
    <w:rsid w:val="009970E9"/>
    <w:rsid w:val="009F1B38"/>
    <w:rsid w:val="00A40FED"/>
    <w:rsid w:val="00A44ADB"/>
    <w:rsid w:val="00A90BC3"/>
    <w:rsid w:val="00AD0AD6"/>
    <w:rsid w:val="00AD584B"/>
    <w:rsid w:val="00AF57CA"/>
    <w:rsid w:val="00B76F70"/>
    <w:rsid w:val="00BF0CC8"/>
    <w:rsid w:val="00CB09FE"/>
    <w:rsid w:val="00CD2D10"/>
    <w:rsid w:val="00D6103B"/>
    <w:rsid w:val="00DD5249"/>
    <w:rsid w:val="00E70DD7"/>
    <w:rsid w:val="00EE1CCE"/>
    <w:rsid w:val="00FD4CE1"/>
    <w:rsid w:val="00FF1FA2"/>
    <w:rsid w:val="7DCB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mail_session_title_main"/>
    <w:basedOn w:val="6"/>
    <w:qFormat/>
    <w:uiPriority w:val="0"/>
  </w:style>
  <w:style w:type="character" w:customStyle="1" w:styleId="10">
    <w:name w:val="mail_session_title_tail"/>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774</Words>
  <Characters>4417</Characters>
  <Lines>36</Lines>
  <Paragraphs>10</Paragraphs>
  <TotalTime>69</TotalTime>
  <ScaleCrop>false</ScaleCrop>
  <LinksUpToDate>false</LinksUpToDate>
  <CharactersWithSpaces>5181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2019-01-21T07:29:00Z</dcterms:created>
  <dc:creator>Sky123.Org</dc:creator>
  <cp:lastModifiedBy>张广翅</cp:lastModifiedBy>
  <dcterms:modified xsi:type="dcterms:W3CDTF">2023-09-13T06:23:17Z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F33BDD4E32B74D548FF7E2C39D905C4D_12</vt:lpwstr>
  </property>
</Properties>
</file>