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通州区政务服务管理办公室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2018年政府信息公开工作年度报告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区委、区政府的正确指导下，区政务服务办高度重视政府信息公开工作，认真贯彻落实《中华人民共和国政府信息公开条例》。在加强组织领导、狠抓制度建设、规范工作流程、依法施行公开等方面作了大量的工作，取得了明显成效。根据《通州区2018年政务公开工作要点》要求，政务服务办结合工作实际，认真总结，现将政务服务办2018年政府信息公开工作汇报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0"/>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工作总体情况</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政务公开制度机制履行情况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务服务办高度重视政务公开工作，按照要点部署的各项任务，结合实际，规范细化工作任务。由“主要领导亲自抓、分管领导具体抓”，并安排专人负责信息公开的收集、审核和发布工作，明确责任分工。一是扎实做好新条例贯彻落实，根据《政府信息公开条例》修订出台情况，完善了政务服务办制度修订规范工作。对照新条例的新要求，稳妥做好衔接工作，严格落实新条例各项规定；二是进一步规范政务服务办依申请公开工作，健全工作流程，明确答复标准，加强解释说明，完善申请与咨询等信息处理机制，依法公开政府信息；三是严格履行政府信息公开审查程序，政府信息公开前要依法依归严格审查，特别加强了对内容表述、公开时机、公开方式的分析研判，避免了发生信息发布失信、引发不当炒作，损害政府公信力等问题。</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信息公开情况</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fill="FFFFFF"/>
          <w:lang w:eastAsia="zh-CN"/>
        </w:rPr>
        <w:t>（</w:t>
      </w:r>
      <w:r>
        <w:rPr>
          <w:rFonts w:hint="eastAsia" w:ascii="仿宋_GB2312" w:hAnsi="仿宋_GB2312" w:eastAsia="仿宋_GB2312" w:cs="仿宋_GB2312"/>
          <w:color w:val="auto"/>
          <w:sz w:val="32"/>
          <w:szCs w:val="32"/>
          <w:shd w:val="clear" w:fill="FFFFFF"/>
          <w:lang w:val="en-US" w:eastAsia="zh-CN"/>
        </w:rPr>
        <w:t>1</w:t>
      </w:r>
      <w:r>
        <w:rPr>
          <w:rFonts w:hint="eastAsia" w:ascii="仿宋_GB2312" w:hAnsi="仿宋_GB2312" w:eastAsia="仿宋_GB2312" w:cs="仿宋_GB2312"/>
          <w:color w:val="auto"/>
          <w:sz w:val="32"/>
          <w:szCs w:val="32"/>
          <w:shd w:val="clear" w:fill="FFFFFF"/>
          <w:lang w:eastAsia="zh-CN"/>
        </w:rPr>
        <w:t>）</w:t>
      </w:r>
      <w:r>
        <w:rPr>
          <w:rFonts w:hint="eastAsia" w:ascii="仿宋_GB2312" w:hAnsi="仿宋_GB2312" w:eastAsia="仿宋_GB2312" w:cs="仿宋_GB2312"/>
          <w:color w:val="auto"/>
          <w:sz w:val="32"/>
          <w:szCs w:val="32"/>
          <w:shd w:val="clear" w:fill="FFFFFF"/>
        </w:rPr>
        <w:t>主动公开情况</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fill="FFFFFF"/>
          <w:lang w:eastAsia="zh-CN"/>
        </w:rPr>
        <w:t>政务服务办</w:t>
      </w:r>
      <w:r>
        <w:rPr>
          <w:rFonts w:hint="eastAsia" w:ascii="仿宋_GB2312" w:hAnsi="仿宋_GB2312" w:eastAsia="仿宋_GB2312" w:cs="仿宋_GB2312"/>
          <w:color w:val="auto"/>
          <w:sz w:val="32"/>
          <w:szCs w:val="32"/>
          <w:shd w:val="clear" w:fill="FFFFFF"/>
        </w:rPr>
        <w:t>政府信息公开专栏信息更新情况。</w:t>
      </w:r>
      <w:r>
        <w:rPr>
          <w:rFonts w:hint="eastAsia" w:ascii="仿宋_GB2312" w:hAnsi="仿宋_GB2312" w:eastAsia="仿宋_GB2312" w:cs="仿宋_GB2312"/>
          <w:color w:val="auto"/>
          <w:sz w:val="32"/>
          <w:szCs w:val="32"/>
          <w:shd w:val="clear" w:fill="FFFFFF"/>
          <w:lang w:val="en-US" w:eastAsia="zh-CN"/>
        </w:rPr>
        <w:t>2018年共主动公开政府信息56条（累计达到446条）。在主动公开的信息中，机构职能类信息12条；法规文件类信息5条；规划计划类信息1条；业务动态类信息38条。</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fill="FFFFFF"/>
          <w:lang w:val="en-US" w:eastAsia="zh-CN"/>
        </w:rPr>
        <w:t>（2）</w:t>
      </w:r>
      <w:r>
        <w:rPr>
          <w:rFonts w:hint="eastAsia" w:ascii="仿宋_GB2312" w:hAnsi="仿宋_GB2312" w:eastAsia="仿宋_GB2312" w:cs="仿宋_GB2312"/>
          <w:color w:val="auto"/>
          <w:sz w:val="32"/>
          <w:szCs w:val="32"/>
          <w:shd w:val="clear" w:fill="FFFFFF"/>
        </w:rPr>
        <w:t>依申请公开情况</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fill="FFFFFF"/>
          <w:lang w:val="en-US" w:eastAsia="zh-CN"/>
        </w:rPr>
        <w:t>一是</w:t>
      </w:r>
      <w:r>
        <w:rPr>
          <w:rFonts w:hint="eastAsia" w:ascii="仿宋_GB2312" w:hAnsi="仿宋_GB2312" w:eastAsia="仿宋_GB2312" w:cs="仿宋_GB2312"/>
          <w:color w:val="auto"/>
          <w:sz w:val="32"/>
          <w:szCs w:val="32"/>
          <w:shd w:val="clear" w:fill="FFFFFF"/>
        </w:rPr>
        <w:t>申请情况</w:t>
      </w:r>
      <w:r>
        <w:rPr>
          <w:rFonts w:hint="eastAsia" w:ascii="仿宋_GB2312" w:hAnsi="仿宋_GB2312" w:eastAsia="仿宋_GB2312" w:cs="仿宋_GB2312"/>
          <w:color w:val="auto"/>
          <w:sz w:val="32"/>
          <w:szCs w:val="32"/>
          <w:shd w:val="clear" w:fill="FFFFFF"/>
          <w:lang w:eastAsia="zh-CN"/>
        </w:rPr>
        <w:t>。政务服务办</w:t>
      </w:r>
      <w:r>
        <w:rPr>
          <w:rFonts w:hint="eastAsia" w:ascii="仿宋_GB2312" w:hAnsi="仿宋_GB2312" w:eastAsia="仿宋_GB2312" w:cs="仿宋_GB2312"/>
          <w:color w:val="auto"/>
          <w:sz w:val="32"/>
          <w:szCs w:val="32"/>
          <w:shd w:val="clear" w:fill="FFFFFF"/>
          <w:lang w:val="en-US" w:eastAsia="zh-CN"/>
        </w:rPr>
        <w:t>2018</w:t>
      </w:r>
      <w:r>
        <w:rPr>
          <w:rFonts w:hint="eastAsia" w:ascii="仿宋_GB2312" w:hAnsi="仿宋_GB2312" w:eastAsia="仿宋_GB2312" w:cs="仿宋_GB2312"/>
          <w:color w:val="auto"/>
          <w:sz w:val="32"/>
          <w:szCs w:val="32"/>
          <w:shd w:val="clear" w:fill="FFFFFF"/>
        </w:rPr>
        <w:t>年度共收到政府信息公开申请</w:t>
      </w:r>
      <w:r>
        <w:rPr>
          <w:rFonts w:hint="eastAsia" w:ascii="仿宋_GB2312" w:hAnsi="仿宋_GB2312" w:eastAsia="仿宋_GB2312" w:cs="仿宋_GB2312"/>
          <w:color w:val="auto"/>
          <w:sz w:val="32"/>
          <w:szCs w:val="32"/>
          <w:shd w:val="clear" w:fill="FFFFFF"/>
          <w:lang w:val="en-US" w:eastAsia="zh-CN"/>
        </w:rPr>
        <w:t>3</w:t>
      </w:r>
      <w:r>
        <w:rPr>
          <w:rFonts w:hint="eastAsia" w:ascii="仿宋_GB2312" w:hAnsi="仿宋_GB2312" w:eastAsia="仿宋_GB2312" w:cs="仿宋_GB2312"/>
          <w:color w:val="auto"/>
          <w:sz w:val="32"/>
          <w:szCs w:val="32"/>
          <w:shd w:val="clear" w:fill="FFFFFF"/>
        </w:rPr>
        <w:t>件</w:t>
      </w:r>
      <w:r>
        <w:rPr>
          <w:rFonts w:hint="eastAsia" w:ascii="仿宋_GB2312" w:hAnsi="仿宋_GB2312" w:eastAsia="仿宋_GB2312" w:cs="仿宋_GB2312"/>
          <w:color w:val="auto"/>
          <w:sz w:val="32"/>
          <w:szCs w:val="32"/>
          <w:shd w:val="clear" w:fill="FFFFFF"/>
          <w:lang w:eastAsia="zh-CN"/>
        </w:rPr>
        <w:t>，全部</w:t>
      </w:r>
      <w:r>
        <w:rPr>
          <w:rFonts w:hint="eastAsia" w:ascii="仿宋_GB2312" w:hAnsi="仿宋_GB2312" w:eastAsia="仿宋_GB2312" w:cs="仿宋_GB2312"/>
          <w:color w:val="auto"/>
          <w:sz w:val="32"/>
          <w:szCs w:val="32"/>
          <w:shd w:val="clear" w:fill="FFFFFF"/>
        </w:rPr>
        <w:t>以信函形式申请。</w:t>
      </w:r>
      <w:r>
        <w:rPr>
          <w:rFonts w:hint="eastAsia" w:ascii="仿宋_GB2312" w:hAnsi="仿宋_GB2312" w:eastAsia="仿宋_GB2312" w:cs="仿宋_GB2312"/>
          <w:color w:val="auto"/>
          <w:sz w:val="32"/>
          <w:szCs w:val="32"/>
          <w:highlight w:val="none"/>
          <w:shd w:val="clear" w:fill="FFFFFF"/>
        </w:rPr>
        <w:t>申请内容主要涉及</w:t>
      </w:r>
      <w:r>
        <w:rPr>
          <w:rFonts w:hint="eastAsia" w:ascii="仿宋_GB2312" w:hAnsi="仿宋_GB2312" w:eastAsia="仿宋_GB2312" w:cs="仿宋_GB2312"/>
          <w:color w:val="auto"/>
          <w:sz w:val="32"/>
          <w:szCs w:val="32"/>
          <w:highlight w:val="none"/>
          <w:shd w:val="clear" w:fill="FFFFFF"/>
          <w:lang w:eastAsia="zh-CN"/>
        </w:rPr>
        <w:t>政务服务办的机构职责、</w:t>
      </w:r>
      <w:r>
        <w:rPr>
          <w:rFonts w:hint="eastAsia" w:ascii="仿宋_GB2312" w:hAnsi="仿宋_GB2312" w:eastAsia="仿宋_GB2312" w:cs="仿宋_GB2312"/>
          <w:color w:val="auto"/>
          <w:sz w:val="32"/>
          <w:szCs w:val="32"/>
          <w:highlight w:val="none"/>
          <w:shd w:val="clear" w:fill="FFFFFF"/>
          <w:lang w:val="en-US" w:eastAsia="zh-CN"/>
        </w:rPr>
        <w:t>受理业务情况及</w:t>
      </w:r>
      <w:r>
        <w:rPr>
          <w:rFonts w:hint="eastAsia" w:ascii="仿宋_GB2312" w:hAnsi="宋体" w:eastAsia="仿宋_GB2312"/>
          <w:color w:val="auto"/>
          <w:sz w:val="32"/>
          <w:szCs w:val="32"/>
          <w:highlight w:val="none"/>
        </w:rPr>
        <w:t>“</w:t>
      </w:r>
      <w:r>
        <w:rPr>
          <w:rFonts w:ascii="仿宋_GB2312" w:hAnsi="Calibri" w:eastAsia="仿宋_GB2312" w:cs="仿宋_GB2312"/>
          <w:color w:val="auto"/>
          <w:sz w:val="32"/>
          <w:szCs w:val="32"/>
        </w:rPr>
        <w:t> </w:t>
      </w:r>
      <w:r>
        <w:rPr>
          <w:rFonts w:hint="eastAsia" w:ascii="仿宋_GB2312" w:eastAsia="仿宋_GB2312"/>
          <w:color w:val="auto"/>
          <w:sz w:val="32"/>
          <w:szCs w:val="32"/>
        </w:rPr>
        <w:t>北京市通县梨园工业公司经营状态，机构职能落实情况</w:t>
      </w:r>
      <w:r>
        <w:rPr>
          <w:rFonts w:hint="eastAsia" w:ascii="仿宋_GB2312" w:hAnsi="宋体" w:eastAsia="仿宋_GB2312"/>
          <w:color w:val="auto"/>
          <w:sz w:val="32"/>
          <w:szCs w:val="32"/>
        </w:rPr>
        <w:t>”</w:t>
      </w:r>
      <w:r>
        <w:rPr>
          <w:rFonts w:hint="eastAsia" w:ascii="仿宋_GB2312" w:hAnsi="仿宋_GB2312" w:eastAsia="仿宋_GB2312" w:cs="仿宋_GB2312"/>
          <w:color w:val="auto"/>
          <w:sz w:val="32"/>
          <w:szCs w:val="32"/>
          <w:shd w:val="clear" w:fill="FFFFFF"/>
        </w:rPr>
        <w:t>。</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fill="FFFFFF"/>
          <w:lang w:val="en-US" w:eastAsia="zh-CN"/>
        </w:rPr>
        <w:t>二是</w:t>
      </w:r>
      <w:r>
        <w:rPr>
          <w:rFonts w:hint="eastAsia" w:ascii="仿宋_GB2312" w:hAnsi="仿宋_GB2312" w:eastAsia="仿宋_GB2312" w:cs="仿宋_GB2312"/>
          <w:color w:val="auto"/>
          <w:sz w:val="32"/>
          <w:szCs w:val="32"/>
          <w:shd w:val="clear" w:fill="FFFFFF"/>
        </w:rPr>
        <w:t>答复情况</w:t>
      </w:r>
      <w:r>
        <w:rPr>
          <w:rFonts w:hint="eastAsia" w:ascii="仿宋_GB2312" w:hAnsi="仿宋_GB2312" w:eastAsia="仿宋_GB2312" w:cs="仿宋_GB2312"/>
          <w:color w:val="auto"/>
          <w:sz w:val="32"/>
          <w:szCs w:val="32"/>
          <w:shd w:val="clear" w:fill="FFFFFF"/>
          <w:lang w:eastAsia="zh-CN"/>
        </w:rPr>
        <w:t>。政务服务办</w:t>
      </w:r>
      <w:r>
        <w:rPr>
          <w:rFonts w:hint="eastAsia" w:ascii="仿宋_GB2312" w:hAnsi="仿宋_GB2312" w:eastAsia="仿宋_GB2312" w:cs="仿宋_GB2312"/>
          <w:color w:val="auto"/>
          <w:sz w:val="32"/>
          <w:szCs w:val="32"/>
          <w:shd w:val="clear" w:fill="FFFFFF"/>
          <w:lang w:val="en-US" w:eastAsia="zh-CN"/>
        </w:rPr>
        <w:t>2018</w:t>
      </w:r>
      <w:r>
        <w:rPr>
          <w:rFonts w:hint="eastAsia" w:ascii="仿宋_GB2312" w:hAnsi="仿宋_GB2312" w:eastAsia="仿宋_GB2312" w:cs="仿宋_GB2312"/>
          <w:color w:val="auto"/>
          <w:sz w:val="32"/>
          <w:szCs w:val="32"/>
          <w:shd w:val="clear" w:fill="FFFFFF"/>
        </w:rPr>
        <w:t>年收到的</w:t>
      </w:r>
      <w:r>
        <w:rPr>
          <w:rFonts w:hint="eastAsia" w:ascii="仿宋_GB2312" w:hAnsi="仿宋_GB2312" w:eastAsia="仿宋_GB2312" w:cs="仿宋_GB2312"/>
          <w:color w:val="auto"/>
          <w:sz w:val="32"/>
          <w:szCs w:val="32"/>
          <w:shd w:val="clear" w:fill="FFFFFF"/>
          <w:lang w:val="en-US" w:eastAsia="zh-CN"/>
        </w:rPr>
        <w:t>3</w:t>
      </w:r>
      <w:r>
        <w:rPr>
          <w:rFonts w:hint="eastAsia" w:ascii="仿宋_GB2312" w:hAnsi="仿宋_GB2312" w:eastAsia="仿宋_GB2312" w:cs="仿宋_GB2312"/>
          <w:color w:val="auto"/>
          <w:sz w:val="32"/>
          <w:szCs w:val="32"/>
          <w:shd w:val="clear" w:fill="FFFFFF"/>
        </w:rPr>
        <w:t>件申请，已全部按期答复，</w:t>
      </w:r>
      <w:r>
        <w:rPr>
          <w:rFonts w:hint="eastAsia" w:ascii="仿宋_GB2312" w:hAnsi="仿宋_GB2312" w:eastAsia="仿宋_GB2312" w:cs="仿宋_GB2312"/>
          <w:color w:val="auto"/>
          <w:sz w:val="32"/>
          <w:szCs w:val="32"/>
          <w:shd w:val="clear" w:fill="FFFFFF"/>
          <w:lang w:val="en-US" w:eastAsia="zh-CN"/>
        </w:rPr>
        <w:t>3</w:t>
      </w:r>
      <w:r>
        <w:rPr>
          <w:rFonts w:hint="eastAsia" w:ascii="仿宋_GB2312" w:hAnsi="仿宋_GB2312" w:eastAsia="仿宋_GB2312" w:cs="仿宋_GB2312"/>
          <w:color w:val="auto"/>
          <w:sz w:val="32"/>
          <w:szCs w:val="32"/>
          <w:shd w:val="clear" w:fill="FFFFFF"/>
        </w:rPr>
        <w:t>件申请中：“同意公开”的2件</w:t>
      </w:r>
      <w:r>
        <w:rPr>
          <w:rFonts w:hint="eastAsia" w:ascii="仿宋_GB2312" w:hAnsi="仿宋_GB2312" w:eastAsia="仿宋_GB2312" w:cs="仿宋_GB2312"/>
          <w:color w:val="auto"/>
          <w:sz w:val="32"/>
          <w:szCs w:val="32"/>
          <w:shd w:val="clear" w:fill="FFFFFF"/>
          <w:lang w:eastAsia="zh-CN"/>
        </w:rPr>
        <w:t>；</w:t>
      </w:r>
      <w:r>
        <w:rPr>
          <w:rFonts w:hint="eastAsia" w:ascii="仿宋_GB2312" w:hAnsi="仿宋_GB2312" w:eastAsia="仿宋_GB2312" w:cs="仿宋_GB2312"/>
          <w:color w:val="auto"/>
          <w:sz w:val="32"/>
          <w:szCs w:val="32"/>
          <w:shd w:val="clear" w:fill="FFFFFF"/>
        </w:rPr>
        <w:t>“非本机关掌握”的</w:t>
      </w:r>
      <w:r>
        <w:rPr>
          <w:rFonts w:hint="eastAsia" w:ascii="仿宋_GB2312" w:hAnsi="仿宋_GB2312" w:eastAsia="仿宋_GB2312" w:cs="仿宋_GB2312"/>
          <w:color w:val="auto"/>
          <w:sz w:val="32"/>
          <w:szCs w:val="32"/>
          <w:shd w:val="clear" w:fill="FFFFFF"/>
          <w:lang w:val="en-US" w:eastAsia="zh-CN"/>
        </w:rPr>
        <w:t>1</w:t>
      </w:r>
      <w:r>
        <w:rPr>
          <w:rFonts w:hint="eastAsia" w:ascii="仿宋_GB2312" w:hAnsi="仿宋_GB2312" w:eastAsia="仿宋_GB2312" w:cs="仿宋_GB2312"/>
          <w:color w:val="auto"/>
          <w:sz w:val="32"/>
          <w:szCs w:val="32"/>
          <w:shd w:val="clear" w:fill="FFFFFF"/>
        </w:rPr>
        <w:t>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 xml:space="preserve">    （三）</w:t>
      </w:r>
      <w:r>
        <w:rPr>
          <w:rFonts w:hint="eastAsia" w:ascii="楷体" w:hAnsi="楷体" w:eastAsia="楷体" w:cs="楷体"/>
          <w:color w:val="auto"/>
          <w:sz w:val="32"/>
          <w:szCs w:val="32"/>
          <w:lang w:eastAsia="zh-CN"/>
        </w:rPr>
        <w:t>提升政务服务工作实效</w:t>
      </w:r>
      <w:r>
        <w:rPr>
          <w:rFonts w:hint="eastAsia" w:ascii="楷体" w:hAnsi="楷体" w:eastAsia="楷体" w:cs="楷体"/>
          <w:color w:val="auto"/>
          <w:sz w:val="32"/>
          <w:szCs w:val="32"/>
        </w:rPr>
        <w:t>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（1）深入推进“互联网+政务服务”</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一是</w:t>
      </w:r>
      <w:r>
        <w:rPr>
          <w:rFonts w:hint="eastAsia" w:ascii="仿宋_GB2312" w:hAnsi="黑体" w:eastAsia="仿宋_GB2312"/>
          <w:color w:val="auto"/>
          <w:sz w:val="32"/>
          <w:szCs w:val="32"/>
        </w:rPr>
        <w:t>依托事项目录系统，采用统建共用模式，通州区在互联网网站发布的政务服务事项数量、办事指南要素等与</w:t>
      </w:r>
      <w:r>
        <w:rPr>
          <w:rFonts w:hint="eastAsia" w:ascii="仿宋_GB2312" w:hAnsi="黑体" w:eastAsia="仿宋_GB2312"/>
          <w:color w:val="auto"/>
          <w:sz w:val="32"/>
          <w:szCs w:val="32"/>
          <w:lang w:eastAsia="zh-CN"/>
        </w:rPr>
        <w:t>北京</w:t>
      </w:r>
      <w:r>
        <w:rPr>
          <w:rFonts w:hint="eastAsia" w:ascii="仿宋_GB2312" w:hAnsi="黑体" w:eastAsia="仿宋_GB2312"/>
          <w:color w:val="auto"/>
          <w:sz w:val="32"/>
          <w:szCs w:val="32"/>
        </w:rPr>
        <w:t>市网上政务服务大厅完全一致，数据同源。</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黑体" w:eastAsia="仿宋_GB2312"/>
          <w:color w:val="auto"/>
          <w:sz w:val="32"/>
          <w:szCs w:val="32"/>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640" w:firstLineChars="200"/>
        <w:jc w:val="center"/>
        <w:textAlignment w:val="auto"/>
        <w:rPr>
          <w:rFonts w:hint="eastAsia" w:ascii="仿宋_GB2312" w:hAnsi="黑体" w:eastAsia="仿宋_GB2312"/>
          <w:color w:val="auto"/>
          <w:sz w:val="32"/>
          <w:szCs w:val="32"/>
          <w:lang w:val="en-US" w:eastAsia="zh-CN"/>
        </w:rPr>
      </w:pPr>
      <w:r>
        <w:drawing>
          <wp:inline distT="0" distB="0" distL="114300" distR="114300">
            <wp:extent cx="4936490" cy="2785745"/>
            <wp:effectExtent l="0" t="0" r="1651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936490" cy="278574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ascii="仿宋_GB2312" w:hAnsi="黑体" w:eastAsia="仿宋_GB2312"/>
          <w:color w:val="auto"/>
          <w:sz w:val="32"/>
          <w:szCs w:val="32"/>
        </w:rPr>
      </w:pPr>
      <w:r>
        <w:rPr>
          <w:rFonts w:hint="eastAsia" w:ascii="仿宋_GB2312" w:hAnsi="黑体" w:eastAsia="仿宋_GB2312"/>
          <w:color w:val="auto"/>
          <w:sz w:val="32"/>
          <w:szCs w:val="32"/>
          <w:lang w:val="en-US" w:eastAsia="zh-CN"/>
        </w:rPr>
        <w:t>二是</w:t>
      </w:r>
      <w:r>
        <w:rPr>
          <w:rFonts w:hint="eastAsia" w:ascii="仿宋_GB2312" w:hAnsi="黑体" w:eastAsia="仿宋_GB2312"/>
          <w:color w:val="auto"/>
          <w:sz w:val="32"/>
          <w:szCs w:val="32"/>
        </w:rPr>
        <w:t>积极推进“一网通办”，成立通州区推进政务服务“一网通办”工作领导小组，印发了《通州区推进政务服务“一网通办”工作实施方案》（通政办发〔2018〕25号），并将“一网通办”工作纳入全区折子工程与绩效考核工作。</w:t>
      </w:r>
      <w:r>
        <w:rPr>
          <w:rFonts w:hint="eastAsia" w:ascii="仿宋_GB2312" w:hAnsi="黑体" w:eastAsia="仿宋_GB2312"/>
          <w:color w:val="auto"/>
          <w:sz w:val="32"/>
          <w:szCs w:val="32"/>
          <w:lang w:val="en-US" w:eastAsia="zh-CN"/>
        </w:rPr>
        <w:t>2018年</w:t>
      </w:r>
      <w:r>
        <w:rPr>
          <w:rFonts w:hint="eastAsia" w:ascii="仿宋_GB2312" w:hAnsi="黑体" w:eastAsia="仿宋_GB2312"/>
          <w:color w:val="auto"/>
          <w:sz w:val="32"/>
          <w:szCs w:val="32"/>
        </w:rPr>
        <w:t>9月19日，常务副区长主持召开通州区“一网通办”工作部署会，全力推进此项工作，我区在全市率先实现“一网通办”网上可办率100%，与北京市网上政务服务大厅进行联通。根据事项下沉、精简情况，推动“一网通办”工作实现动态网上全部可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黑体" w:eastAsia="仿宋_GB2312"/>
          <w:color w:val="auto"/>
          <w:sz w:val="32"/>
          <w:szCs w:val="32"/>
          <w:lang w:val="en-US" w:eastAsia="zh-CN"/>
        </w:rPr>
        <w:t xml:space="preserve">    三是</w:t>
      </w:r>
      <w:r>
        <w:rPr>
          <w:rFonts w:hint="eastAsia" w:ascii="仿宋_GB2312" w:hAnsi="黑体" w:eastAsia="仿宋_GB2312"/>
          <w:color w:val="auto"/>
          <w:sz w:val="32"/>
          <w:szCs w:val="32"/>
        </w:rPr>
        <w:t>做好政务服务地图信息运维工作，为公众提供全面、准确的政务服务综合地图信息查询服务。按照市级相关工作要求，全区各级政务服务机构对公布的机构名称、办公地址、电话、办公时间、机构性质等信息进行了自查，区级大厅、11个乡镇及4个街道及下属村居的政务地图均准确更新。为确保政务服务地图信息全面、准确，各相关单位建立了政务地图长效运维工作机制，安排专人对服务机构地图进行定期自查和运维管理，明确责任分工并制定地图信息收集、核实运行管理标准，确保地图良好运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ascii="楷体" w:hAnsi="楷体" w:eastAsia="楷体" w:cs="楷体"/>
          <w:color w:val="auto"/>
          <w:sz w:val="32"/>
          <w:szCs w:val="32"/>
        </w:rPr>
      </w:pPr>
      <w:r>
        <w:rPr>
          <w:rFonts w:hint="eastAsia" w:ascii="仿宋_GB2312" w:hAnsi="仿宋_GB2312" w:eastAsia="仿宋_GB2312" w:cs="仿宋_GB2312"/>
          <w:color w:val="auto"/>
          <w:sz w:val="32"/>
          <w:szCs w:val="32"/>
          <w:lang w:val="en-US" w:eastAsia="zh-CN"/>
        </w:rPr>
        <w:t xml:space="preserve">    （2）规范政务服务大厅建设管理</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黑体" w:eastAsia="仿宋_GB2312"/>
          <w:color w:val="auto"/>
          <w:sz w:val="32"/>
          <w:szCs w:val="32"/>
        </w:rPr>
      </w:pPr>
      <w:r>
        <w:rPr>
          <w:rFonts w:hint="eastAsia" w:ascii="仿宋_GB2312" w:hAnsi="黑体" w:eastAsia="仿宋_GB2312"/>
          <w:color w:val="auto"/>
          <w:sz w:val="32"/>
          <w:szCs w:val="32"/>
          <w:lang w:val="en-US" w:eastAsia="zh-CN"/>
        </w:rPr>
        <w:t>一是</w:t>
      </w:r>
      <w:r>
        <w:rPr>
          <w:rFonts w:hint="eastAsia" w:ascii="仿宋_GB2312" w:hAnsi="黑体" w:eastAsia="仿宋_GB2312"/>
          <w:color w:val="auto"/>
          <w:sz w:val="32"/>
          <w:szCs w:val="32"/>
        </w:rPr>
        <w:t>在“一门”方面，全区政务服务事项共计1639项，已全部进驻</w:t>
      </w:r>
      <w:r>
        <w:rPr>
          <w:rFonts w:hint="eastAsia" w:ascii="仿宋_GB2312" w:hAnsi="黑体" w:eastAsia="仿宋_GB2312"/>
          <w:color w:val="auto"/>
          <w:sz w:val="32"/>
          <w:szCs w:val="32"/>
          <w:lang w:eastAsia="zh-CN"/>
        </w:rPr>
        <w:t>政务服务大厅</w:t>
      </w:r>
      <w:r>
        <w:rPr>
          <w:rFonts w:hint="eastAsia" w:ascii="仿宋_GB2312" w:hAnsi="黑体" w:eastAsia="仿宋_GB2312"/>
          <w:color w:val="auto"/>
          <w:sz w:val="32"/>
          <w:szCs w:val="32"/>
        </w:rPr>
        <w:t>和各专业大厅，我区“一门”率达到100%；在“一窗”方面，</w:t>
      </w:r>
      <w:r>
        <w:rPr>
          <w:rFonts w:hint="eastAsia" w:ascii="仿宋_GB2312" w:hAnsi="黑体" w:eastAsia="仿宋_GB2312"/>
          <w:color w:val="auto"/>
          <w:sz w:val="32"/>
          <w:szCs w:val="32"/>
          <w:lang w:eastAsia="zh-CN"/>
        </w:rPr>
        <w:t>政务服务大厅</w:t>
      </w:r>
      <w:r>
        <w:rPr>
          <w:rFonts w:hint="eastAsia" w:ascii="仿宋_GB2312" w:hAnsi="黑体" w:eastAsia="仿宋_GB2312"/>
          <w:color w:val="auto"/>
          <w:sz w:val="32"/>
          <w:szCs w:val="32"/>
        </w:rPr>
        <w:t>进驻36个部门849个事项全部实现“一窗”办理，同时政务服务办牵头指导各专业大厅开展“一窗”工作，各专业大厅截止</w:t>
      </w:r>
      <w:r>
        <w:rPr>
          <w:rFonts w:hint="eastAsia" w:ascii="仿宋_GB2312" w:hAnsi="黑体" w:eastAsia="仿宋_GB2312"/>
          <w:color w:val="auto"/>
          <w:sz w:val="32"/>
          <w:szCs w:val="32"/>
          <w:lang w:val="en-US" w:eastAsia="zh-CN"/>
        </w:rPr>
        <w:t>2018年</w:t>
      </w:r>
      <w:r>
        <w:rPr>
          <w:rFonts w:hint="eastAsia" w:ascii="仿宋_GB2312" w:hAnsi="黑体" w:eastAsia="仿宋_GB2312"/>
          <w:color w:val="auto"/>
          <w:sz w:val="32"/>
          <w:szCs w:val="32"/>
        </w:rPr>
        <w:t>12月26日已全部实现“一窗”办理，我区“一窗”率也达到100%。</w:t>
      </w:r>
    </w:p>
    <w:p>
      <w:pPr>
        <w:keepNext w:val="0"/>
        <w:keepLines w:val="0"/>
        <w:pageBreakBefore w:val="0"/>
        <w:kinsoku/>
        <w:overflowPunct/>
        <w:topLinePunct w:val="0"/>
        <w:autoSpaceDE/>
        <w:autoSpaceDN/>
        <w:bidi w:val="0"/>
        <w:adjustRightInd/>
        <w:snapToGrid/>
        <w:spacing w:line="240" w:lineRule="auto"/>
        <w:ind w:left="0" w:leftChars="0" w:right="0" w:rightChars="0" w:firstLine="640" w:firstLineChars="200"/>
        <w:jc w:val="center"/>
        <w:textAlignment w:val="auto"/>
        <w:rPr>
          <w:rFonts w:hint="eastAsia" w:ascii="仿宋_GB2312" w:hAnsi="黑体" w:eastAsia="仿宋_GB2312"/>
          <w:color w:val="auto"/>
          <w:sz w:val="32"/>
          <w:szCs w:val="32"/>
          <w:lang w:eastAsia="zh-CN"/>
        </w:rPr>
      </w:pPr>
      <w:r>
        <w:rPr>
          <w:rFonts w:hint="eastAsia" w:ascii="仿宋_GB2312" w:hAnsi="黑体" w:eastAsia="仿宋_GB2312"/>
          <w:color w:val="auto"/>
          <w:sz w:val="32"/>
          <w:szCs w:val="32"/>
          <w:lang w:eastAsia="zh-CN"/>
        </w:rPr>
        <w:drawing>
          <wp:inline distT="0" distB="0" distL="114300" distR="114300">
            <wp:extent cx="4632960" cy="2316480"/>
            <wp:effectExtent l="0" t="0" r="15240" b="762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4632960" cy="231648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240" w:lineRule="auto"/>
        <w:ind w:left="0" w:leftChars="0" w:right="0" w:rightChars="0" w:firstLine="640" w:firstLineChars="200"/>
        <w:jc w:val="center"/>
        <w:textAlignment w:val="auto"/>
        <w:rPr>
          <w:rFonts w:hint="eastAsia" w:ascii="仿宋_GB2312" w:hAnsi="黑体" w:eastAsia="仿宋_GB2312"/>
          <w:color w:val="auto"/>
          <w:sz w:val="32"/>
          <w:szCs w:val="32"/>
          <w:lang w:eastAsia="zh-CN"/>
        </w:rPr>
      </w:pPr>
      <w:r>
        <w:rPr>
          <w:rFonts w:hint="eastAsia" w:ascii="仿宋_GB2312" w:hAnsi="黑体" w:eastAsia="仿宋_GB2312"/>
          <w:color w:val="auto"/>
          <w:sz w:val="32"/>
          <w:szCs w:val="32"/>
          <w:lang w:eastAsia="zh-CN"/>
        </w:rPr>
        <w:drawing>
          <wp:inline distT="0" distB="0" distL="114300" distR="114300">
            <wp:extent cx="4629785" cy="2363470"/>
            <wp:effectExtent l="0" t="0" r="18415" b="17780"/>
            <wp:docPr id="7"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2"/>
                    <pic:cNvPicPr>
                      <a:picLocks noChangeAspect="1"/>
                    </pic:cNvPicPr>
                  </pic:nvPicPr>
                  <pic:blipFill>
                    <a:blip r:embed="rId10"/>
                    <a:stretch>
                      <a:fillRect/>
                    </a:stretch>
                  </pic:blipFill>
                  <pic:spPr>
                    <a:xfrm>
                      <a:off x="0" y="0"/>
                      <a:ext cx="4629785" cy="236347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ascii="仿宋_GB2312" w:hAnsi="黑体" w:eastAsia="仿宋_GB2312"/>
          <w:color w:val="auto"/>
          <w:sz w:val="32"/>
          <w:szCs w:val="32"/>
        </w:rPr>
      </w:pPr>
      <w:r>
        <w:rPr>
          <w:rFonts w:hint="eastAsia" w:ascii="仿宋_GB2312" w:hAnsi="黑体" w:eastAsia="仿宋_GB2312"/>
          <w:color w:val="auto"/>
          <w:sz w:val="32"/>
          <w:szCs w:val="32"/>
          <w:lang w:val="en-US" w:eastAsia="zh-CN"/>
        </w:rPr>
        <w:t>二是</w:t>
      </w:r>
      <w:r>
        <w:rPr>
          <w:rFonts w:hint="eastAsia" w:ascii="仿宋_GB2312" w:hAnsi="黑体" w:eastAsia="仿宋_GB2312"/>
          <w:color w:val="auto"/>
          <w:sz w:val="32"/>
          <w:szCs w:val="32"/>
        </w:rPr>
        <w:t>加强了区、镇、村三级政务服务体系建设，完善各级政务服务机构设置，我区（含部门专业大厅）、镇街、村居的政务服务实体大厅名称全部统一为政务服务中心（分中心）或服务站。</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ascii="仿宋_GB2312" w:hAnsi="黑体" w:eastAsia="仿宋_GB2312"/>
          <w:color w:val="auto"/>
          <w:sz w:val="32"/>
          <w:szCs w:val="32"/>
        </w:rPr>
      </w:pPr>
      <w:r>
        <w:rPr>
          <w:rFonts w:hint="eastAsia" w:ascii="仿宋_GB2312" w:hAnsi="黑体" w:eastAsia="仿宋_GB2312"/>
          <w:color w:val="auto"/>
          <w:sz w:val="32"/>
          <w:szCs w:val="32"/>
          <w:lang w:val="en-US" w:eastAsia="zh-CN"/>
        </w:rPr>
        <w:t>三是</w:t>
      </w:r>
      <w:r>
        <w:rPr>
          <w:rFonts w:hint="eastAsia" w:ascii="仿宋_GB2312" w:hAnsi="黑体" w:eastAsia="仿宋_GB2312"/>
          <w:color w:val="auto"/>
          <w:sz w:val="32"/>
          <w:szCs w:val="32"/>
        </w:rPr>
        <w:t>严格按照《北京市投资项目在线审批监管平台管理实施办法》规范在线审批监管平台运行，建立市区两级联络沟通服务体系，通过组织培训、上门答疑、电话回访、微信交流等多形式及时处理解决平台使用及应用中的问题，对每日平台预警项目做到及时梳理、及时告知、及时上报、及时协调，并进行备案。2018年我区投资项目在线审批监管平台总体运行平稳，未发生运行事故。</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ascii="仿宋_GB2312" w:hAnsi="黑体" w:eastAsia="仿宋_GB2312"/>
          <w:color w:val="auto"/>
          <w:sz w:val="32"/>
          <w:szCs w:val="32"/>
        </w:rPr>
      </w:pPr>
      <w:r>
        <w:rPr>
          <w:rFonts w:hint="eastAsia" w:ascii="仿宋_GB2312" w:hAnsi="黑体" w:eastAsia="仿宋_GB2312"/>
          <w:color w:val="auto"/>
          <w:sz w:val="32"/>
          <w:szCs w:val="32"/>
          <w:lang w:val="en-US" w:eastAsia="zh-CN"/>
        </w:rPr>
        <w:t>四是</w:t>
      </w:r>
      <w:r>
        <w:rPr>
          <w:rFonts w:hint="eastAsia" w:ascii="仿宋_GB2312" w:hAnsi="黑体" w:eastAsia="仿宋_GB2312"/>
          <w:color w:val="auto"/>
          <w:sz w:val="32"/>
          <w:szCs w:val="32"/>
        </w:rPr>
        <w:t>按照市政府审改办《关于公布市、区两级政务服务（公共服务）事项目录的通知》文件要求，梳理完成44家区级单位办事事项1639项，形成规范化、标准化目录清单并在首都之窗进行公示。</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ascii="仿宋_GB2312" w:hAnsi="黑体" w:eastAsia="仿宋_GB2312"/>
          <w:color w:val="auto"/>
          <w:sz w:val="32"/>
          <w:szCs w:val="32"/>
        </w:rPr>
      </w:pPr>
      <w:r>
        <w:rPr>
          <w:rFonts w:hint="eastAsia" w:ascii="仿宋_GB2312" w:hAnsi="黑体" w:eastAsia="仿宋_GB2312"/>
          <w:color w:val="auto"/>
          <w:sz w:val="32"/>
          <w:szCs w:val="32"/>
          <w:lang w:val="en-US" w:eastAsia="zh-CN"/>
        </w:rPr>
        <w:t>五是</w:t>
      </w:r>
      <w:r>
        <w:rPr>
          <w:rFonts w:hint="eastAsia" w:ascii="仿宋_GB2312" w:hAnsi="黑体" w:eastAsia="仿宋_GB2312"/>
          <w:color w:val="auto"/>
          <w:sz w:val="32"/>
          <w:szCs w:val="32"/>
        </w:rPr>
        <w:t>以事项办理量为参考，编制了150个区级高频事项清单，推动相关单位50个高频事项实现了“最多跑一次”。</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黑体" w:eastAsia="仿宋_GB2312"/>
          <w:color w:val="auto"/>
          <w:sz w:val="32"/>
          <w:szCs w:val="32"/>
          <w:lang w:val="en-US" w:eastAsia="zh-CN"/>
        </w:rPr>
        <w:t>六是</w:t>
      </w:r>
      <w:r>
        <w:rPr>
          <w:rFonts w:hint="eastAsia" w:ascii="仿宋_GB2312" w:hAnsi="黑体" w:eastAsia="仿宋_GB2312"/>
          <w:color w:val="auto"/>
          <w:sz w:val="32"/>
          <w:szCs w:val="32"/>
        </w:rPr>
        <w:t>组织区级单位、各乡镇（街道）大厅和村（居）服务站窗口人员开展十余次专题、专项培训，进一步增强了窗口人员的政务服务意识,提高了政务服务水平。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4789805" cy="3282950"/>
            <wp:effectExtent l="0" t="0" r="10795" b="12700"/>
            <wp:docPr id="5" name="图片 5" descr="微信图片_2019012909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129092437"/>
                    <pic:cNvPicPr>
                      <a:picLocks noChangeAspect="1"/>
                    </pic:cNvPicPr>
                  </pic:nvPicPr>
                  <pic:blipFill>
                    <a:blip r:embed="rId11"/>
                    <a:stretch>
                      <a:fillRect/>
                    </a:stretch>
                  </pic:blipFill>
                  <pic:spPr>
                    <a:xfrm>
                      <a:off x="0" y="0"/>
                      <a:ext cx="4789805" cy="32829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ascii="黑体" w:hAnsi="黑体" w:eastAsia="黑体" w:cs="黑体"/>
          <w:color w:val="auto"/>
          <w:sz w:val="32"/>
          <w:szCs w:val="32"/>
        </w:rPr>
      </w:pPr>
      <w:r>
        <w:rPr>
          <w:rFonts w:hint="eastAsia" w:ascii="仿宋_GB2312" w:hAnsi="仿宋_GB2312" w:eastAsia="仿宋_GB2312" w:cs="仿宋_GB2312"/>
          <w:color w:val="auto"/>
          <w:sz w:val="32"/>
          <w:szCs w:val="32"/>
          <w:lang w:val="en-US" w:eastAsia="zh-CN"/>
        </w:rPr>
        <w:t xml:space="preserve">    （3）优化提升办事服务</w:t>
      </w:r>
    </w:p>
    <w:p>
      <w:pPr>
        <w:keepNext w:val="0"/>
        <w:keepLines w:val="0"/>
        <w:pageBreakBefore w:val="0"/>
        <w:numPr>
          <w:ilvl w:val="0"/>
          <w:numId w:val="0"/>
        </w:numPr>
        <w:kinsoku/>
        <w:overflowPunct/>
        <w:topLinePunct w:val="0"/>
        <w:autoSpaceDE/>
        <w:autoSpaceDN/>
        <w:bidi w:val="0"/>
        <w:adjustRightInd/>
        <w:snapToGrid/>
        <w:spacing w:line="560" w:lineRule="exact"/>
        <w:ind w:left="0" w:leftChars="0" w:right="0" w:rightChars="0"/>
        <w:textAlignment w:val="auto"/>
        <w:rPr>
          <w:rFonts w:hint="eastAsia" w:ascii="仿宋_GB2312" w:hAnsi="黑体" w:eastAsia="仿宋_GB2312"/>
          <w:color w:val="auto"/>
          <w:sz w:val="32"/>
          <w:szCs w:val="32"/>
        </w:rPr>
      </w:pPr>
      <w:r>
        <w:rPr>
          <w:rFonts w:hint="eastAsia" w:ascii="仿宋_GB2312" w:hAnsi="黑体" w:eastAsia="仿宋_GB2312"/>
          <w:color w:val="auto"/>
          <w:sz w:val="32"/>
          <w:szCs w:val="32"/>
          <w:lang w:val="en-US" w:eastAsia="zh-CN"/>
        </w:rPr>
        <w:t xml:space="preserve">    一是</w:t>
      </w:r>
      <w:r>
        <w:rPr>
          <w:rFonts w:hint="eastAsia" w:ascii="仿宋_GB2312" w:hAnsi="黑体" w:eastAsia="仿宋_GB2312"/>
          <w:color w:val="auto"/>
          <w:sz w:val="32"/>
          <w:szCs w:val="32"/>
        </w:rPr>
        <w:t>在</w:t>
      </w:r>
      <w:r>
        <w:rPr>
          <w:rFonts w:hint="eastAsia" w:ascii="仿宋_GB2312" w:hAnsi="黑体" w:eastAsia="仿宋_GB2312"/>
          <w:color w:val="auto"/>
          <w:sz w:val="32"/>
          <w:szCs w:val="32"/>
          <w:lang w:eastAsia="zh-CN"/>
        </w:rPr>
        <w:t>大厅</w:t>
      </w:r>
      <w:r>
        <w:rPr>
          <w:rFonts w:hint="eastAsia" w:ascii="仿宋_GB2312" w:hAnsi="黑体" w:eastAsia="仿宋_GB2312"/>
          <w:color w:val="auto"/>
          <w:sz w:val="32"/>
          <w:szCs w:val="32"/>
        </w:rPr>
        <w:t>一层设立企业开办专区，经过不断优化流程，在全市率先实现企业开办2.5天内办结，一次性领取营业执照、印章和发票，免费发放印章，切实提升企业开办效率。</w:t>
      </w:r>
    </w:p>
    <w:p>
      <w:pPr>
        <w:keepNext w:val="0"/>
        <w:keepLines w:val="0"/>
        <w:pageBreakBefore w:val="0"/>
        <w:numPr>
          <w:ilvl w:val="0"/>
          <w:numId w:val="0"/>
        </w:numPr>
        <w:kinsoku/>
        <w:overflowPunct/>
        <w:topLinePunct w:val="0"/>
        <w:autoSpaceDE/>
        <w:autoSpaceDN/>
        <w:bidi w:val="0"/>
        <w:adjustRightInd/>
        <w:snapToGrid/>
        <w:spacing w:line="560" w:lineRule="exact"/>
        <w:ind w:left="0" w:leftChars="0" w:right="0" w:rightChars="0" w:firstLine="640"/>
        <w:textAlignment w:val="auto"/>
        <w:rPr>
          <w:rFonts w:hint="eastAsia" w:ascii="仿宋_GB2312" w:hAnsi="黑体" w:eastAsia="仿宋_GB2312"/>
          <w:color w:val="auto"/>
          <w:sz w:val="32"/>
          <w:szCs w:val="32"/>
        </w:rPr>
      </w:pPr>
      <w:r>
        <w:rPr>
          <w:rFonts w:hint="eastAsia" w:ascii="仿宋_GB2312" w:hAnsi="黑体" w:eastAsia="仿宋_GB2312"/>
          <w:color w:val="auto"/>
          <w:sz w:val="32"/>
          <w:szCs w:val="32"/>
          <w:lang w:val="en-US" w:eastAsia="zh-CN"/>
        </w:rPr>
        <w:t>二是</w:t>
      </w:r>
      <w:r>
        <w:rPr>
          <w:rFonts w:hint="eastAsia" w:ascii="仿宋_GB2312" w:hAnsi="黑体" w:eastAsia="仿宋_GB2312"/>
          <w:color w:val="auto"/>
          <w:sz w:val="32"/>
          <w:szCs w:val="32"/>
        </w:rPr>
        <w:t>落实“9+N”政策，按照“应进必进”原则，区发改委、住建委、规土委等14家固定资产投资审批部门和水电气热等5个服务部门进驻大厅实现“只进一门”，完善了市场准入、固定资产投资、工程项目服务三项职能“一站式”办理。</w:t>
      </w:r>
    </w:p>
    <w:p>
      <w:pPr>
        <w:keepNext w:val="0"/>
        <w:keepLines w:val="0"/>
        <w:pageBreakBefore w:val="0"/>
        <w:numPr>
          <w:ilvl w:val="0"/>
          <w:numId w:val="0"/>
        </w:numPr>
        <w:kinsoku/>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黑体" w:eastAsia="仿宋_GB2312"/>
          <w:color w:val="auto"/>
          <w:sz w:val="32"/>
          <w:szCs w:val="32"/>
          <w:lang w:val="en-US" w:eastAsia="zh-CN"/>
        </w:rPr>
        <w:t>三是</w:t>
      </w:r>
      <w:r>
        <w:rPr>
          <w:rFonts w:hint="eastAsia" w:ascii="仿宋_GB2312" w:hAnsi="黑体" w:eastAsia="仿宋_GB2312"/>
          <w:color w:val="auto"/>
          <w:sz w:val="32"/>
          <w:szCs w:val="32"/>
        </w:rPr>
        <w:t>为加强窗口服务人员队伍建设，开展对优化企业开办事项和落实“9+N”系列政策的专项培训，提高工作人员的业务能力和服务水平。</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工作中存在的不足</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政务服务办严格按照要求开展政府信息公开工作，但在实际工作中</w:t>
      </w:r>
      <w:r>
        <w:rPr>
          <w:rFonts w:hint="eastAsia" w:ascii="仿宋" w:hAnsi="仿宋" w:eastAsia="仿宋" w:cs="仿宋"/>
          <w:color w:val="auto"/>
          <w:sz w:val="32"/>
          <w:szCs w:val="32"/>
          <w:shd w:val="clear" w:fill="FFFFFF"/>
          <w:lang w:eastAsia="zh-CN"/>
        </w:rPr>
        <w:t>基层</w:t>
      </w:r>
      <w:r>
        <w:rPr>
          <w:rFonts w:hint="eastAsia" w:ascii="仿宋" w:hAnsi="仿宋" w:eastAsia="仿宋" w:cs="仿宋"/>
          <w:color w:val="auto"/>
          <w:sz w:val="32"/>
          <w:szCs w:val="32"/>
          <w:shd w:val="clear" w:fill="FFFFFF"/>
        </w:rPr>
        <w:t>公开工作力量相对薄弱，</w:t>
      </w:r>
      <w:r>
        <w:rPr>
          <w:rFonts w:hint="eastAsia" w:ascii="仿宋" w:hAnsi="仿宋" w:eastAsia="仿宋" w:cs="仿宋"/>
          <w:color w:val="auto"/>
          <w:sz w:val="32"/>
          <w:szCs w:val="32"/>
          <w:shd w:val="clear" w:fill="FFFFFF"/>
          <w:lang w:eastAsia="zh-CN"/>
        </w:rPr>
        <w:t>同时</w:t>
      </w:r>
      <w:r>
        <w:rPr>
          <w:rFonts w:hint="eastAsia" w:ascii="仿宋_GB2312" w:hAnsi="仿宋_GB2312" w:eastAsia="仿宋_GB2312" w:cs="仿宋_GB2312"/>
          <w:color w:val="auto"/>
          <w:sz w:val="32"/>
          <w:szCs w:val="32"/>
          <w:lang w:val="en-US" w:eastAsia="zh-CN"/>
        </w:rPr>
        <w:t>缺乏更多更全面的培训，对相关业务掌握熟练程度不够，对部分信息内容是否符合公开、依申请公开回复要求把握不够准，政务公开</w:t>
      </w:r>
      <w:r>
        <w:rPr>
          <w:rFonts w:hint="eastAsia" w:ascii="仿宋" w:hAnsi="仿宋" w:eastAsia="仿宋" w:cs="仿宋"/>
          <w:color w:val="auto"/>
          <w:sz w:val="32"/>
          <w:szCs w:val="32"/>
          <w:shd w:val="clear" w:fill="FFFFFF"/>
          <w:lang w:eastAsia="zh-CN"/>
        </w:rPr>
        <w:t>全面综合</w:t>
      </w:r>
      <w:r>
        <w:rPr>
          <w:rFonts w:hint="eastAsia" w:ascii="仿宋" w:hAnsi="仿宋" w:eastAsia="仿宋" w:cs="仿宋"/>
          <w:color w:val="auto"/>
          <w:sz w:val="32"/>
          <w:szCs w:val="32"/>
          <w:shd w:val="clear" w:fill="FFFFFF"/>
        </w:rPr>
        <w:t>能力</w:t>
      </w:r>
      <w:r>
        <w:rPr>
          <w:rFonts w:hint="eastAsia" w:ascii="仿宋" w:hAnsi="仿宋" w:eastAsia="仿宋" w:cs="仿宋"/>
          <w:color w:val="auto"/>
          <w:sz w:val="32"/>
          <w:szCs w:val="32"/>
          <w:shd w:val="clear" w:fill="FFFFFF"/>
          <w:lang w:eastAsia="zh-CN"/>
        </w:rPr>
        <w:t>仍有提升空间</w:t>
      </w:r>
      <w:r>
        <w:rPr>
          <w:rFonts w:hint="eastAsia" w:ascii="仿宋" w:hAnsi="仿宋" w:eastAsia="仿宋" w:cs="仿宋"/>
          <w:color w:val="auto"/>
          <w:sz w:val="32"/>
          <w:szCs w:val="32"/>
          <w:shd w:val="clear" w:fill="FFFFFF"/>
        </w:rPr>
        <w:t>。</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default" w:ascii="Times New Roman" w:hAnsi="Times New Roman" w:eastAsia="宋体" w:cs="Times New Roman"/>
          <w:color w:val="auto"/>
          <w:sz w:val="32"/>
          <w:szCs w:val="32"/>
        </w:rPr>
      </w:pPr>
      <w:r>
        <w:rPr>
          <w:rFonts w:hint="eastAsia" w:ascii="黑体" w:hAnsi="宋体" w:eastAsia="黑体" w:cs="黑体"/>
          <w:color w:val="auto"/>
          <w:sz w:val="32"/>
          <w:szCs w:val="32"/>
          <w:shd w:val="clear" w:fill="FFFFFF"/>
          <w:lang w:eastAsia="zh-CN"/>
        </w:rPr>
        <w:t>三</w:t>
      </w:r>
      <w:r>
        <w:rPr>
          <w:rFonts w:ascii="黑体" w:hAnsi="宋体" w:eastAsia="黑体" w:cs="黑体"/>
          <w:color w:val="auto"/>
          <w:sz w:val="32"/>
          <w:szCs w:val="32"/>
          <w:shd w:val="clear" w:fill="FFFFFF"/>
        </w:rPr>
        <w:t>、改进措施</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default" w:ascii="Times New Roman" w:hAnsi="Times New Roman" w:eastAsia="宋体" w:cs="Times New Roman"/>
          <w:color w:val="auto"/>
          <w:sz w:val="21"/>
          <w:szCs w:val="21"/>
        </w:rPr>
      </w:pPr>
      <w:r>
        <w:rPr>
          <w:rFonts w:hint="eastAsia" w:ascii="仿宋" w:hAnsi="仿宋" w:eastAsia="仿宋" w:cs="仿宋"/>
          <w:color w:val="auto"/>
          <w:sz w:val="32"/>
          <w:szCs w:val="32"/>
          <w:shd w:val="clear" w:fill="FFFFFF"/>
        </w:rPr>
        <w:t>201</w:t>
      </w:r>
      <w:r>
        <w:rPr>
          <w:rFonts w:hint="eastAsia" w:ascii="仿宋" w:hAnsi="仿宋" w:eastAsia="仿宋" w:cs="仿宋"/>
          <w:color w:val="auto"/>
          <w:sz w:val="32"/>
          <w:szCs w:val="32"/>
          <w:shd w:val="clear" w:fill="FFFFFF"/>
          <w:lang w:val="en-US" w:eastAsia="zh-CN"/>
        </w:rPr>
        <w:t>9</w:t>
      </w:r>
      <w:r>
        <w:rPr>
          <w:rFonts w:hint="eastAsia" w:ascii="仿宋" w:hAnsi="仿宋" w:eastAsia="仿宋" w:cs="仿宋"/>
          <w:color w:val="auto"/>
          <w:sz w:val="32"/>
          <w:szCs w:val="32"/>
          <w:shd w:val="clear" w:fill="FFFFFF"/>
        </w:rPr>
        <w:t>年，结合</w:t>
      </w:r>
      <w:r>
        <w:rPr>
          <w:rFonts w:hint="eastAsia" w:ascii="仿宋" w:hAnsi="仿宋" w:eastAsia="仿宋" w:cs="仿宋"/>
          <w:color w:val="auto"/>
          <w:sz w:val="32"/>
          <w:szCs w:val="32"/>
          <w:shd w:val="clear" w:fill="FFFFFF"/>
          <w:lang w:eastAsia="zh-CN"/>
        </w:rPr>
        <w:t>政务服务办</w:t>
      </w:r>
      <w:r>
        <w:rPr>
          <w:rFonts w:hint="eastAsia" w:ascii="仿宋" w:hAnsi="仿宋" w:eastAsia="仿宋" w:cs="仿宋"/>
          <w:color w:val="auto"/>
          <w:sz w:val="32"/>
          <w:szCs w:val="32"/>
          <w:shd w:val="clear" w:fill="FFFFFF"/>
        </w:rPr>
        <w:t>工作实际，针对存在的问题与不足，将积极开展如下三项工作：</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default" w:ascii="Times New Roman" w:hAnsi="Times New Roman" w:eastAsia="宋体" w:cs="Times New Roman"/>
          <w:color w:val="auto"/>
          <w:sz w:val="21"/>
          <w:szCs w:val="21"/>
        </w:rPr>
      </w:pPr>
      <w:r>
        <w:rPr>
          <w:rFonts w:hint="eastAsia" w:ascii="仿宋" w:hAnsi="仿宋" w:eastAsia="仿宋" w:cs="仿宋"/>
          <w:color w:val="auto"/>
          <w:sz w:val="32"/>
          <w:szCs w:val="32"/>
          <w:shd w:val="clear" w:fill="FFFFFF"/>
        </w:rPr>
        <w:t>一是进一步加大政务公开主动公开力度，推进重点领域政务公开清单落实，对清单涉及信息“应公开、尽公开”。</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eastAsia" w:ascii="仿宋" w:hAnsi="仿宋" w:eastAsia="仿宋" w:cs="仿宋"/>
          <w:color w:val="auto"/>
          <w:sz w:val="32"/>
          <w:szCs w:val="32"/>
          <w:shd w:val="clear" w:fill="FFFFFF"/>
        </w:rPr>
      </w:pPr>
      <w:r>
        <w:rPr>
          <w:rFonts w:hint="eastAsia" w:ascii="仿宋" w:hAnsi="仿宋" w:eastAsia="仿宋" w:cs="仿宋"/>
          <w:color w:val="auto"/>
          <w:sz w:val="32"/>
          <w:szCs w:val="32"/>
          <w:shd w:val="clear" w:fill="FFFFFF"/>
          <w:lang w:eastAsia="zh-CN"/>
        </w:rPr>
        <w:t>二</w:t>
      </w:r>
      <w:r>
        <w:rPr>
          <w:rFonts w:hint="eastAsia" w:ascii="仿宋" w:hAnsi="仿宋" w:eastAsia="仿宋" w:cs="仿宋"/>
          <w:color w:val="auto"/>
          <w:sz w:val="32"/>
          <w:szCs w:val="32"/>
          <w:shd w:val="clear" w:fill="FFFFFF"/>
        </w:rPr>
        <w:t>是提升依申请公开工作水平。梳理汇总</w:t>
      </w:r>
      <w:r>
        <w:rPr>
          <w:rFonts w:hint="eastAsia" w:ascii="仿宋" w:hAnsi="仿宋" w:eastAsia="仿宋" w:cs="仿宋"/>
          <w:color w:val="auto"/>
          <w:sz w:val="32"/>
          <w:szCs w:val="32"/>
          <w:shd w:val="clear" w:fill="FFFFFF"/>
          <w:lang w:eastAsia="zh-CN"/>
        </w:rPr>
        <w:t>政务服务办</w:t>
      </w:r>
      <w:r>
        <w:rPr>
          <w:rFonts w:hint="eastAsia" w:ascii="仿宋" w:hAnsi="仿宋" w:eastAsia="仿宋" w:cs="仿宋"/>
          <w:color w:val="auto"/>
          <w:sz w:val="32"/>
          <w:szCs w:val="32"/>
          <w:shd w:val="clear" w:fill="FFFFFF"/>
        </w:rPr>
        <w:t>政府信息公开申请受理、办理、答复环节过程中的问题，</w:t>
      </w:r>
      <w:r>
        <w:rPr>
          <w:rFonts w:hint="eastAsia" w:ascii="仿宋" w:hAnsi="仿宋" w:eastAsia="仿宋" w:cs="仿宋"/>
          <w:color w:val="auto"/>
          <w:sz w:val="32"/>
          <w:szCs w:val="32"/>
          <w:shd w:val="clear" w:fill="FFFFFF"/>
          <w:lang w:eastAsia="zh-CN"/>
        </w:rPr>
        <w:t>汇总工作经验</w:t>
      </w:r>
      <w:r>
        <w:rPr>
          <w:rFonts w:hint="eastAsia" w:ascii="仿宋" w:hAnsi="仿宋" w:eastAsia="仿宋" w:cs="仿宋"/>
          <w:color w:val="auto"/>
          <w:sz w:val="32"/>
          <w:szCs w:val="32"/>
          <w:shd w:val="clear" w:fill="FFFFFF"/>
        </w:rPr>
        <w:t>，提升依法依规的工作水平。</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default" w:ascii="仿宋" w:hAnsi="仿宋" w:eastAsia="仿宋" w:cs="仿宋"/>
          <w:color w:val="auto"/>
          <w:sz w:val="32"/>
          <w:szCs w:val="32"/>
          <w:shd w:val="clear" w:fill="FFFFFF"/>
        </w:rPr>
      </w:pPr>
      <w:r>
        <w:rPr>
          <w:rFonts w:hint="eastAsia" w:ascii="仿宋" w:hAnsi="仿宋" w:eastAsia="仿宋" w:cs="仿宋"/>
          <w:color w:val="auto"/>
          <w:sz w:val="32"/>
          <w:szCs w:val="32"/>
          <w:shd w:val="clear" w:fill="FFFFFF"/>
          <w:lang w:eastAsia="zh-CN"/>
        </w:rPr>
        <w:t>三</w:t>
      </w:r>
      <w:r>
        <w:rPr>
          <w:rFonts w:hint="eastAsia" w:ascii="仿宋" w:hAnsi="仿宋" w:eastAsia="仿宋" w:cs="仿宋"/>
          <w:color w:val="auto"/>
          <w:sz w:val="32"/>
          <w:szCs w:val="32"/>
          <w:shd w:val="clear" w:fill="FFFFFF"/>
        </w:rPr>
        <w:t>是加强</w:t>
      </w:r>
      <w:r>
        <w:rPr>
          <w:rFonts w:hint="eastAsia" w:ascii="仿宋" w:hAnsi="仿宋" w:eastAsia="仿宋" w:cs="仿宋"/>
          <w:color w:val="auto"/>
          <w:sz w:val="32"/>
          <w:szCs w:val="32"/>
          <w:shd w:val="clear" w:fill="FFFFFF"/>
          <w:lang w:eastAsia="zh-CN"/>
        </w:rPr>
        <w:t>人员培训管理</w:t>
      </w:r>
      <w:r>
        <w:rPr>
          <w:rFonts w:hint="eastAsia" w:ascii="仿宋" w:hAnsi="仿宋" w:eastAsia="仿宋" w:cs="仿宋"/>
          <w:color w:val="auto"/>
          <w:sz w:val="32"/>
          <w:szCs w:val="32"/>
          <w:shd w:val="clear" w:fill="FFFFFF"/>
        </w:rPr>
        <w:t>。</w:t>
      </w:r>
      <w:r>
        <w:rPr>
          <w:rFonts w:hint="eastAsia" w:ascii="仿宋" w:hAnsi="仿宋" w:eastAsia="仿宋" w:cs="仿宋"/>
          <w:color w:val="auto"/>
          <w:sz w:val="32"/>
          <w:szCs w:val="32"/>
          <w:shd w:val="clear" w:fill="FFFFFF"/>
          <w:lang w:eastAsia="zh-CN"/>
        </w:rPr>
        <w:t>积极参加信息公开相关的学习培训</w:t>
      </w:r>
      <w:r>
        <w:rPr>
          <w:rFonts w:hint="eastAsia" w:ascii="仿宋" w:hAnsi="仿宋" w:eastAsia="仿宋" w:cs="仿宋"/>
          <w:color w:val="auto"/>
          <w:sz w:val="32"/>
          <w:szCs w:val="32"/>
          <w:shd w:val="clear" w:fill="FFFFFF"/>
        </w:rPr>
        <w:t>，</w:t>
      </w:r>
      <w:r>
        <w:rPr>
          <w:rFonts w:hint="eastAsia" w:ascii="仿宋" w:hAnsi="仿宋" w:eastAsia="仿宋" w:cs="仿宋"/>
          <w:color w:val="auto"/>
          <w:sz w:val="32"/>
          <w:szCs w:val="32"/>
          <w:shd w:val="clear" w:fill="FFFFFF"/>
          <w:lang w:eastAsia="zh-CN"/>
        </w:rPr>
        <w:t>进一步提升政务公开工作人员综合能力，严格</w:t>
      </w:r>
      <w:r>
        <w:rPr>
          <w:rFonts w:hint="eastAsia" w:ascii="仿宋" w:hAnsi="仿宋" w:eastAsia="仿宋" w:cs="仿宋"/>
          <w:color w:val="auto"/>
          <w:sz w:val="32"/>
          <w:szCs w:val="32"/>
          <w:shd w:val="clear" w:fill="FFFFFF"/>
        </w:rPr>
        <w:t>规范</w:t>
      </w:r>
      <w:r>
        <w:rPr>
          <w:rFonts w:hint="eastAsia" w:ascii="仿宋" w:hAnsi="仿宋" w:eastAsia="仿宋" w:cs="仿宋"/>
          <w:color w:val="auto"/>
          <w:sz w:val="32"/>
          <w:szCs w:val="32"/>
          <w:shd w:val="clear" w:fill="FFFFFF"/>
          <w:lang w:eastAsia="zh-CN"/>
        </w:rPr>
        <w:t>政府信息公开</w:t>
      </w:r>
      <w:r>
        <w:rPr>
          <w:rFonts w:hint="eastAsia" w:ascii="仿宋" w:hAnsi="仿宋" w:eastAsia="仿宋" w:cs="仿宋"/>
          <w:color w:val="auto"/>
          <w:sz w:val="32"/>
          <w:szCs w:val="32"/>
          <w:shd w:val="clear" w:fill="FFFFFF"/>
        </w:rPr>
        <w:t>工作流程</w:t>
      </w:r>
      <w:r>
        <w:rPr>
          <w:rFonts w:hint="eastAsia" w:ascii="仿宋" w:hAnsi="仿宋" w:eastAsia="仿宋" w:cs="仿宋"/>
          <w:color w:val="auto"/>
          <w:sz w:val="32"/>
          <w:szCs w:val="3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right="0" w:rightChars="0" w:firstLine="640"/>
        <w:jc w:val="center"/>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通州区政务服务管理办公室 </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right="0" w:rightChars="0" w:firstLine="640"/>
        <w:jc w:val="center"/>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2019年3月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2"/>
          <w:szCs w:val="32"/>
          <w:lang w:val="en-US" w:eastAsia="zh-CN"/>
        </w:rPr>
      </w:pPr>
    </w:p>
    <w:p>
      <w:pPr>
        <w:spacing w:line="560" w:lineRule="exact"/>
        <w:rPr>
          <w:rFonts w:ascii="黑体" w:eastAsia="黑体"/>
          <w:sz w:val="32"/>
          <w:szCs w:val="32"/>
        </w:rPr>
      </w:pPr>
      <w:r>
        <w:rPr>
          <w:rFonts w:hint="eastAsia" w:ascii="黑体" w:eastAsia="黑体"/>
          <w:sz w:val="32"/>
          <w:szCs w:val="32"/>
        </w:rPr>
        <w:t>附件1</w:t>
      </w:r>
    </w:p>
    <w:tbl>
      <w:tblPr>
        <w:tblStyle w:val="9"/>
        <w:tblW w:w="9555" w:type="dxa"/>
        <w:jc w:val="center"/>
        <w:tblInd w:w="93" w:type="dxa"/>
        <w:tblLayout w:type="fixed"/>
        <w:tblCellMar>
          <w:top w:w="0" w:type="dxa"/>
          <w:left w:w="108" w:type="dxa"/>
          <w:bottom w:w="0" w:type="dxa"/>
          <w:right w:w="108" w:type="dxa"/>
        </w:tblCellMar>
      </w:tblPr>
      <w:tblGrid>
        <w:gridCol w:w="7470"/>
        <w:gridCol w:w="285"/>
        <w:gridCol w:w="475"/>
        <w:gridCol w:w="245"/>
        <w:gridCol w:w="1080"/>
      </w:tblGrid>
      <w:tr>
        <w:tblPrEx>
          <w:tblLayout w:type="fixed"/>
          <w:tblCellMar>
            <w:top w:w="0" w:type="dxa"/>
            <w:left w:w="108" w:type="dxa"/>
            <w:bottom w:w="0" w:type="dxa"/>
            <w:right w:w="108" w:type="dxa"/>
          </w:tblCellMar>
        </w:tblPrEx>
        <w:trPr>
          <w:trHeight w:val="90" w:hRule="atLeast"/>
          <w:jc w:val="center"/>
        </w:trPr>
        <w:tc>
          <w:tcPr>
            <w:tcW w:w="7470" w:type="dxa"/>
            <w:tcBorders>
              <w:top w:val="nil"/>
              <w:left w:val="nil"/>
              <w:bottom w:val="nil"/>
              <w:right w:val="nil"/>
            </w:tcBorders>
            <w:shd w:val="clear" w:color="FFFFFF" w:fill="auto"/>
            <w:vAlign w:val="center"/>
          </w:tcPr>
          <w:p>
            <w:pPr>
              <w:widowControl/>
              <w:jc w:val="left"/>
              <w:rPr>
                <w:rFonts w:ascii="宋体" w:hAnsi="宋体" w:cs="宋体"/>
                <w:color w:val="000000"/>
                <w:kern w:val="0"/>
                <w:sz w:val="22"/>
                <w:szCs w:val="22"/>
              </w:rPr>
            </w:pPr>
          </w:p>
        </w:tc>
        <w:tc>
          <w:tcPr>
            <w:tcW w:w="760" w:type="dxa"/>
            <w:gridSpan w:val="2"/>
            <w:tcBorders>
              <w:top w:val="nil"/>
              <w:left w:val="nil"/>
              <w:bottom w:val="nil"/>
              <w:right w:val="nil"/>
            </w:tcBorders>
            <w:shd w:val="clear" w:color="FFFFFF" w:fill="auto"/>
            <w:vAlign w:val="center"/>
          </w:tcPr>
          <w:p>
            <w:pPr>
              <w:widowControl/>
              <w:jc w:val="center"/>
              <w:rPr>
                <w:rFonts w:ascii="宋体" w:hAnsi="宋体" w:cs="宋体"/>
                <w:color w:val="000000"/>
                <w:kern w:val="0"/>
                <w:sz w:val="22"/>
                <w:szCs w:val="22"/>
              </w:rPr>
            </w:pPr>
          </w:p>
        </w:tc>
        <w:tc>
          <w:tcPr>
            <w:tcW w:w="1325" w:type="dxa"/>
            <w:gridSpan w:val="2"/>
            <w:tcBorders>
              <w:top w:val="nil"/>
              <w:left w:val="nil"/>
              <w:bottom w:val="nil"/>
              <w:right w:val="nil"/>
            </w:tcBorders>
            <w:shd w:val="clear" w:color="FFFFFF" w:fill="auto"/>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jc w:val="center"/>
        </w:trPr>
        <w:tc>
          <w:tcPr>
            <w:tcW w:w="9555" w:type="dxa"/>
            <w:gridSpan w:val="5"/>
            <w:tcBorders>
              <w:top w:val="nil"/>
              <w:left w:val="nil"/>
              <w:bottom w:val="nil"/>
              <w:right w:val="nil"/>
            </w:tcBorders>
            <w:shd w:val="clear" w:color="FFFFFF" w:fill="auto"/>
            <w:vAlign w:val="center"/>
          </w:tcPr>
          <w:p>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tblPrEx>
          <w:tblLayout w:type="fixed"/>
          <w:tblCellMar>
            <w:top w:w="0" w:type="dxa"/>
            <w:left w:w="108" w:type="dxa"/>
            <w:bottom w:w="0" w:type="dxa"/>
            <w:right w:w="108" w:type="dxa"/>
          </w:tblCellMar>
        </w:tblPrEx>
        <w:trPr>
          <w:trHeight w:val="285" w:hRule="atLeast"/>
          <w:jc w:val="center"/>
        </w:trPr>
        <w:tc>
          <w:tcPr>
            <w:tcW w:w="9555" w:type="dxa"/>
            <w:gridSpan w:val="5"/>
            <w:tcBorders>
              <w:top w:val="nil"/>
              <w:left w:val="nil"/>
              <w:bottom w:val="nil"/>
              <w:right w:val="nil"/>
            </w:tcBorders>
            <w:shd w:val="clear" w:color="FFFFFF" w:fill="auto"/>
            <w:vAlign w:val="center"/>
          </w:tcPr>
          <w:p>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 xml:space="preserve">（   </w:t>
            </w:r>
            <w:r>
              <w:rPr>
                <w:rFonts w:hint="eastAsia" w:ascii="楷体_GB2312" w:hAnsi="宋体" w:eastAsia="楷体_GB2312" w:cs="宋体"/>
                <w:kern w:val="0"/>
                <w:sz w:val="32"/>
                <w:szCs w:val="32"/>
                <w:lang w:val="en-US" w:eastAsia="zh-CN"/>
              </w:rPr>
              <w:t>2018</w:t>
            </w:r>
            <w:r>
              <w:rPr>
                <w:rFonts w:hint="eastAsia" w:ascii="楷体_GB2312" w:hAnsi="宋体" w:eastAsia="楷体_GB2312" w:cs="宋体"/>
                <w:kern w:val="0"/>
                <w:sz w:val="32"/>
                <w:szCs w:val="32"/>
              </w:rPr>
              <w:t xml:space="preserve">   年度）</w:t>
            </w:r>
          </w:p>
        </w:tc>
      </w:tr>
      <w:tr>
        <w:tblPrEx>
          <w:tblLayout w:type="fixed"/>
          <w:tblCellMar>
            <w:top w:w="0" w:type="dxa"/>
            <w:left w:w="108" w:type="dxa"/>
            <w:bottom w:w="0" w:type="dxa"/>
            <w:right w:w="108" w:type="dxa"/>
          </w:tblCellMar>
        </w:tblPrEx>
        <w:trPr>
          <w:trHeight w:val="405" w:hRule="atLeast"/>
          <w:jc w:val="center"/>
        </w:trPr>
        <w:tc>
          <w:tcPr>
            <w:tcW w:w="7755" w:type="dxa"/>
            <w:gridSpan w:val="2"/>
            <w:tcBorders>
              <w:top w:val="nil"/>
              <w:left w:val="nil"/>
              <w:bottom w:val="nil"/>
              <w:right w:val="nil"/>
            </w:tcBorders>
            <w:shd w:val="clear" w:color="FFFFFF" w:fill="auto"/>
            <w:vAlign w:val="center"/>
          </w:tcPr>
          <w:p>
            <w:pPr>
              <w:widowControl/>
              <w:jc w:val="left"/>
              <w:rPr>
                <w:rFonts w:ascii="宋体" w:hAnsi="宋体" w:cs="宋体"/>
                <w:color w:val="000000"/>
                <w:kern w:val="0"/>
                <w:sz w:val="22"/>
                <w:szCs w:val="22"/>
              </w:rPr>
            </w:pPr>
          </w:p>
        </w:tc>
        <w:tc>
          <w:tcPr>
            <w:tcW w:w="720" w:type="dxa"/>
            <w:gridSpan w:val="2"/>
            <w:tcBorders>
              <w:top w:val="nil"/>
              <w:left w:val="nil"/>
              <w:bottom w:val="nil"/>
              <w:right w:val="nil"/>
            </w:tcBorders>
            <w:shd w:val="clear" w:color="FFFFFF" w:fill="auto"/>
            <w:vAlign w:val="center"/>
          </w:tcPr>
          <w:p>
            <w:pPr>
              <w:widowControl/>
              <w:jc w:val="center"/>
              <w:rPr>
                <w:rFonts w:ascii="宋体" w:hAnsi="宋体" w:cs="宋体"/>
                <w:color w:val="000000"/>
                <w:kern w:val="0"/>
                <w:sz w:val="22"/>
                <w:szCs w:val="22"/>
              </w:rPr>
            </w:pPr>
          </w:p>
        </w:tc>
        <w:tc>
          <w:tcPr>
            <w:tcW w:w="1080" w:type="dxa"/>
            <w:tcBorders>
              <w:top w:val="nil"/>
              <w:left w:val="nil"/>
              <w:bottom w:val="nil"/>
              <w:right w:val="nil"/>
            </w:tcBorders>
            <w:shd w:val="clear" w:color="FFFFFF" w:fill="auto"/>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300" w:hRule="atLeast"/>
          <w:jc w:val="center"/>
        </w:trPr>
        <w:tc>
          <w:tcPr>
            <w:tcW w:w="7755" w:type="dxa"/>
            <w:gridSpan w:val="2"/>
            <w:tcBorders>
              <w:top w:val="nil"/>
              <w:left w:val="nil"/>
              <w:bottom w:val="single" w:color="auto" w:sz="8" w:space="0"/>
              <w:right w:val="nil"/>
            </w:tcBorders>
            <w:shd w:val="clear" w:color="FFFFFF"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填报单位（盖章）：</w:t>
            </w:r>
          </w:p>
        </w:tc>
        <w:tc>
          <w:tcPr>
            <w:tcW w:w="720" w:type="dxa"/>
            <w:gridSpan w:val="2"/>
            <w:tcBorders>
              <w:top w:val="nil"/>
              <w:left w:val="nil"/>
              <w:bottom w:val="single" w:color="auto" w:sz="8" w:space="0"/>
              <w:right w:val="nil"/>
            </w:tcBorders>
            <w:shd w:val="clear" w:color="FFFFFF"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080" w:type="dxa"/>
            <w:tcBorders>
              <w:top w:val="nil"/>
              <w:left w:val="nil"/>
              <w:bottom w:val="single" w:color="auto" w:sz="8" w:space="0"/>
              <w:right w:val="nil"/>
            </w:tcBorders>
            <w:shd w:val="clear" w:color="FFFFFF"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gridSpan w:val="2"/>
            <w:tcBorders>
              <w:top w:val="single" w:color="auto" w:sz="8" w:space="0"/>
              <w:left w:val="nil"/>
              <w:bottom w:val="single" w:color="auto" w:sz="4" w:space="0"/>
              <w:right w:val="single" w:color="auto" w:sz="4" w:space="0"/>
            </w:tcBorders>
            <w:shd w:val="clear" w:color="auto" w:fill="auto"/>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gridSpan w:val="2"/>
            <w:tcBorders>
              <w:top w:val="nil"/>
              <w:left w:val="nil"/>
              <w:bottom w:val="single" w:color="auto" w:sz="4" w:space="0"/>
              <w:right w:val="single" w:color="auto" w:sz="4" w:space="0"/>
              <w:tr2bl w:val="single" w:color="auto" w:sz="4" w:space="0"/>
            </w:tcBorders>
            <w:shd w:val="clear" w:color="auto" w:fill="auto"/>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660"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31</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nil"/>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Layout w:type="fixed"/>
          <w:tblCellMar>
            <w:top w:w="0" w:type="dxa"/>
            <w:left w:w="108" w:type="dxa"/>
            <w:bottom w:w="0" w:type="dxa"/>
            <w:right w:w="108" w:type="dxa"/>
          </w:tblCellMar>
        </w:tblPrEx>
        <w:trPr>
          <w:trHeight w:val="660" w:hRule="atLeast"/>
          <w:jc w:val="center"/>
        </w:trPr>
        <w:tc>
          <w:tcPr>
            <w:tcW w:w="7755"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2</w:t>
            </w:r>
          </w:p>
        </w:tc>
      </w:tr>
      <w:tr>
        <w:tblPrEx>
          <w:tblLayout w:type="fixed"/>
          <w:tblCellMar>
            <w:top w:w="0" w:type="dxa"/>
            <w:left w:w="108" w:type="dxa"/>
            <w:bottom w:w="0" w:type="dxa"/>
            <w:right w:w="108" w:type="dxa"/>
          </w:tblCellMar>
        </w:tblPrEx>
        <w:trPr>
          <w:trHeight w:val="60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2</w:t>
            </w:r>
          </w:p>
        </w:tc>
      </w:tr>
      <w:tr>
        <w:tblPrEx>
          <w:tblLayout w:type="fixed"/>
          <w:tblCellMar>
            <w:top w:w="0" w:type="dxa"/>
            <w:left w:w="108" w:type="dxa"/>
            <w:bottom w:w="0" w:type="dxa"/>
            <w:right w:w="108" w:type="dxa"/>
          </w:tblCellMar>
        </w:tblPrEx>
        <w:trPr>
          <w:trHeight w:val="64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57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58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78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55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69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9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52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58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67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gridSpan w:val="2"/>
            <w:tcBorders>
              <w:top w:val="single" w:color="auto" w:sz="8" w:space="0"/>
              <w:left w:val="single" w:color="auto" w:sz="4"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both"/>
              <w:rPr>
                <w:rFonts w:ascii="仿宋_GB2312" w:hAnsi="宋体" w:eastAsia="仿宋_GB2312" w:cs="宋体"/>
                <w:kern w:val="0"/>
                <w:sz w:val="24"/>
              </w:rPr>
            </w:pPr>
            <w:r>
              <w:rPr>
                <w:rFonts w:hint="eastAsia" w:ascii="仿宋_GB2312" w:hAnsi="宋体" w:eastAsia="仿宋_GB2312" w:cs="宋体"/>
                <w:kern w:val="0"/>
                <w:sz w:val="24"/>
                <w:lang w:val="en-US" w:eastAsia="zh-CN"/>
              </w:rPr>
              <w:t xml:space="preserve">  0</w:t>
            </w: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gridSpan w:val="2"/>
            <w:tcBorders>
              <w:top w:val="single" w:color="auto" w:sz="8" w:space="0"/>
              <w:left w:val="nil"/>
              <w:bottom w:val="single" w:color="auto" w:sz="4" w:space="0"/>
              <w:right w:val="single" w:color="auto" w:sz="4" w:space="0"/>
              <w:tr2bl w:val="single" w:color="auto" w:sz="4" w:space="0"/>
            </w:tcBorders>
            <w:shd w:val="clear" w:color="auto" w:fill="auto"/>
            <w:vAlign w:val="center"/>
          </w:tcPr>
          <w:p>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188</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gridSpan w:val="2"/>
            <w:tcBorders>
              <w:top w:val="nil"/>
              <w:left w:val="nil"/>
              <w:bottom w:val="single" w:color="auto" w:sz="4" w:space="0"/>
              <w:right w:val="single" w:color="auto" w:sz="4" w:space="0"/>
              <w:tr2bl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66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gridSpan w:val="2"/>
            <w:tcBorders>
              <w:top w:val="nil"/>
              <w:left w:val="nil"/>
              <w:bottom w:val="single" w:color="auto" w:sz="4" w:space="0"/>
              <w:right w:val="single" w:color="auto" w:sz="4" w:space="0"/>
              <w:tr2bl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gridSpan w:val="2"/>
            <w:tcBorders>
              <w:top w:val="nil"/>
              <w:left w:val="nil"/>
              <w:bottom w:val="single" w:color="auto" w:sz="4" w:space="0"/>
              <w:right w:val="single" w:color="auto" w:sz="4" w:space="0"/>
              <w:tr2bl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3</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3</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hint="eastAsia" w:ascii="仿宋_GB2312" w:hAnsi="宋体" w:eastAsia="仿宋_GB2312" w:cs="宋体"/>
                <w:kern w:val="0"/>
                <w:sz w:val="24"/>
                <w:lang w:eastAsia="zh-CN"/>
              </w:rPr>
            </w:pPr>
            <w:r>
              <w:rPr>
                <w:rFonts w:hint="eastAsia" w:ascii="仿宋_GB2312" w:hAnsi="宋体" w:eastAsia="仿宋_GB2312" w:cs="宋体"/>
                <w:kern w:val="0"/>
                <w:sz w:val="24"/>
                <w:lang w:val="en-US" w:eastAsia="zh-CN"/>
              </w:rPr>
              <w:t xml:space="preserve">  3</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2</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1</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万元</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gridSpan w:val="2"/>
            <w:tcBorders>
              <w:top w:val="nil"/>
              <w:left w:val="nil"/>
              <w:bottom w:val="single" w:color="auto" w:sz="4" w:space="0"/>
              <w:right w:val="single" w:color="auto" w:sz="4" w:space="0"/>
              <w:tr2bl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vAlign w:val="center"/>
          </w:tcPr>
          <w:p>
            <w:pPr>
              <w:widowControl/>
              <w:jc w:val="both"/>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vAlign w:val="center"/>
          </w:tcPr>
          <w:p>
            <w:pPr>
              <w:widowControl/>
              <w:jc w:val="both"/>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vAlign w:val="center"/>
          </w:tcPr>
          <w:p>
            <w:pPr>
              <w:widowControl/>
              <w:jc w:val="both"/>
              <w:rPr>
                <w:rFonts w:hint="eastAsia" w:ascii="仿宋_GB2312" w:hAnsi="宋体" w:eastAsia="仿宋_GB2312" w:cs="宋体"/>
                <w:kern w:val="0"/>
                <w:sz w:val="24"/>
                <w:lang w:eastAsia="zh-CN"/>
              </w:rPr>
            </w:pPr>
            <w:r>
              <w:rPr>
                <w:rFonts w:hint="eastAsia" w:ascii="仿宋_GB2312" w:hAnsi="宋体" w:eastAsia="仿宋_GB2312" w:cs="宋体"/>
                <w:kern w:val="0"/>
                <w:sz w:val="24"/>
                <w:lang w:val="en-US" w:eastAsia="zh-CN"/>
              </w:rPr>
              <w:t xml:space="preserve">  1</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vAlign w:val="center"/>
          </w:tcPr>
          <w:p>
            <w:pPr>
              <w:widowControl/>
              <w:jc w:val="both"/>
              <w:rPr>
                <w:rFonts w:ascii="仿宋_GB2312" w:hAnsi="宋体" w:eastAsia="仿宋_GB2312" w:cs="宋体"/>
                <w:kern w:val="0"/>
                <w:sz w:val="24"/>
              </w:rPr>
            </w:pPr>
            <w:r>
              <w:rPr>
                <w:rFonts w:hint="eastAsia" w:ascii="仿宋_GB2312" w:hAnsi="宋体" w:eastAsia="仿宋_GB2312" w:cs="宋体"/>
                <w:kern w:val="0"/>
                <w:sz w:val="24"/>
                <w:lang w:val="en-US" w:eastAsia="zh-CN"/>
              </w:rPr>
              <w:t xml:space="preserve">  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vAlign w:val="center"/>
          </w:tcPr>
          <w:p>
            <w:pPr>
              <w:widowControl/>
              <w:jc w:val="both"/>
              <w:rPr>
                <w:rFonts w:hint="eastAsia" w:ascii="仿宋_GB2312" w:hAnsi="宋体" w:eastAsia="仿宋_GB2312" w:cs="宋体"/>
                <w:kern w:val="0"/>
                <w:sz w:val="24"/>
                <w:lang w:eastAsia="zh-CN"/>
              </w:rPr>
            </w:pPr>
            <w:r>
              <w:rPr>
                <w:rFonts w:hint="eastAsia" w:ascii="仿宋_GB2312" w:hAnsi="宋体" w:eastAsia="仿宋_GB2312" w:cs="宋体"/>
                <w:kern w:val="0"/>
                <w:sz w:val="24"/>
                <w:lang w:val="en-US" w:eastAsia="zh-CN"/>
              </w:rPr>
              <w:t xml:space="preserve">  1</w:t>
            </w:r>
          </w:p>
        </w:tc>
      </w:tr>
      <w:tr>
        <w:tblPrEx>
          <w:tblLayout w:type="fixed"/>
          <w:tblCellMar>
            <w:top w:w="0" w:type="dxa"/>
            <w:left w:w="108" w:type="dxa"/>
            <w:bottom w:w="0" w:type="dxa"/>
            <w:right w:w="108" w:type="dxa"/>
          </w:tblCellMar>
        </w:tblPrEx>
        <w:trPr>
          <w:trHeight w:val="66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gridSpan w:val="2"/>
            <w:tcBorders>
              <w:top w:val="single" w:color="auto" w:sz="4" w:space="0"/>
              <w:left w:val="nil"/>
              <w:bottom w:val="single" w:color="auto" w:sz="4" w:space="0"/>
              <w:right w:val="single" w:color="auto" w:sz="4" w:space="0"/>
              <w:tr2bl w:val="single" w:color="auto" w:sz="4" w:space="0"/>
            </w:tcBorders>
            <w:shd w:val="clear" w:color="auto" w:fill="auto"/>
            <w:vAlign w:val="center"/>
          </w:tcPr>
          <w:p>
            <w:pPr>
              <w:widowControl/>
              <w:jc w:val="center"/>
              <w:rPr>
                <w:rFonts w:ascii="宋体" w:hAnsi="宋体" w:cs="宋体"/>
                <w:color w:val="000000"/>
                <w:kern w:val="0"/>
                <w:sz w:val="24"/>
              </w:rPr>
            </w:pPr>
          </w:p>
        </w:tc>
        <w:tc>
          <w:tcPr>
            <w:tcW w:w="1080"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r>
        <w:tblPrEx>
          <w:tblLayout w:type="fixed"/>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8"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gridSpan w:val="2"/>
            <w:tcBorders>
              <w:top w:val="nil"/>
              <w:left w:val="nil"/>
              <w:bottom w:val="single" w:color="auto" w:sz="8"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r>
              <w:rPr>
                <w:rFonts w:hint="eastAsia" w:ascii="仿宋_GB2312" w:hAnsi="宋体" w:eastAsia="仿宋_GB2312" w:cs="宋体"/>
                <w:kern w:val="0"/>
                <w:sz w:val="24"/>
                <w:lang w:val="en-US" w:eastAsia="zh-CN"/>
              </w:rPr>
              <w:t>0</w:t>
            </w:r>
          </w:p>
        </w:tc>
      </w:tr>
    </w:tbl>
    <w:p>
      <w:pPr>
        <w:spacing w:line="560" w:lineRule="exact"/>
        <w:rPr>
          <w:rFonts w:ascii="仿宋_GB2312" w:eastAsia="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2"/>
          <w:szCs w:val="32"/>
          <w:lang w:val="en-US" w:eastAsia="zh-CN"/>
        </w:rPr>
      </w:pPr>
      <w:bookmarkStart w:id="0" w:name="_GoBack"/>
      <w:bookmarkEnd w:id="0"/>
    </w:p>
    <w:sectPr>
      <w:headerReference r:id="rId3" w:type="default"/>
      <w:footerReference r:id="rId5" w:type="default"/>
      <w:headerReference r:id="rId4" w:type="even"/>
      <w:footerReference r:id="rId6" w:type="even"/>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小标宋">
    <w:altName w:val="微软雅黑"/>
    <w:panose1 w:val="03000509000000000000"/>
    <w:charset w:val="86"/>
    <w:family w:val="script"/>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Calibri Light">
    <w:altName w:val="Calibri"/>
    <w:panose1 w:val="020F0302020204030204"/>
    <w:charset w:val="00"/>
    <w:family w:val="swiss"/>
    <w:pitch w:val="default"/>
    <w:sig w:usb0="00000000" w:usb1="00000000" w:usb2="00000000" w:usb3="00000000" w:csb0="0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5C747"/>
    <w:multiLevelType w:val="singleLevel"/>
    <w:tmpl w:val="5875C747"/>
    <w:lvl w:ilvl="0" w:tentative="0">
      <w:start w:val="1"/>
      <w:numFmt w:val="chineseCounting"/>
      <w:suff w:val="nothing"/>
      <w:lvlText w:val="%1、"/>
      <w:lvlJc w:val="left"/>
    </w:lvl>
  </w:abstractNum>
  <w:abstractNum w:abstractNumId="1">
    <w:nsid w:val="5875CA58"/>
    <w:multiLevelType w:val="singleLevel"/>
    <w:tmpl w:val="5875CA58"/>
    <w:lvl w:ilvl="0" w:tentative="0">
      <w:start w:val="1"/>
      <w:numFmt w:val="chineseCounting"/>
      <w:suff w:val="nothing"/>
      <w:lvlText w:val="（%1）"/>
      <w:lvlJc w:val="left"/>
    </w:lvl>
  </w:abstractNum>
  <w:abstractNum w:abstractNumId="2">
    <w:nsid w:val="5875D5FA"/>
    <w:multiLevelType w:val="singleLevel"/>
    <w:tmpl w:val="5875D5FA"/>
    <w:lvl w:ilvl="0" w:tentative="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310D30"/>
    <w:rsid w:val="00067AE5"/>
    <w:rsid w:val="013B7261"/>
    <w:rsid w:val="016C2E25"/>
    <w:rsid w:val="02241CBD"/>
    <w:rsid w:val="02A66A62"/>
    <w:rsid w:val="02B24011"/>
    <w:rsid w:val="02E46C35"/>
    <w:rsid w:val="03062110"/>
    <w:rsid w:val="046B65A2"/>
    <w:rsid w:val="04D54DF8"/>
    <w:rsid w:val="055D20F0"/>
    <w:rsid w:val="05AB077A"/>
    <w:rsid w:val="079B7750"/>
    <w:rsid w:val="08237273"/>
    <w:rsid w:val="0A2F726C"/>
    <w:rsid w:val="0CC70973"/>
    <w:rsid w:val="0CF974AB"/>
    <w:rsid w:val="0DB2131B"/>
    <w:rsid w:val="0DFF663A"/>
    <w:rsid w:val="0F5F0309"/>
    <w:rsid w:val="10274017"/>
    <w:rsid w:val="10292A80"/>
    <w:rsid w:val="110A5236"/>
    <w:rsid w:val="11387A17"/>
    <w:rsid w:val="115E4C68"/>
    <w:rsid w:val="11B67363"/>
    <w:rsid w:val="11ED48AE"/>
    <w:rsid w:val="12DE4BD7"/>
    <w:rsid w:val="136B06F8"/>
    <w:rsid w:val="14312922"/>
    <w:rsid w:val="1541526B"/>
    <w:rsid w:val="161308AA"/>
    <w:rsid w:val="18055A8B"/>
    <w:rsid w:val="184E72BD"/>
    <w:rsid w:val="18573070"/>
    <w:rsid w:val="188E31CB"/>
    <w:rsid w:val="1C191353"/>
    <w:rsid w:val="1EF04C19"/>
    <w:rsid w:val="20AC1D57"/>
    <w:rsid w:val="20B240E1"/>
    <w:rsid w:val="22506F9F"/>
    <w:rsid w:val="26A348B4"/>
    <w:rsid w:val="26F4268D"/>
    <w:rsid w:val="27477207"/>
    <w:rsid w:val="27F14A86"/>
    <w:rsid w:val="29310D30"/>
    <w:rsid w:val="2A35789D"/>
    <w:rsid w:val="2AB52A64"/>
    <w:rsid w:val="2B17379A"/>
    <w:rsid w:val="2C7D025F"/>
    <w:rsid w:val="2D6451D2"/>
    <w:rsid w:val="2E024139"/>
    <w:rsid w:val="30455712"/>
    <w:rsid w:val="320979F5"/>
    <w:rsid w:val="33B42E15"/>
    <w:rsid w:val="364D2B25"/>
    <w:rsid w:val="382E21D1"/>
    <w:rsid w:val="3ABA5493"/>
    <w:rsid w:val="3AD200E8"/>
    <w:rsid w:val="3AFF3AE2"/>
    <w:rsid w:val="3F594FC0"/>
    <w:rsid w:val="4074572D"/>
    <w:rsid w:val="417E7621"/>
    <w:rsid w:val="41F11424"/>
    <w:rsid w:val="42D94336"/>
    <w:rsid w:val="43932D65"/>
    <w:rsid w:val="43C877AA"/>
    <w:rsid w:val="43D70E05"/>
    <w:rsid w:val="44FA0532"/>
    <w:rsid w:val="45073E91"/>
    <w:rsid w:val="45563E2B"/>
    <w:rsid w:val="4796301B"/>
    <w:rsid w:val="48784A71"/>
    <w:rsid w:val="492A6565"/>
    <w:rsid w:val="495F2E69"/>
    <w:rsid w:val="499E6958"/>
    <w:rsid w:val="49D632B4"/>
    <w:rsid w:val="4B326FFA"/>
    <w:rsid w:val="4C9C35B9"/>
    <w:rsid w:val="4CC12F70"/>
    <w:rsid w:val="4D221198"/>
    <w:rsid w:val="4DB9307B"/>
    <w:rsid w:val="4E196765"/>
    <w:rsid w:val="4FD73124"/>
    <w:rsid w:val="50BE12D3"/>
    <w:rsid w:val="515A5B15"/>
    <w:rsid w:val="54CA6DA1"/>
    <w:rsid w:val="563C689B"/>
    <w:rsid w:val="56517AC5"/>
    <w:rsid w:val="56ED613F"/>
    <w:rsid w:val="581A5943"/>
    <w:rsid w:val="5A9374B2"/>
    <w:rsid w:val="5C3412AA"/>
    <w:rsid w:val="5C84759B"/>
    <w:rsid w:val="5CBF6DAB"/>
    <w:rsid w:val="5F4A4A1F"/>
    <w:rsid w:val="5F69442F"/>
    <w:rsid w:val="616A0694"/>
    <w:rsid w:val="61FA057F"/>
    <w:rsid w:val="61FD4779"/>
    <w:rsid w:val="62BE2F70"/>
    <w:rsid w:val="644A4A95"/>
    <w:rsid w:val="64F01451"/>
    <w:rsid w:val="674160FD"/>
    <w:rsid w:val="69366EE0"/>
    <w:rsid w:val="6A650584"/>
    <w:rsid w:val="6C9B03C4"/>
    <w:rsid w:val="700E39FC"/>
    <w:rsid w:val="7063512D"/>
    <w:rsid w:val="707B3D63"/>
    <w:rsid w:val="73E62EAD"/>
    <w:rsid w:val="773F71EA"/>
    <w:rsid w:val="78B25893"/>
    <w:rsid w:val="7B902721"/>
    <w:rsid w:val="7D24533E"/>
    <w:rsid w:val="7FF618B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FollowedHyperlink"/>
    <w:basedOn w:val="5"/>
    <w:qFormat/>
    <w:uiPriority w:val="0"/>
    <w:rPr>
      <w:color w:val="333333"/>
      <w:u w:val="none"/>
    </w:rPr>
  </w:style>
  <w:style w:type="character" w:styleId="7">
    <w:name w:val="Emphasis"/>
    <w:basedOn w:val="5"/>
    <w:qFormat/>
    <w:uiPriority w:val="0"/>
  </w:style>
  <w:style w:type="character" w:styleId="8">
    <w:name w:val="Hyperlink"/>
    <w:basedOn w:val="5"/>
    <w:qFormat/>
    <w:uiPriority w:val="0"/>
    <w:rPr>
      <w:color w:val="333333"/>
      <w:u w:val="none"/>
    </w:rPr>
  </w:style>
  <w:style w:type="character" w:customStyle="1" w:styleId="10">
    <w:name w:val="jiuc"/>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wl</Company>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2017-01-11T05:26:00Z</dcterms:created>
  <dc:creator>Administrator</dc:creator>
  <cp:lastModifiedBy>Administrator</cp:lastModifiedBy>
  <cp:lastPrinted>2019-01-29T03:19:00Z</cp:lastPrinted>
  <dcterms:modified xsi:type="dcterms:W3CDTF">2019-03-19T08:12:17Z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