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left"/>
        <w:rPr>
          <w:rFonts w:ascii="Calibri" w:hAnsi="Calibri" w:cs="Calibri"/>
          <w:i w:val="0"/>
          <w:caps w:val="0"/>
          <w:color w:val="000000"/>
          <w:spacing w:val="0"/>
          <w:sz w:val="21"/>
          <w:szCs w:val="21"/>
        </w:rPr>
      </w:pPr>
      <w:r>
        <w:rPr>
          <w:rFonts w:ascii="微软雅黑" w:hAnsi="微软雅黑" w:eastAsia="微软雅黑" w:cs="微软雅黑"/>
          <w:i w:val="0"/>
          <w:caps w:val="0"/>
          <w:color w:val="404040"/>
          <w:spacing w:val="0"/>
          <w:sz w:val="30"/>
          <w:szCs w:val="30"/>
          <w:bdr w:val="none" w:color="auto" w:sz="0" w:space="0"/>
        </w:rPr>
        <w:t>  </w:t>
      </w:r>
      <w:r>
        <w:rPr>
          <w:rFonts w:ascii="仿宋" w:hAnsi="仿宋" w:eastAsia="仿宋" w:cs="仿宋"/>
          <w:i w:val="0"/>
          <w:caps w:val="0"/>
          <w:color w:val="000000"/>
          <w:spacing w:val="8"/>
          <w:sz w:val="30"/>
          <w:szCs w:val="30"/>
          <w:bdr w:val="none" w:color="auto" w:sz="0" w:space="0"/>
        </w:rPr>
        <w:t>依据《中华人民共和国政府信息公开条例》</w:t>
      </w:r>
      <w:r>
        <w:rPr>
          <w:rFonts w:hint="eastAsia" w:ascii="仿宋" w:hAnsi="仿宋" w:eastAsia="仿宋" w:cs="仿宋"/>
          <w:i w:val="0"/>
          <w:caps w:val="0"/>
          <w:color w:val="000000"/>
          <w:spacing w:val="8"/>
          <w:sz w:val="30"/>
          <w:szCs w:val="30"/>
          <w:bdr w:val="none" w:color="auto" w:sz="0" w:space="0"/>
        </w:rPr>
        <w:t>(以下简称《政府信息公开条例》)第五十条规定，编制本报告。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2"/>
        <w:jc w:val="left"/>
        <w:rPr>
          <w:rFonts w:hint="default" w:ascii="Calibri" w:hAnsi="Calibri" w:cs="Calibri"/>
          <w:i w:val="0"/>
          <w:caps w:val="0"/>
          <w:color w:val="000000"/>
          <w:spacing w:val="0"/>
          <w:sz w:val="21"/>
          <w:szCs w:val="21"/>
        </w:rPr>
      </w:pPr>
      <w:r>
        <w:rPr>
          <w:rFonts w:ascii="黑体" w:hAnsi="宋体" w:eastAsia="黑体" w:cs="黑体"/>
          <w:i w:val="0"/>
          <w:caps w:val="0"/>
          <w:color w:val="000000"/>
          <w:spacing w:val="8"/>
          <w:sz w:val="30"/>
          <w:szCs w:val="30"/>
          <w:bdr w:val="none" w:color="auto" w:sz="0" w:space="0"/>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2"/>
        <w:jc w:val="both"/>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8"/>
          <w:sz w:val="30"/>
          <w:szCs w:val="30"/>
          <w:bdr w:val="none" w:color="auto" w:sz="0" w:space="0"/>
        </w:rPr>
        <w:t>本报告是由北京市通州区住房和城乡建设委员会编制的2020年度政府信息公开年度报告。全文内容主要包括以下五个方面：总体情况，主动公开政府信息情况，收到和处理政府信息公开申请情况，因政府信息公开工作被申请行政复议、提起行政诉讼情况，政府信息公开工作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2"/>
        <w:jc w:val="both"/>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8"/>
          <w:sz w:val="30"/>
          <w:szCs w:val="30"/>
          <w:bdr w:val="none" w:color="auto" w:sz="0" w:space="0"/>
        </w:rPr>
        <w:t>为落实《政府信息公开条例》确定的政府信息依申请公开制度，我委通过办公室进行受理政府信息公开申请。截止至2020年12月31日我委共收到申请181件，其中14件转办至2021年，与2019年度相比，减少了13件。从申请的信息内容来看，主要涉及申请公开拆迁许可相关文件资料、房屋竣工验收相关信息、建筑工程施工许可证以及物业公共维修资金等。已到答复期的167件申请全部按期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2"/>
        <w:jc w:val="both"/>
        <w:rPr>
          <w:rFonts w:hint="eastAsia" w:ascii="宋体" w:hAnsi="宋体" w:eastAsia="宋体" w:cs="宋体"/>
          <w:i w:val="0"/>
          <w:caps w:val="0"/>
          <w:color w:val="000000"/>
          <w:spacing w:val="0"/>
          <w:sz w:val="21"/>
          <w:szCs w:val="21"/>
        </w:rPr>
      </w:pPr>
      <w:r>
        <w:rPr>
          <w:rFonts w:hint="eastAsia" w:ascii="黑体" w:hAnsi="宋体" w:eastAsia="黑体" w:cs="黑体"/>
          <w:i w:val="0"/>
          <w:caps w:val="0"/>
          <w:color w:val="000000"/>
          <w:spacing w:val="8"/>
          <w:sz w:val="30"/>
          <w:szCs w:val="30"/>
          <w:bdr w:val="none" w:color="auto" w:sz="0" w:space="0"/>
        </w:rPr>
        <w:t>二、主动公开政府信息情况</w:t>
      </w:r>
    </w:p>
    <w:tbl>
      <w:tblPr>
        <w:tblW w:w="8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72"/>
        <w:gridCol w:w="1230"/>
        <w:gridCol w:w="2175"/>
        <w:gridCol w:w="1887"/>
        <w:gridCol w:w="1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4" w:hRule="atLeast"/>
          <w:jc w:val="center"/>
        </w:trPr>
        <w:tc>
          <w:tcPr>
            <w:tcW w:w="8613" w:type="dxa"/>
            <w:gridSpan w:val="5"/>
            <w:tcBorders>
              <w:top w:val="single" w:color="auto" w:sz="8" w:space="0"/>
              <w:left w:val="single" w:color="auto" w:sz="8" w:space="0"/>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02" w:type="dxa"/>
            <w:gridSpan w:val="2"/>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信息内容</w:t>
            </w:r>
          </w:p>
        </w:tc>
        <w:tc>
          <w:tcPr>
            <w:tcW w:w="2175" w:type="dxa"/>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本年新制作数量</w:t>
            </w:r>
          </w:p>
        </w:tc>
        <w:tc>
          <w:tcPr>
            <w:tcW w:w="1887" w:type="dxa"/>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本年新公开数量</w:t>
            </w:r>
          </w:p>
        </w:tc>
        <w:tc>
          <w:tcPr>
            <w:tcW w:w="1749" w:type="dxa"/>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02" w:type="dxa"/>
            <w:gridSpan w:val="2"/>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规章</w:t>
            </w:r>
          </w:p>
        </w:tc>
        <w:tc>
          <w:tcPr>
            <w:tcW w:w="2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1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17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02" w:type="dxa"/>
            <w:gridSpan w:val="2"/>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规范性文件</w:t>
            </w:r>
          </w:p>
        </w:tc>
        <w:tc>
          <w:tcPr>
            <w:tcW w:w="2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55</w:t>
            </w:r>
          </w:p>
        </w:tc>
        <w:tc>
          <w:tcPr>
            <w:tcW w:w="1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55</w:t>
            </w:r>
          </w:p>
        </w:tc>
        <w:tc>
          <w:tcPr>
            <w:tcW w:w="17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8613" w:type="dxa"/>
            <w:gridSpan w:val="5"/>
            <w:tcBorders>
              <w:top w:val="nil"/>
              <w:left w:val="single" w:color="auto" w:sz="8" w:space="0"/>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02" w:type="dxa"/>
            <w:gridSpan w:val="2"/>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信息内容</w:t>
            </w:r>
          </w:p>
        </w:tc>
        <w:tc>
          <w:tcPr>
            <w:tcW w:w="2175" w:type="dxa"/>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上一年项目数量</w:t>
            </w:r>
          </w:p>
        </w:tc>
        <w:tc>
          <w:tcPr>
            <w:tcW w:w="1887" w:type="dxa"/>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本年增</w:t>
            </w:r>
            <w:r>
              <w:rPr>
                <w:rFonts w:hint="default" w:ascii="Calibri" w:hAnsi="Calibri" w:eastAsia="宋体" w:cs="Calibri"/>
                <w:sz w:val="30"/>
                <w:szCs w:val="30"/>
                <w:bdr w:val="none" w:color="auto" w:sz="0" w:space="0"/>
              </w:rPr>
              <w:t>/</w:t>
            </w:r>
            <w:r>
              <w:rPr>
                <w:rFonts w:hint="eastAsia" w:ascii="宋体" w:hAnsi="宋体" w:eastAsia="宋体" w:cs="宋体"/>
                <w:sz w:val="30"/>
                <w:szCs w:val="30"/>
                <w:bdr w:val="none" w:color="auto" w:sz="0" w:space="0"/>
              </w:rPr>
              <w:t>减</w:t>
            </w:r>
          </w:p>
        </w:tc>
        <w:tc>
          <w:tcPr>
            <w:tcW w:w="1749" w:type="dxa"/>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02" w:type="dxa"/>
            <w:gridSpan w:val="2"/>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行政许可</w:t>
            </w:r>
          </w:p>
        </w:tc>
        <w:tc>
          <w:tcPr>
            <w:tcW w:w="2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18</w:t>
            </w:r>
          </w:p>
        </w:tc>
        <w:tc>
          <w:tcPr>
            <w:tcW w:w="1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17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1" w:hRule="atLeast"/>
          <w:jc w:val="center"/>
        </w:trPr>
        <w:tc>
          <w:tcPr>
            <w:tcW w:w="1572" w:type="dxa"/>
            <w:vMerge w:val="restart"/>
            <w:tcBorders>
              <w:top w:val="nil"/>
              <w:left w:val="single" w:color="auto" w:sz="8" w:space="0"/>
              <w:bottom w:val="nil"/>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其他对外管理服务事项</w:t>
            </w:r>
          </w:p>
        </w:tc>
        <w:tc>
          <w:tcPr>
            <w:tcW w:w="1230" w:type="dxa"/>
            <w:tcBorders>
              <w:top w:val="nil"/>
              <w:left w:val="nil"/>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30"/>
                <w:szCs w:val="30"/>
                <w:bdr w:val="none" w:color="auto" w:sz="0" w:space="0"/>
              </w:rPr>
              <w:t>行政</w:t>
            </w:r>
            <w:r>
              <w:rPr>
                <w:rFonts w:hint="default" w:ascii="Calibri" w:hAnsi="Calibri" w:eastAsia="宋体" w:cs="Calibri"/>
                <w:sz w:val="30"/>
                <w:szCs w:val="30"/>
                <w:bdr w:val="none" w:color="auto" w:sz="0" w:space="0"/>
              </w:rPr>
              <w:t>检查</w:t>
            </w:r>
          </w:p>
        </w:tc>
        <w:tc>
          <w:tcPr>
            <w:tcW w:w="2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6</w:t>
            </w:r>
          </w:p>
        </w:tc>
        <w:tc>
          <w:tcPr>
            <w:tcW w:w="1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17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72" w:type="dxa"/>
            <w:vMerge w:val="continue"/>
            <w:tcBorders>
              <w:top w:val="nil"/>
              <w:left w:val="single" w:color="auto" w:sz="8" w:space="0"/>
              <w:bottom w:val="nil"/>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1230" w:type="dxa"/>
            <w:tcBorders>
              <w:top w:val="nil"/>
              <w:left w:val="nil"/>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30"/>
                <w:szCs w:val="30"/>
                <w:bdr w:val="none" w:color="auto" w:sz="0" w:space="0"/>
              </w:rPr>
              <w:t>行政确认</w:t>
            </w:r>
          </w:p>
        </w:tc>
        <w:tc>
          <w:tcPr>
            <w:tcW w:w="2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108</w:t>
            </w:r>
          </w:p>
        </w:tc>
        <w:tc>
          <w:tcPr>
            <w:tcW w:w="1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+6</w:t>
            </w:r>
          </w:p>
        </w:tc>
        <w:tc>
          <w:tcPr>
            <w:tcW w:w="17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5731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8613" w:type="dxa"/>
            <w:gridSpan w:val="5"/>
            <w:tcBorders>
              <w:top w:val="single" w:color="auto" w:sz="8" w:space="0"/>
              <w:left w:val="single" w:color="auto" w:sz="8" w:space="0"/>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802" w:type="dxa"/>
            <w:gridSpan w:val="2"/>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信息内容</w:t>
            </w:r>
          </w:p>
        </w:tc>
        <w:tc>
          <w:tcPr>
            <w:tcW w:w="2175" w:type="dxa"/>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上一年项目数量</w:t>
            </w:r>
          </w:p>
        </w:tc>
        <w:tc>
          <w:tcPr>
            <w:tcW w:w="1887" w:type="dxa"/>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本年增</w:t>
            </w:r>
            <w:r>
              <w:rPr>
                <w:rFonts w:hint="default" w:ascii="Calibri" w:hAnsi="Calibri" w:eastAsia="宋体" w:cs="Calibri"/>
                <w:sz w:val="30"/>
                <w:szCs w:val="30"/>
                <w:bdr w:val="none" w:color="auto" w:sz="0" w:space="0"/>
              </w:rPr>
              <w:t>/</w:t>
            </w:r>
            <w:r>
              <w:rPr>
                <w:rFonts w:hint="eastAsia" w:ascii="宋体" w:hAnsi="宋体" w:eastAsia="宋体" w:cs="宋体"/>
                <w:sz w:val="30"/>
                <w:szCs w:val="30"/>
                <w:bdr w:val="none" w:color="auto" w:sz="0" w:space="0"/>
              </w:rPr>
              <w:t>减</w:t>
            </w:r>
          </w:p>
        </w:tc>
        <w:tc>
          <w:tcPr>
            <w:tcW w:w="1749" w:type="dxa"/>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02" w:type="dxa"/>
            <w:gridSpan w:val="2"/>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行政处罚</w:t>
            </w:r>
          </w:p>
        </w:tc>
        <w:tc>
          <w:tcPr>
            <w:tcW w:w="2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372</w:t>
            </w:r>
          </w:p>
        </w:tc>
        <w:tc>
          <w:tcPr>
            <w:tcW w:w="1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17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02" w:type="dxa"/>
            <w:gridSpan w:val="2"/>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行政强制</w:t>
            </w:r>
          </w:p>
        </w:tc>
        <w:tc>
          <w:tcPr>
            <w:tcW w:w="2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18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174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8613" w:type="dxa"/>
            <w:gridSpan w:val="5"/>
            <w:tcBorders>
              <w:top w:val="nil"/>
              <w:left w:val="single" w:color="auto" w:sz="8" w:space="0"/>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02" w:type="dxa"/>
            <w:gridSpan w:val="2"/>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信息内容</w:t>
            </w:r>
          </w:p>
        </w:tc>
        <w:tc>
          <w:tcPr>
            <w:tcW w:w="2175" w:type="dxa"/>
            <w:tcBorders>
              <w:top w:val="single" w:color="auto" w:sz="8" w:space="0"/>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上一年项目数量</w:t>
            </w:r>
          </w:p>
        </w:tc>
        <w:tc>
          <w:tcPr>
            <w:tcW w:w="3636" w:type="dxa"/>
            <w:gridSpan w:val="2"/>
            <w:tcBorders>
              <w:top w:val="single" w:color="auto" w:sz="8" w:space="0"/>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本年增</w:t>
            </w:r>
            <w:r>
              <w:rPr>
                <w:rFonts w:hint="default" w:ascii="Calibri" w:hAnsi="Calibri" w:eastAsia="宋体" w:cs="Calibri"/>
                <w:sz w:val="30"/>
                <w:szCs w:val="30"/>
                <w:bdr w:val="none" w:color="auto" w:sz="0" w:space="0"/>
              </w:rPr>
              <w:t>/</w:t>
            </w:r>
            <w:r>
              <w:rPr>
                <w:rFonts w:hint="eastAsia" w:ascii="宋体" w:hAnsi="宋体" w:eastAsia="宋体" w:cs="宋体"/>
                <w:sz w:val="30"/>
                <w:szCs w:val="30"/>
                <w:bdr w:val="none" w:color="auto" w:sz="0" w:space="0"/>
              </w:rPr>
              <w:t>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02" w:type="dxa"/>
            <w:gridSpan w:val="2"/>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行政事业性收费</w:t>
            </w:r>
          </w:p>
        </w:tc>
        <w:tc>
          <w:tcPr>
            <w:tcW w:w="2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2</w:t>
            </w:r>
          </w:p>
        </w:tc>
        <w:tc>
          <w:tcPr>
            <w:tcW w:w="3636"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8613" w:type="dxa"/>
            <w:gridSpan w:val="5"/>
            <w:tcBorders>
              <w:top w:val="nil"/>
              <w:left w:val="single" w:color="auto" w:sz="8" w:space="0"/>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02" w:type="dxa"/>
            <w:gridSpan w:val="2"/>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信息内容</w:t>
            </w:r>
          </w:p>
        </w:tc>
        <w:tc>
          <w:tcPr>
            <w:tcW w:w="2175" w:type="dxa"/>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采购项目数量</w:t>
            </w:r>
          </w:p>
        </w:tc>
        <w:tc>
          <w:tcPr>
            <w:tcW w:w="3636" w:type="dxa"/>
            <w:gridSpan w:val="2"/>
            <w:tcBorders>
              <w:top w:val="single" w:color="auto" w:sz="8" w:space="0"/>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采购总金额（万元，保留四位小数）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2802" w:type="dxa"/>
            <w:gridSpan w:val="2"/>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政府集中采购</w:t>
            </w:r>
          </w:p>
        </w:tc>
        <w:tc>
          <w:tcPr>
            <w:tcW w:w="2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119</w:t>
            </w:r>
          </w:p>
        </w:tc>
        <w:tc>
          <w:tcPr>
            <w:tcW w:w="3636"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95.7765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caps w:val="0"/>
          <w:color w:val="000000"/>
          <w:spacing w:val="0"/>
          <w:sz w:val="21"/>
          <w:szCs w:val="21"/>
        </w:rPr>
      </w:pPr>
    </w:p>
    <w:p>
      <w:pPr>
        <w:keepNext w:val="0"/>
        <w:keepLines w:val="0"/>
        <w:widowControl/>
        <w:suppressLineNumbers w:val="0"/>
        <w:jc w:val="left"/>
      </w:pPr>
      <w:r>
        <w:rPr>
          <w:rFonts w:hint="eastAsia" w:ascii="黑体" w:hAnsi="宋体" w:eastAsia="黑体" w:cs="黑体"/>
          <w:i w:val="0"/>
          <w:caps w:val="0"/>
          <w:color w:val="000000"/>
          <w:spacing w:val="0"/>
          <w:kern w:val="0"/>
          <w:sz w:val="30"/>
          <w:szCs w:val="30"/>
          <w:lang w:val="en-US" w:eastAsia="zh-CN" w:bidi="ar"/>
        </w:rPr>
        <w:t> 三、收到和处理政府信息公开申请情况</w:t>
      </w:r>
    </w:p>
    <w:tbl>
      <w:tblPr>
        <w:tblW w:w="903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16"/>
        <w:gridCol w:w="1116"/>
        <w:gridCol w:w="2481"/>
        <w:gridCol w:w="699"/>
        <w:gridCol w:w="666"/>
        <w:gridCol w:w="666"/>
        <w:gridCol w:w="665"/>
        <w:gridCol w:w="666"/>
        <w:gridCol w:w="556"/>
        <w:gridCol w:w="7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82" w:hRule="atLeast"/>
          <w:jc w:val="center"/>
        </w:trPr>
        <w:tc>
          <w:tcPr>
            <w:tcW w:w="4212" w:type="dxa"/>
            <w:gridSpan w:val="3"/>
            <w:vMerge w:val="restart"/>
            <w:tcBorders>
              <w:top w:val="single" w:color="auto" w:sz="8" w:space="0"/>
              <w:left w:val="single" w:color="auto" w:sz="8" w:space="0"/>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30"/>
                <w:szCs w:val="30"/>
                <w:bdr w:val="none" w:color="auto" w:sz="0" w:space="0"/>
              </w:rPr>
              <w:t>（本列数据的勾稽关系为：第一项加第二项之和，等于第三项加第四项之和）</w:t>
            </w:r>
          </w:p>
        </w:tc>
        <w:tc>
          <w:tcPr>
            <w:tcW w:w="4820" w:type="dxa"/>
            <w:gridSpan w:val="7"/>
            <w:tcBorders>
              <w:top w:val="single" w:color="auto" w:sz="8" w:space="0"/>
              <w:left w:val="nil"/>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44" w:hRule="atLeast"/>
          <w:jc w:val="center"/>
        </w:trPr>
        <w:tc>
          <w:tcPr>
            <w:tcW w:w="4212" w:type="dxa"/>
            <w:gridSpan w:val="3"/>
            <w:vMerge w:val="continue"/>
            <w:tcBorders>
              <w:top w:val="single" w:color="auto" w:sz="8" w:space="0"/>
              <w:left w:val="single" w:color="auto" w:sz="8" w:space="0"/>
              <w:bottom w:val="single" w:color="auto" w:sz="8" w:space="0"/>
              <w:right w:val="single" w:color="auto" w:sz="8" w:space="0"/>
            </w:tcBorders>
            <w:shd w:val="clear" w:color="auto" w:fill="5B9BD5"/>
            <w:tcMar>
              <w:top w:w="0" w:type="dxa"/>
              <w:left w:w="108" w:type="dxa"/>
              <w:bottom w:w="0" w:type="dxa"/>
              <w:right w:w="108" w:type="dxa"/>
            </w:tcMar>
            <w:vAlign w:val="center"/>
          </w:tcPr>
          <w:p>
            <w:pPr>
              <w:rPr>
                <w:rFonts w:hint="eastAsia" w:ascii="宋体" w:hAnsi="宋体" w:eastAsia="宋体" w:cs="宋体"/>
                <w:sz w:val="18"/>
                <w:szCs w:val="18"/>
              </w:rPr>
            </w:pPr>
          </w:p>
        </w:tc>
        <w:tc>
          <w:tcPr>
            <w:tcW w:w="709" w:type="dxa"/>
            <w:vMerge w:val="restart"/>
            <w:tcBorders>
              <w:top w:val="nil"/>
              <w:left w:val="nil"/>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自然人</w:t>
            </w:r>
          </w:p>
        </w:tc>
        <w:tc>
          <w:tcPr>
            <w:tcW w:w="3402" w:type="dxa"/>
            <w:gridSpan w:val="5"/>
            <w:tcBorders>
              <w:top w:val="single" w:color="auto" w:sz="8" w:space="0"/>
              <w:left w:val="nil"/>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法人或其他组织</w:t>
            </w:r>
          </w:p>
        </w:tc>
        <w:tc>
          <w:tcPr>
            <w:tcW w:w="709" w:type="dxa"/>
            <w:vMerge w:val="restart"/>
            <w:tcBorders>
              <w:top w:val="single" w:color="auto" w:sz="8" w:space="0"/>
              <w:left w:val="nil"/>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总计</w:t>
            </w:r>
            <w:r>
              <w:rPr>
                <w:rFonts w:hint="default" w:ascii="Calibri" w:hAnsi="Calibri" w:eastAsia="宋体" w:cs="Calibri"/>
                <w:sz w:val="30"/>
                <w:szCs w:val="30"/>
                <w:bdr w:val="none" w:color="auto" w:sz="0" w:space="0"/>
              </w:rPr>
              <w:t>191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212" w:type="dxa"/>
            <w:gridSpan w:val="3"/>
            <w:vMerge w:val="continue"/>
            <w:tcBorders>
              <w:top w:val="single" w:color="auto" w:sz="8" w:space="0"/>
              <w:left w:val="single" w:color="auto" w:sz="8" w:space="0"/>
              <w:bottom w:val="single" w:color="auto" w:sz="8" w:space="0"/>
              <w:right w:val="single" w:color="auto" w:sz="8" w:space="0"/>
            </w:tcBorders>
            <w:shd w:val="clear" w:color="auto" w:fill="5B9BD5"/>
            <w:tcMar>
              <w:top w:w="0" w:type="dxa"/>
              <w:left w:w="108" w:type="dxa"/>
              <w:bottom w:w="0" w:type="dxa"/>
              <w:right w:w="108" w:type="dxa"/>
            </w:tcMar>
            <w:vAlign w:val="center"/>
          </w:tcPr>
          <w:p>
            <w:pPr>
              <w:rPr>
                <w:rFonts w:hint="eastAsia" w:ascii="宋体" w:hAnsi="宋体" w:eastAsia="宋体" w:cs="宋体"/>
                <w:sz w:val="18"/>
                <w:szCs w:val="18"/>
              </w:rPr>
            </w:pPr>
          </w:p>
        </w:tc>
        <w:tc>
          <w:tcPr>
            <w:tcW w:w="709" w:type="dxa"/>
            <w:vMerge w:val="continue"/>
            <w:tcBorders>
              <w:top w:val="nil"/>
              <w:left w:val="nil"/>
              <w:bottom w:val="single" w:color="auto" w:sz="8" w:space="0"/>
              <w:right w:val="single" w:color="auto" w:sz="8" w:space="0"/>
            </w:tcBorders>
            <w:shd w:val="clear" w:color="auto" w:fill="5B9BD5"/>
            <w:tcMar>
              <w:top w:w="0" w:type="dxa"/>
              <w:left w:w="108" w:type="dxa"/>
              <w:bottom w:w="0" w:type="dxa"/>
              <w:right w:w="108" w:type="dxa"/>
            </w:tcMar>
            <w:vAlign w:val="center"/>
          </w:tcPr>
          <w:p>
            <w:pPr>
              <w:rPr>
                <w:rFonts w:hint="eastAsia" w:ascii="宋体" w:hAnsi="宋体" w:eastAsia="宋体" w:cs="宋体"/>
                <w:sz w:val="18"/>
                <w:szCs w:val="18"/>
              </w:rPr>
            </w:pPr>
          </w:p>
        </w:tc>
        <w:tc>
          <w:tcPr>
            <w:tcW w:w="709" w:type="dxa"/>
            <w:tcBorders>
              <w:top w:val="nil"/>
              <w:left w:val="nil"/>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商业企业</w:t>
            </w:r>
          </w:p>
        </w:tc>
        <w:tc>
          <w:tcPr>
            <w:tcW w:w="709" w:type="dxa"/>
            <w:tcBorders>
              <w:top w:val="nil"/>
              <w:left w:val="nil"/>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科研机构</w:t>
            </w:r>
          </w:p>
        </w:tc>
        <w:tc>
          <w:tcPr>
            <w:tcW w:w="708" w:type="dxa"/>
            <w:tcBorders>
              <w:top w:val="single" w:color="auto" w:sz="8" w:space="0"/>
              <w:left w:val="nil"/>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社会公益组织</w:t>
            </w:r>
          </w:p>
        </w:tc>
        <w:tc>
          <w:tcPr>
            <w:tcW w:w="709" w:type="dxa"/>
            <w:tcBorders>
              <w:top w:val="single" w:color="auto" w:sz="8" w:space="0"/>
              <w:left w:val="nil"/>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法律服务机构</w:t>
            </w:r>
          </w:p>
        </w:tc>
        <w:tc>
          <w:tcPr>
            <w:tcW w:w="567" w:type="dxa"/>
            <w:tcBorders>
              <w:top w:val="single" w:color="auto" w:sz="8" w:space="0"/>
              <w:left w:val="nil"/>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其他</w:t>
            </w:r>
          </w:p>
        </w:tc>
        <w:tc>
          <w:tcPr>
            <w:tcW w:w="709" w:type="dxa"/>
            <w:vMerge w:val="continue"/>
            <w:tcBorders>
              <w:top w:val="single" w:color="auto" w:sz="8" w:space="0"/>
              <w:left w:val="nil"/>
              <w:bottom w:val="single" w:color="auto" w:sz="8" w:space="0"/>
              <w:right w:val="single" w:color="auto" w:sz="8" w:space="0"/>
            </w:tcBorders>
            <w:shd w:val="clear" w:color="auto" w:fill="5B9BD5"/>
            <w:tcMar>
              <w:top w:w="0" w:type="dxa"/>
              <w:left w:w="108" w:type="dxa"/>
              <w:bottom w:w="0" w:type="dxa"/>
              <w:right w:w="108" w:type="dxa"/>
            </w:tcMar>
            <w:vAlign w:val="center"/>
          </w:tcPr>
          <w:p>
            <w:pPr>
              <w:rPr>
                <w:rFonts w:hint="eastAsia" w:ascii="宋体" w:hAnsi="宋体" w:eastAsia="宋体" w:cs="宋体"/>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212" w:type="dxa"/>
            <w:gridSpan w:val="3"/>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30"/>
                <w:szCs w:val="30"/>
                <w:bdr w:val="none" w:color="auto" w:sz="0" w:space="0"/>
              </w:rPr>
              <w:t>一、本年新收政府信息公开申请数量</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148</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33</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181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212" w:type="dxa"/>
            <w:gridSpan w:val="3"/>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30"/>
                <w:szCs w:val="30"/>
                <w:bdr w:val="none" w:color="auto" w:sz="0" w:space="0"/>
              </w:rPr>
              <w:t>二、上年结转政府信息公开申请数量</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8</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2</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restart"/>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30"/>
                <w:szCs w:val="30"/>
                <w:bdr w:val="none" w:color="auto" w:sz="0" w:space="0"/>
              </w:rPr>
              <w:t>三、本年度办理结果</w:t>
            </w:r>
          </w:p>
        </w:tc>
        <w:tc>
          <w:tcPr>
            <w:tcW w:w="3813" w:type="dxa"/>
            <w:gridSpan w:val="2"/>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ascii="楷体" w:hAnsi="楷体" w:eastAsia="楷体" w:cs="楷体"/>
                <w:sz w:val="30"/>
                <w:szCs w:val="30"/>
                <w:bdr w:val="none" w:color="auto" w:sz="0" w:space="0"/>
              </w:rPr>
              <w:t>（一）予以公开</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68</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20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3813" w:type="dxa"/>
            <w:gridSpan w:val="2"/>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（二）部分公开（区分处理的，只计这一情形，不计其他情形）</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52</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30"/>
                <w:szCs w:val="30"/>
                <w:bdr w:val="none" w:color="auto" w:sz="0" w:space="0"/>
              </w:rPr>
              <w:t>31</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83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restart"/>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楷体" w:hAnsi="楷体" w:eastAsia="楷体" w:cs="楷体"/>
                <w:sz w:val="30"/>
                <w:szCs w:val="30"/>
                <w:bdr w:val="none" w:color="auto" w:sz="0" w:space="0"/>
              </w:rPr>
              <w:t>（三）不予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楷体" w:hAnsi="楷体" w:eastAsia="楷体" w:cs="楷体"/>
                <w:sz w:val="30"/>
                <w:szCs w:val="30"/>
                <w:bdr w:val="none" w:color="auto" w:sz="0" w:space="0"/>
              </w:rPr>
              <w:t>公开</w:t>
            </w: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1.属于国家秘密</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2.其他法律行政法规禁止公开</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3.危及“三安全一稳定”</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4.保护第三方合法权益</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2</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3</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5.属于三类内部事务信息</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2</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6.属于四类过程性信息</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6</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7.属于行政执法案卷</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8.属于行政查询事项</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restart"/>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楷体" w:hAnsi="楷体" w:eastAsia="楷体" w:cs="楷体"/>
                <w:sz w:val="30"/>
                <w:szCs w:val="30"/>
                <w:bdr w:val="none" w:color="auto" w:sz="0" w:space="0"/>
              </w:rPr>
              <w:t>（四）无法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楷体" w:hAnsi="楷体" w:eastAsia="楷体" w:cs="楷体"/>
                <w:sz w:val="30"/>
                <w:szCs w:val="30"/>
                <w:bdr w:val="none" w:color="auto" w:sz="0" w:space="0"/>
              </w:rPr>
              <w:t>提供</w:t>
            </w: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1.本机关不掌握相关政府信息</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63</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9</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2.没有现成信息需要另行制作</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7</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3.补正后申请内容仍不明确</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2</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restart"/>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楷体" w:hAnsi="楷体" w:eastAsia="楷体" w:cs="楷体"/>
                <w:sz w:val="30"/>
                <w:szCs w:val="30"/>
                <w:bdr w:val="none" w:color="auto" w:sz="0" w:space="0"/>
              </w:rPr>
              <w:t>（五）不予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楷体" w:hAnsi="楷体" w:eastAsia="楷体" w:cs="楷体"/>
                <w:sz w:val="30"/>
                <w:szCs w:val="30"/>
                <w:bdr w:val="none" w:color="auto" w:sz="0" w:space="0"/>
              </w:rPr>
              <w:t>处理</w:t>
            </w: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1.信访举报投诉类申请</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3</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2.重复申请</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3.要求提供公开出版物</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4.无正当理由大量反复申请</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856" w:type="dxa"/>
            <w:vMerge w:val="continue"/>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rPr>
                <w:rFonts w:hint="eastAsia" w:ascii="宋体" w:hAnsi="宋体" w:eastAsia="宋体" w:cs="宋体"/>
                <w:sz w:val="18"/>
                <w:szCs w:val="18"/>
              </w:rPr>
            </w:pPr>
          </w:p>
        </w:tc>
        <w:tc>
          <w:tcPr>
            <w:tcW w:w="2957" w:type="dxa"/>
            <w:tcBorders>
              <w:top w:val="nil"/>
              <w:left w:val="nil"/>
              <w:bottom w:val="single" w:color="auto" w:sz="8" w:space="0"/>
              <w:right w:val="single" w:color="auto" w:sz="8" w:space="0"/>
            </w:tcBorders>
            <w:shd w:val="clear" w:color="auto" w:fill="DEEAF6"/>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5.要求行政机关确认或重新出具已获取信息</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3813" w:type="dxa"/>
            <w:gridSpan w:val="2"/>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（六）其他处理</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5</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399" w:type="dxa"/>
            <w:vMerge w:val="continue"/>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rPr>
                <w:rFonts w:hint="eastAsia" w:ascii="宋体" w:hAnsi="宋体" w:eastAsia="宋体" w:cs="宋体"/>
                <w:sz w:val="18"/>
                <w:szCs w:val="18"/>
              </w:rPr>
            </w:pPr>
          </w:p>
        </w:tc>
        <w:tc>
          <w:tcPr>
            <w:tcW w:w="3813" w:type="dxa"/>
            <w:gridSpan w:val="2"/>
            <w:tcBorders>
              <w:top w:val="nil"/>
              <w:left w:val="nil"/>
              <w:bottom w:val="single" w:color="auto" w:sz="8" w:space="0"/>
              <w:right w:val="single" w:color="auto" w:sz="8" w:space="0"/>
            </w:tcBorders>
            <w:shd w:val="clear" w:color="auto" w:fill="BDD6EE"/>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楷体" w:hAnsi="楷体" w:eastAsia="楷体" w:cs="楷体"/>
                <w:sz w:val="30"/>
                <w:szCs w:val="30"/>
                <w:bdr w:val="none" w:color="auto" w:sz="0" w:space="0"/>
              </w:rPr>
              <w:t>（七）总计</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145</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32</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177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4212" w:type="dxa"/>
            <w:gridSpan w:val="3"/>
            <w:tcBorders>
              <w:top w:val="nil"/>
              <w:left w:val="single" w:color="auto" w:sz="8" w:space="0"/>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30"/>
                <w:szCs w:val="30"/>
                <w:bdr w:val="none" w:color="auto" w:sz="0" w:space="0"/>
              </w:rPr>
              <w:t>四、结转下年度继续办理</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11</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3</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7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caps w:val="0"/>
          <w:color w:val="000000"/>
          <w:spacing w:val="0"/>
          <w:sz w:val="21"/>
          <w:szCs w:val="21"/>
        </w:rPr>
      </w:pPr>
      <w:r>
        <w:rPr>
          <w:rFonts w:hint="default" w:ascii="Calibri" w:hAnsi="Calibri" w:cs="Calibri"/>
          <w:i w:val="0"/>
          <w:caps w:val="0"/>
          <w:color w:val="000000"/>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30"/>
          <w:szCs w:val="30"/>
          <w:bdr w:val="none" w:color="auto" w:sz="0" w:space="0"/>
        </w:rPr>
        <w:t>四、政府信息公开行政复议、行政诉讼情况</w:t>
      </w:r>
    </w:p>
    <w:tbl>
      <w:tblPr>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16"/>
        <w:gridCol w:w="532"/>
        <w:gridCol w:w="574"/>
        <w:gridCol w:w="574"/>
        <w:gridCol w:w="610"/>
        <w:gridCol w:w="539"/>
        <w:gridCol w:w="575"/>
        <w:gridCol w:w="575"/>
        <w:gridCol w:w="575"/>
        <w:gridCol w:w="575"/>
        <w:gridCol w:w="575"/>
        <w:gridCol w:w="575"/>
        <w:gridCol w:w="575"/>
        <w:gridCol w:w="576"/>
        <w:gridCol w:w="5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59" w:hRule="atLeast"/>
          <w:jc w:val="center"/>
        </w:trPr>
        <w:tc>
          <w:tcPr>
            <w:tcW w:w="2874" w:type="dxa"/>
            <w:gridSpan w:val="5"/>
            <w:tcBorders>
              <w:top w:val="single" w:color="auto" w:sz="8" w:space="0"/>
              <w:left w:val="single" w:color="auto" w:sz="8" w:space="0"/>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行政复议</w:t>
            </w:r>
          </w:p>
        </w:tc>
        <w:tc>
          <w:tcPr>
            <w:tcW w:w="5997" w:type="dxa"/>
            <w:gridSpan w:val="10"/>
            <w:tcBorders>
              <w:top w:val="single" w:color="auto" w:sz="8" w:space="0"/>
              <w:left w:val="nil"/>
              <w:bottom w:val="single" w:color="auto" w:sz="8" w:space="0"/>
              <w:right w:val="single" w:color="auto" w:sz="8" w:space="0"/>
            </w:tcBorders>
            <w:shd w:val="clear" w:color="auto" w:fill="5B9BD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atLeast"/>
          <w:jc w:val="center"/>
        </w:trPr>
        <w:tc>
          <w:tcPr>
            <w:tcW w:w="46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持</w:t>
            </w:r>
          </w:p>
        </w:tc>
        <w:tc>
          <w:tcPr>
            <w:tcW w:w="541"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结果纠正</w:t>
            </w:r>
          </w:p>
        </w:tc>
        <w:tc>
          <w:tcPr>
            <w:tcW w:w="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其他结果</w:t>
            </w:r>
          </w:p>
        </w:tc>
        <w:tc>
          <w:tcPr>
            <w:tcW w:w="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尚未审结</w:t>
            </w:r>
          </w:p>
        </w:tc>
        <w:tc>
          <w:tcPr>
            <w:tcW w:w="658"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总 计</w:t>
            </w:r>
          </w:p>
        </w:tc>
        <w:tc>
          <w:tcPr>
            <w:tcW w:w="2970" w:type="dxa"/>
            <w:gridSpan w:val="5"/>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541"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658"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18"/>
                <w:szCs w:val="18"/>
              </w:rPr>
            </w:pP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结果维持</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结果纠正</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其他结果</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尚未审结</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总计</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结果维持</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结果纠正</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其他结果</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尚未审结</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4" w:hRule="atLeast"/>
          <w:jc w:val="center"/>
        </w:trPr>
        <w:tc>
          <w:tcPr>
            <w:tcW w:w="4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4</w:t>
            </w:r>
          </w:p>
        </w:tc>
        <w:tc>
          <w:tcPr>
            <w:tcW w:w="54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4</w:t>
            </w:r>
          </w:p>
        </w:tc>
        <w:tc>
          <w:tcPr>
            <w:tcW w:w="6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10</w:t>
            </w: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2</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1</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0</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30"/>
                <w:szCs w:val="30"/>
                <w:bdr w:val="none" w:color="auto" w:sz="0" w:space="0"/>
              </w:rPr>
              <w:t>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0"/>
          <w:sz w:val="30"/>
          <w:szCs w:val="30"/>
          <w:bdr w:val="none" w:color="auto" w:sz="0" w:space="0"/>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72"/>
        <w:jc w:val="left"/>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8"/>
          <w:sz w:val="30"/>
          <w:szCs w:val="30"/>
          <w:bdr w:val="none" w:color="auto" w:sz="0" w:space="0"/>
        </w:rPr>
        <w:t>1.政务公开意识有待强化。我委高度重视政务公开工作，但一些部门和单位，主动公开的范围窄、程度浅。对此，我委不断完善政务公开体制机制建设，加强政务公开工作队伍建设，加大政务公开工作培训力度，全面提升政务信息公开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72"/>
        <w:jc w:val="left"/>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8"/>
          <w:sz w:val="30"/>
          <w:szCs w:val="30"/>
          <w:bdr w:val="none" w:color="auto" w:sz="0" w:space="0"/>
        </w:rPr>
        <w:t>2.处理依申请公开人员不足。经领导协商后从各部门抽调人员补充该工作岗位。同时，不断加强信息公开工作队伍建设，通过培训切实提高了各部门信息公开相关工作人员的综合素质和业务力，不断促进信息公开工作更加规范化、科学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72"/>
        <w:jc w:val="left"/>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8"/>
          <w:sz w:val="30"/>
          <w:szCs w:val="30"/>
          <w:bdr w:val="none" w:color="auto" w:sz="0" w:space="0"/>
        </w:rPr>
        <w:t>3.部分工作人员法律意识仍有待进一步提高。我委高度重视对政府信息公开工作的组织和领导，以“一把手”为组长建立了政务公开工作领导小组，下设办公室，指定专人具体负责信息公开工作，如加强法律知识定期培训，开展有关政府信息公开工作的讨论研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30"/>
          <w:szCs w:val="3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5"/>
        <w:jc w:val="left"/>
        <w:rPr>
          <w:rFonts w:hint="default" w:ascii="Calibri" w:hAnsi="Calibri" w:cs="Calibri"/>
          <w:i w:val="0"/>
          <w:caps w:val="0"/>
          <w:color w:val="000000"/>
          <w:spacing w:val="0"/>
          <w:sz w:val="21"/>
          <w:szCs w:val="21"/>
        </w:rPr>
      </w:pPr>
      <w:r>
        <w:rPr>
          <w:rFonts w:hint="eastAsia" w:ascii="黑体" w:hAnsi="宋体" w:eastAsia="黑体" w:cs="黑体"/>
          <w:i w:val="0"/>
          <w:caps w:val="0"/>
          <w:color w:val="000000"/>
          <w:spacing w:val="8"/>
          <w:sz w:val="30"/>
          <w:szCs w:val="30"/>
          <w:bdr w:val="none" w:color="auto" w:sz="0" w:space="0"/>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72"/>
        <w:jc w:val="left"/>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8"/>
          <w:sz w:val="30"/>
          <w:szCs w:val="30"/>
          <w:bdr w:val="none" w:color="auto" w:sz="0" w:space="0"/>
        </w:rPr>
        <w:t>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F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2021-04-27T02:17:35Z</dcterms:created>
  <dc:creator>guanjie LED</dc:creator>
  <cp:lastModifiedBy>guanjie LED</cp:lastModifiedBy>
  <dcterms:modified xsi:type="dcterms:W3CDTF">2021-04-27T02:17:56Z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