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北京市通州区统计局2021年政府信息公开</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numPr>
          <w:numId w:val="0"/>
        </w:numPr>
        <w:spacing w:line="560" w:lineRule="exact"/>
        <w:ind w:firstLine="960" w:firstLineChars="3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（一）主动公开情况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本年度，我局严格按照《政府信息公开条例》的规定，积极推进主动公开工作。主动公开政府信息247条，内容涵盖政策法规、工作动态、重点领域、规划计划等方面。对涉及地区群众切身利益和需要社会公众广泛知晓或者参与的重要信息均进行了及时、准确的公开。 </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（二）依申请公开办理情况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我局建立了信息公开依申请受理机制，对于公民、法人或其他组织提出的政府信息公开申请，配备专人受理，做到规范受理、及时处理、认真答复。本年度收到政府信息公开申请4条。</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（三）政府信息资源的规范化、标准化管理情况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结合实际工作，我局进一步完善《北京市通州区统计局政府信息主动公开全清单》和《北京市通州区统计局信息公开指南》，并按照要求发布《政府信息公开工作年度报告》。进一步健全完善决策咨询制度、政务信息发布协调机制和信息公开保密审查制度，确保政务公开工作的规范运行。</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（四）平台建设情况</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本年度我局多次完善政府信息公开工作制度、梳理信息公开全清单、规范信息公开工作流程，全面加强政府信息公开平台建设。在巩固现有公开渠道的基础上，依托微信公众号新媒体、市级信息网站、区级融媒体平台进行信息发布，及时、全面地将各方面工作开展情况向社会公布。</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（五）政府信息公开监督保障及教育培训情况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1.完善了信息公开申请受理、保密审查、监督检查等一系列制度，严格了政府信息公开程序，积极探索多种监督评议方式，公开投诉电话，畅通群众来信、来电、来访诉求渠道，及时进行反馈回复，自觉接受社会各界监督，确保网站上公开的信息全面、准确。</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2.组织机关干部认真学习政府信息公开法规条例，增强机关干部的大局意识、法制意识、服务意识、创新意识和责任意识。通过举办政务开放日活动，深入宣传贯彻政府信息公开条例，重点围绕依申请公开流程开展咨询，提高公众对政府信息公开的认知度。</w:t>
      </w:r>
    </w:p>
    <w:p>
      <w:pPr>
        <w:pStyle w:val="2"/>
      </w:pPr>
    </w:p>
    <w:p>
      <w:pPr>
        <w:pStyle w:val="2"/>
      </w:pPr>
    </w:p>
    <w:p>
      <w:pPr>
        <w:pStyle w:val="2"/>
      </w:pPr>
    </w:p>
    <w:p>
      <w:pPr>
        <w:pStyle w:val="2"/>
      </w:pPr>
    </w:p>
    <w:p>
      <w:pPr>
        <w:pStyle w:val="2"/>
      </w:pPr>
    </w:p>
    <w:p>
      <w:pPr>
        <w:numPr>
          <w:ilvl w:val="0"/>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pPr>
        <w:pStyle w:val="2"/>
      </w:pPr>
    </w:p>
    <w:tbl>
      <w:tblPr>
        <w:tblStyle w:val="9"/>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49</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pStyle w:val="2"/>
      </w:pPr>
    </w:p>
    <w:p>
      <w:pPr>
        <w:pStyle w:val="2"/>
      </w:pPr>
    </w:p>
    <w:p>
      <w:pPr>
        <w:numPr>
          <w:numId w:val="0"/>
        </w:numPr>
        <w:spacing w:line="560" w:lineRule="exact"/>
        <w:ind w:left="630" w:leftChars="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pPr>
        <w:pStyle w:val="7"/>
        <w:shd w:val="clear" w:color="auto" w:fill="FFFFFF"/>
        <w:spacing w:before="0" w:beforeAutospacing="0" w:after="0" w:afterAutospacing="0"/>
        <w:ind w:firstLine="420"/>
        <w:jc w:val="both"/>
        <w:rPr>
          <w:rFonts w:hint="default"/>
          <w:color w:val="333333"/>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6"/>
        <w:gridCol w:w="688"/>
        <w:gridCol w:w="688"/>
        <w:gridCol w:w="688"/>
        <w:gridCol w:w="688"/>
        <w:gridCol w:w="688"/>
        <w:gridCol w:w="688"/>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714"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714"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714"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4</w:t>
            </w:r>
            <w:r>
              <w:rPr>
                <w:rFonts w:cs="Calibri"/>
                <w:kern w:val="0"/>
                <w:sz w:val="20"/>
                <w:szCs w:val="20"/>
                <w:lang w:bidi="ar"/>
              </w:rPr>
              <w:t> </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4</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2</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365"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rPr>
                <w:rFonts w:cs="Calibri"/>
                <w:kern w:val="0"/>
                <w:sz w:val="20"/>
                <w:szCs w:val="20"/>
                <w:lang w:bidi="ar"/>
              </w:rPr>
            </w:pPr>
          </w:p>
          <w:p>
            <w:pPr>
              <w:widowControl/>
              <w:jc w:val="center"/>
              <w:rPr>
                <w:rFonts w:cs="Calibri"/>
                <w:kern w:val="0"/>
                <w:sz w:val="20"/>
                <w:szCs w:val="20"/>
                <w:lang w:bidi="ar"/>
              </w:rP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1</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nil"/>
              <w:left w:val="nil"/>
              <w:bottom w:val="outset"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outset"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outset"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outset"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outset"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outset"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c>
          <w:tcPr>
            <w:tcW w:w="714" w:type="dxa"/>
            <w:tcBorders>
              <w:top w:val="nil"/>
              <w:left w:val="nil"/>
              <w:bottom w:val="outset"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rPr>
                <w:rFonts w:cs="Calibri"/>
                <w:kern w:val="0"/>
                <w:sz w:val="20"/>
                <w:szCs w:val="20"/>
                <w:lang w:bidi="ar"/>
              </w:rPr>
            </w:pPr>
          </w:p>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rPr>
                <w:rFonts w:cs="Calibri"/>
                <w:kern w:val="0"/>
                <w:sz w:val="20"/>
                <w:szCs w:val="20"/>
                <w:lang w:bidi="ar"/>
              </w:rPr>
            </w:pPr>
          </w:p>
          <w:p>
            <w:pPr>
              <w:widowControl/>
              <w:ind w:firstLine="200" w:firstLineChars="100"/>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59"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406"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1</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1</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365"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4</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714"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sz w:val="24"/>
              </w:rPr>
            </w:pPr>
            <w:r>
              <w:rPr>
                <w:rFonts w:ascii="黑体" w:hAnsi="宋体" w:eastAsia="黑体" w:cs="黑体"/>
                <w:kern w:val="0"/>
                <w:sz w:val="20"/>
                <w:szCs w:val="20"/>
                <w:lang w:bidi="ar"/>
              </w:rPr>
              <w:t> </w:t>
            </w:r>
            <w:r>
              <w:rPr>
                <w:rFonts w:hint="eastAsia" w:ascii="黑体" w:hAnsi="宋体" w:eastAsia="黑体" w:cs="黑体"/>
                <w:kern w:val="0"/>
                <w:sz w:val="20"/>
                <w:szCs w:val="20"/>
                <w:lang w:bidi="ar"/>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2"/>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年度局队政府信息公开工作取得了一定成绩，但是与当前北京城市副中心高质量发展要求还存在一定距离，个别信息内容不够鲜活、站位不够高，信息公开的质量还有待提升，数据发布形式仍需进一步创新、新媒体服务产品还可进一步丰富。2022年，局队将进一步加强政府信息公开工作的教育培训工作，着力提高机关工作人员的思想认识和能力水平，加强信息内容的提炼和升华，全面推动政府信息工作纵深发展，更便利地服务社会公众。</w:t>
      </w:r>
    </w:p>
    <w:p>
      <w:pPr>
        <w:widowControl/>
        <w:numPr>
          <w:ilvl w:val="0"/>
          <w:numId w:val="1"/>
        </w:numPr>
        <w:spacing w:line="560" w:lineRule="exact"/>
        <w:ind w:firstLine="675"/>
        <w:jc w:val="left"/>
        <w:rPr>
          <w:rFonts w:ascii="黑体" w:hAnsi="黑体" w:eastAsia="黑体" w:cs="宋体"/>
          <w:spacing w:val="8"/>
          <w:kern w:val="0"/>
          <w:sz w:val="32"/>
          <w:szCs w:val="32"/>
        </w:rPr>
      </w:pPr>
      <w:r>
        <w:rPr>
          <w:rFonts w:ascii="黑体" w:hAnsi="黑体" w:eastAsia="黑体" w:cs="宋体"/>
          <w:spacing w:val="8"/>
          <w:kern w:val="0"/>
          <w:sz w:val="32"/>
          <w:szCs w:val="32"/>
        </w:rPr>
        <w:t>其他需要报告的事项</w:t>
      </w:r>
    </w:p>
    <w:p>
      <w:pPr>
        <w:pStyle w:val="2"/>
        <w:ind w:firstLine="640" w:firstLineChars="200"/>
      </w:pPr>
      <w:r>
        <w:rPr>
          <w:rFonts w:hint="eastAsia" w:ascii="仿宋_GB2312" w:hAnsi="仿宋_GB2312" w:eastAsia="仿宋_GB2312" w:cs="仿宋_GB2312"/>
          <w:color w:val="000000"/>
          <w:sz w:val="32"/>
          <w:szCs w:val="32"/>
        </w:rPr>
        <w:t>依据《政府信息公开信息处理费管理办法》收取信息处理费的情况，在此处专门报告。</w:t>
      </w:r>
      <w:r>
        <w:rPr>
          <w:rFonts w:hint="eastAsia" w:ascii="仿宋_GB2312" w:hAnsi="仿宋_GB2312" w:eastAsia="仿宋_GB2312" w:cs="仿宋_GB2312"/>
          <w:color w:val="000000"/>
          <w:sz w:val="32"/>
          <w:szCs w:val="32"/>
          <w:lang w:val="en"/>
        </w:rPr>
        <w:t>一是发出收费通知的件数和总金额为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
        </w:rPr>
        <w:t>，二是实际收取的总金额为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
        </w:rPr>
        <w:t>。</w:t>
      </w:r>
    </w:p>
    <w:p>
      <w:pPr>
        <w:widowControl/>
        <w:spacing w:line="560" w:lineRule="exact"/>
        <w:jc w:val="left"/>
        <w:rPr>
          <w:rFonts w:ascii="仿宋_GB2312" w:hAnsi="宋体" w:eastAsia="仿宋_GB2312" w:cs="宋体"/>
          <w:color w:val="9BC2E6"/>
          <w:spacing w:val="8"/>
          <w:kern w:val="0"/>
          <w:sz w:val="32"/>
          <w:szCs w:val="32"/>
        </w:rPr>
      </w:pPr>
      <w:r>
        <w:rPr>
          <w:rFonts w:ascii="宋体" w:hAnsi="宋体" w:cs="宋体"/>
          <w:spacing w:val="8"/>
          <w:kern w:val="0"/>
          <w:sz w:val="32"/>
          <w:szCs w:val="32"/>
        </w:rPr>
        <w:t>　　</w:t>
      </w:r>
      <w:r>
        <w:rPr>
          <w:rFonts w:hint="eastAsia" w:ascii="仿宋_GB2312" w:hAnsi="仿宋_GB2312" w:eastAsia="仿宋_GB2312" w:cs="仿宋_GB2312"/>
          <w:sz w:val="32"/>
          <w:szCs w:val="32"/>
        </w:rPr>
        <w:t>北京市通州区人民政府网站网址为http://www.bjtzh.gov.cn/,如需了解更多政府信息，请登录查询。</w:t>
      </w:r>
    </w:p>
    <w:p/>
    <w:p/>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560" w:lineRule="exact"/>
        <w:rPr>
          <w:rFonts w:ascii="仿宋_GB2312" w:hAnsi="仿宋_GB2312" w:eastAsia="仿宋_GB2312" w:cs="仿宋_GB2312"/>
          <w:sz w:val="32"/>
          <w:szCs w:val="32"/>
        </w:rPr>
      </w:pPr>
      <w:bookmarkStart w:id="0" w:name="_GoBack"/>
      <w:bookmarkEnd w:id="0"/>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8EA9C"/>
    <w:multiLevelType w:val="singleLevel"/>
    <w:tmpl w:val="0E08EA9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00200F7F"/>
    <w:rsid w:val="00464028"/>
    <w:rsid w:val="00A10B4D"/>
    <w:rsid w:val="010F5CB0"/>
    <w:rsid w:val="020E7372"/>
    <w:rsid w:val="037D5E10"/>
    <w:rsid w:val="03B71E3C"/>
    <w:rsid w:val="04D1276B"/>
    <w:rsid w:val="07F813C7"/>
    <w:rsid w:val="0A826F96"/>
    <w:rsid w:val="0CBB1A54"/>
    <w:rsid w:val="0E7E0858"/>
    <w:rsid w:val="14470F9D"/>
    <w:rsid w:val="14A17984"/>
    <w:rsid w:val="157214B0"/>
    <w:rsid w:val="16D943ED"/>
    <w:rsid w:val="17217E52"/>
    <w:rsid w:val="19D73DAC"/>
    <w:rsid w:val="1E3F1448"/>
    <w:rsid w:val="1F1D44C4"/>
    <w:rsid w:val="247B746E"/>
    <w:rsid w:val="256446AD"/>
    <w:rsid w:val="27470A1C"/>
    <w:rsid w:val="29AE54B9"/>
    <w:rsid w:val="2CA6446F"/>
    <w:rsid w:val="2CEB6771"/>
    <w:rsid w:val="2EF6189F"/>
    <w:rsid w:val="30FB3D2A"/>
    <w:rsid w:val="32F87D28"/>
    <w:rsid w:val="38780662"/>
    <w:rsid w:val="3D255B57"/>
    <w:rsid w:val="3FB74917"/>
    <w:rsid w:val="425B2749"/>
    <w:rsid w:val="44117DA3"/>
    <w:rsid w:val="44266623"/>
    <w:rsid w:val="4C074CEF"/>
    <w:rsid w:val="4D1D4114"/>
    <w:rsid w:val="4E6C0C17"/>
    <w:rsid w:val="53350B0D"/>
    <w:rsid w:val="54945422"/>
    <w:rsid w:val="558F7F2F"/>
    <w:rsid w:val="55CC51C1"/>
    <w:rsid w:val="575437DF"/>
    <w:rsid w:val="5AFA3E4F"/>
    <w:rsid w:val="5B7B3CC8"/>
    <w:rsid w:val="5D7A42DF"/>
    <w:rsid w:val="5DA9301B"/>
    <w:rsid w:val="5DED1905"/>
    <w:rsid w:val="5E282F0F"/>
    <w:rsid w:val="5E7231FE"/>
    <w:rsid w:val="5F46224E"/>
    <w:rsid w:val="62AD78B3"/>
    <w:rsid w:val="65A63F93"/>
    <w:rsid w:val="666138CB"/>
    <w:rsid w:val="68B639C3"/>
    <w:rsid w:val="6CEB6ECC"/>
    <w:rsid w:val="74064D96"/>
    <w:rsid w:val="780218A6"/>
    <w:rsid w:val="7BE92A89"/>
    <w:rsid w:val="7C64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13"/>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8">
    <w:name w:val="annotation subject"/>
    <w:basedOn w:val="3"/>
    <w:next w:val="3"/>
    <w:link w:val="14"/>
    <w:qFormat/>
    <w:uiPriority w:val="0"/>
    <w:rPr>
      <w:b/>
      <w:bCs/>
    </w:rPr>
  </w:style>
  <w:style w:type="character" w:styleId="11">
    <w:name w:val="Hyperlink"/>
    <w:basedOn w:val="10"/>
    <w:qFormat/>
    <w:uiPriority w:val="0"/>
    <w:rPr>
      <w:color w:val="000000"/>
      <w:u w:val="none"/>
    </w:rPr>
  </w:style>
  <w:style w:type="character" w:styleId="12">
    <w:name w:val="annotation reference"/>
    <w:basedOn w:val="10"/>
    <w:uiPriority w:val="0"/>
    <w:rPr>
      <w:sz w:val="21"/>
      <w:szCs w:val="21"/>
    </w:rPr>
  </w:style>
  <w:style w:type="character" w:customStyle="1" w:styleId="13">
    <w:name w:val="批注文字 字符"/>
    <w:basedOn w:val="10"/>
    <w:link w:val="3"/>
    <w:uiPriority w:val="0"/>
    <w:rPr>
      <w:rFonts w:ascii="Calibri" w:hAnsi="Calibri"/>
      <w:kern w:val="2"/>
      <w:sz w:val="21"/>
      <w:szCs w:val="24"/>
    </w:rPr>
  </w:style>
  <w:style w:type="character" w:customStyle="1" w:styleId="14">
    <w:name w:val="批注主题 字符"/>
    <w:basedOn w:val="13"/>
    <w:link w:val="8"/>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330</Words>
  <Characters>1884</Characters>
  <Lines>15</Lines>
  <Paragraphs>4</Paragraphs>
  <TotalTime>3</TotalTime>
  <ScaleCrop>false</ScaleCrop>
  <LinksUpToDate>false</LinksUpToDate>
  <CharactersWithSpaces>2210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2019-12-09T05:53:00Z</dcterms:created>
  <dc:creator>一米阳光66</dc:creator>
  <cp:lastModifiedBy>Administrator</cp:lastModifiedBy>
  <cp:lastPrinted>2019-12-12T01:52:00Z</cp:lastPrinted>
  <dcterms:modified xsi:type="dcterms:W3CDTF">2022-01-06T09:19:48Z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4B2767E7225C4DC38A6A9A99C0F02284</vt:lpwstr>
  </property>
</Properties>
</file>