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北京市通州区</w:t>
      </w:r>
      <w:r>
        <w:rPr>
          <w:rFonts w:hint="eastAsia" w:ascii="方正小标宋简体" w:hAnsi="方正小标宋简体" w:eastAsia="方正小标宋简体" w:cs="方正小标宋简体"/>
          <w:sz w:val="44"/>
          <w:szCs w:val="44"/>
        </w:rPr>
        <w:t>潞源街道2021年</w:t>
      </w:r>
    </w:p>
    <w:p>
      <w:pPr>
        <w:spacing w:line="540" w:lineRule="exact"/>
        <w:jc w:val="center"/>
        <w:rPr>
          <w:sz w:val="44"/>
          <w:szCs w:val="44"/>
        </w:rPr>
      </w:pPr>
      <w:r>
        <w:rPr>
          <w:rFonts w:hint="eastAsia" w:ascii="方正小标宋简体" w:hAnsi="方正小标宋简体" w:eastAsia="方正小标宋简体" w:cs="方正小标宋简体"/>
          <w:sz w:val="44"/>
          <w:szCs w:val="44"/>
        </w:rPr>
        <w:t>政府信息公开工作年度报告</w:t>
      </w: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2" w:firstLineChars="200"/>
        <w:jc w:val="left"/>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1.主动公开情况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潞源街道于2018年7月31日挂牌成立，2019年3月正式开展区政府网站信息公开工作。截止目前，我单位公开信息涉及7个方面内容。2021年，我单位共公开相关信息共计122条，其中政策资料1条，机构职能3条，双公示30条，预决算公开2条，行政执法公示53条，其他政务服务事项1条，部门动态30条，政府信息公开指南1条，政府信息公开年报1条。</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2.依申请公开办理情况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right="0" w:firstLine="672" w:firstLineChars="200"/>
        <w:jc w:val="both"/>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潞源街道2021年依申请公开共受理2件,均为邮寄方式收到的依申请公开,并通过挂号信的方式及时给予当事人答复,按时办结,完成率100%。今年我街道没有接到行政诉讼或行政复议等申请。</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lang w:val="en-US" w:eastAsia="zh-CN"/>
        </w:rPr>
        <w:t>3</w:t>
      </w:r>
      <w:r>
        <w:rPr>
          <w:rFonts w:hint="eastAsia" w:ascii="楷体_GB2312" w:hAnsi="楷体_GB2312" w:eastAsia="楷体_GB2312" w:cs="楷体_GB2312"/>
          <w:spacing w:val="8"/>
          <w:kern w:val="0"/>
          <w:sz w:val="32"/>
          <w:szCs w:val="32"/>
        </w:rPr>
        <w:t>.政府信息公开监督保障及教育培训情况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bidi="ar-SA"/>
        </w:rPr>
        <w:t>2021年潞源街道严格按照《中华人民共和国政府信息公开条例》的规定和上级有关部门的部署和要求,主动接受有关部门和社会各界的监督,努力做到政府信息公开内容真实全面以及公开的及时性;将信息公开条例下发到各部门，进行学习培训,切实提高政务公开队伍的业务素养和工作能力,不断提高工作人员的业务能力基础。在街道内部无纸化办公系统开通信息公开审批单和执法公开事项审批单，通过三级审批流程，规范信息公开内容的准确性。</w:t>
      </w:r>
      <w:bookmarkStart w:id="0" w:name="_GoBack"/>
      <w:bookmarkEnd w:id="0"/>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4"/>
      </w:pPr>
    </w:p>
    <w:p>
      <w:pPr>
        <w:pStyle w:val="4"/>
      </w:pP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w:t>
            </w: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85</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4"/>
      </w:pPr>
    </w:p>
    <w:p>
      <w:pPr>
        <w:pStyle w:val="4"/>
      </w:pPr>
    </w:p>
    <w:p>
      <w:pPr>
        <w:pStyle w:val="4"/>
      </w:pPr>
    </w:p>
    <w:p>
      <w:pPr>
        <w:pStyle w:val="4"/>
      </w:pPr>
    </w:p>
    <w:p>
      <w:pPr>
        <w:pStyle w:val="4"/>
      </w:pPr>
    </w:p>
    <w:p>
      <w:pPr>
        <w:numPr>
          <w:ilvl w:val="0"/>
          <w:numId w:val="1"/>
        </w:numPr>
        <w:spacing w:line="560" w:lineRule="exact"/>
        <w:ind w:firstLine="640" w:firstLineChars="200"/>
        <w:rPr>
          <w:rFonts w:ascii="宋体" w:hAnsi="宋体" w:cs="宋体"/>
          <w:color w:val="333333"/>
          <w:sz w:val="24"/>
        </w:rPr>
      </w:pPr>
      <w:r>
        <w:rPr>
          <w:rFonts w:hint="eastAsia" w:ascii="黑体" w:hAnsi="黑体" w:eastAsia="黑体" w:cs="黑体"/>
          <w:sz w:val="32"/>
          <w:szCs w:val="32"/>
        </w:rPr>
        <w:t>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2</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1</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1</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1</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2</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w:t>
            </w:r>
            <w:r>
              <w:rPr>
                <w:rFonts w:hint="eastAsia" w:cs="Calibri"/>
                <w:kern w:val="0"/>
                <w:sz w:val="20"/>
                <w:szCs w:val="20"/>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cs="Calibri"/>
                <w:kern w:val="0"/>
                <w:sz w:val="20"/>
                <w:szCs w:val="20"/>
                <w:lang w:bidi="ar"/>
              </w:rPr>
              <w:t>0</w:t>
            </w:r>
            <w:r>
              <w:rPr>
                <w:rFonts w:cs="Calibri"/>
                <w:kern w:val="0"/>
                <w:sz w:val="20"/>
                <w:szCs w:val="20"/>
                <w:lang w:bidi="ar"/>
              </w:rPr>
              <w:t> </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cs="Calibri"/>
                <w:kern w:val="0"/>
                <w:sz w:val="20"/>
                <w:szCs w:val="20"/>
                <w:lang w:bidi="ar"/>
              </w:rPr>
              <w:t>0</w:t>
            </w:r>
            <w:r>
              <w:rPr>
                <w:rFonts w:cs="Calibri"/>
                <w:kern w:val="0"/>
                <w:sz w:val="20"/>
                <w:szCs w:val="20"/>
                <w:lang w:bidi="ar"/>
              </w:rPr>
              <w:t> </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cs="Calibri"/>
                <w:kern w:val="0"/>
                <w:sz w:val="20"/>
                <w:szCs w:val="20"/>
                <w:lang w:bidi="ar"/>
              </w:rPr>
              <w:t>0</w:t>
            </w:r>
            <w:r>
              <w:rPr>
                <w:rFonts w:cs="Calibri"/>
                <w:kern w:val="0"/>
                <w:sz w:val="20"/>
                <w:szCs w:val="20"/>
                <w:lang w:bidi="ar"/>
              </w:rPr>
              <w:t> </w:t>
            </w:r>
          </w:p>
        </w:tc>
        <w:tc>
          <w:tcPr>
            <w:tcW w:w="689" w:type="dxa"/>
            <w:tcBorders>
              <w:top w:val="outset" w:color="auto" w:sz="6" w:space="0"/>
              <w:left w:val="nil"/>
              <w:bottom w:val="outset" w:color="auto" w:sz="6" w:space="0"/>
              <w:right w:val="outset" w:color="auto" w:sz="6" w:space="0"/>
            </w:tcBorders>
          </w:tcPr>
          <w:p>
            <w:pPr>
              <w:widowControl/>
              <w:jc w:val="center"/>
              <w:rPr>
                <w:rFonts w:ascii="宋体"/>
                <w:sz w:val="24"/>
              </w:rPr>
            </w:pPr>
            <w:r>
              <w:rPr>
                <w:rFonts w:cs="Calibri"/>
                <w:kern w:val="0"/>
                <w:sz w:val="20"/>
                <w:szCs w:val="20"/>
                <w:lang w:bidi="ar"/>
              </w:rPr>
              <w:t> </w:t>
            </w:r>
            <w:r>
              <w:rPr>
                <w:rFonts w:hint="eastAsia" w:cs="Calibri"/>
                <w:kern w:val="0"/>
                <w:sz w:val="20"/>
                <w:szCs w:val="20"/>
                <w:lang w:bidi="ar"/>
              </w:rPr>
              <w:t>0</w:t>
            </w:r>
          </w:p>
        </w:tc>
      </w:tr>
    </w:tbl>
    <w:p>
      <w:pPr>
        <w:pStyle w:val="4"/>
        <w:ind w:left="420" w:leftChars="200"/>
      </w:pPr>
    </w:p>
    <w:p>
      <w:pPr>
        <w:pStyle w:val="4"/>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潞源街道政府信息公开工作在很多方面有了较大进步，但还存在一定的差距。存在的主要问题包括两方面，一是个别信息公开存在不及时、不完整、不规范的问题。二是针对信息公开方面业务学习需进一步加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下一步改进的主要措施：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val="en-US" w:eastAsia="zh-CN" w:bidi="ar-SA"/>
        </w:rPr>
        <w:t>1.加强宣传力度。</w:t>
      </w:r>
      <w:r>
        <w:rPr>
          <w:rFonts w:hint="eastAsia" w:ascii="仿宋_GB2312" w:hAnsi="仿宋_GB2312" w:eastAsia="仿宋_GB2312" w:cs="仿宋_GB2312"/>
          <w:kern w:val="2"/>
          <w:sz w:val="32"/>
          <w:szCs w:val="32"/>
          <w:lang w:val="en-US" w:eastAsia="zh-CN" w:bidi="ar-SA"/>
        </w:rPr>
        <w:t>及时向社会公</w:t>
      </w:r>
      <w:r>
        <w:rPr>
          <w:rFonts w:hint="eastAsia" w:ascii="仿宋_GB2312" w:hAnsi="仿宋_GB2312" w:eastAsia="仿宋_GB2312" w:cs="仿宋_GB2312"/>
          <w:sz w:val="32"/>
          <w:szCs w:val="32"/>
        </w:rPr>
        <w:t>开政府工作报告重点任务、政策信息等与民生密切相关的信息，增强政策信息到达率和适用度。</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ascii="仿宋_GB2312" w:hAnsi="宋体" w:eastAsia="仿宋_GB2312" w:cs="宋体"/>
          <w:spacing w:val="8"/>
          <w:kern w:val="0"/>
          <w:sz w:val="32"/>
          <w:szCs w:val="32"/>
        </w:rPr>
      </w:pPr>
      <w:r>
        <w:rPr>
          <w:rFonts w:hint="eastAsia" w:ascii="楷体_GB2312" w:hAnsi="楷体_GB2312" w:eastAsia="楷体_GB2312" w:cs="楷体_GB2312"/>
          <w:sz w:val="32"/>
          <w:szCs w:val="32"/>
        </w:rPr>
        <w:t>2.强化业务培训。</w:t>
      </w:r>
      <w:r>
        <w:rPr>
          <w:rFonts w:hint="eastAsia" w:ascii="仿宋_GB2312" w:hAnsi="仿宋_GB2312" w:eastAsia="仿宋_GB2312" w:cs="仿宋_GB2312"/>
          <w:sz w:val="32"/>
          <w:szCs w:val="32"/>
        </w:rPr>
        <w:t>重点围绕贯彻落实《政府信息公开条例》，灵活采取多种方式加强业务培训。加大政策培训力度，提高工作人员政务公开意识，突出问题导向，突出工作特点，提高政府信息公开工作能力水平。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3"/>
        <w:rPr>
          <w:rFonts w:hint="eastAsia" w:ascii="仿宋_GB2312" w:hAnsi="仿宋_GB2312" w:eastAsia="仿宋_GB2312" w:cs="仿宋_GB2312"/>
          <w:kern w:val="2"/>
          <w:sz w:val="32"/>
          <w:szCs w:val="32"/>
          <w:lang w:val="en-US" w:eastAsia="zh-CN" w:bidi="ar-SA"/>
        </w:rPr>
      </w:pPr>
      <w:r>
        <w:rPr>
          <w:rFonts w:ascii="宋体" w:hAnsi="宋体" w:cs="宋体"/>
          <w:spacing w:val="8"/>
          <w:kern w:val="0"/>
          <w:sz w:val="32"/>
          <w:szCs w:val="32"/>
        </w:rPr>
        <w:t>　　</w:t>
      </w:r>
      <w:r>
        <w:rPr>
          <w:rFonts w:hint="eastAsia" w:ascii="宋体" w:hAnsi="宋体" w:cs="宋体"/>
          <w:spacing w:val="8"/>
          <w:kern w:val="0"/>
          <w:sz w:val="32"/>
          <w:szCs w:val="32"/>
        </w:rPr>
        <w:t xml:space="preserve"> </w:t>
      </w:r>
      <w:r>
        <w:rPr>
          <w:rFonts w:hint="eastAsia" w:ascii="仿宋_GB2312" w:hAnsi="仿宋_GB2312" w:eastAsia="仿宋_GB2312" w:cs="仿宋_GB2312"/>
          <w:kern w:val="2"/>
          <w:sz w:val="32"/>
          <w:szCs w:val="32"/>
          <w:lang w:val="en-US" w:eastAsia="zh-CN" w:bidi="ar-SA"/>
        </w:rPr>
        <w:t>本单位依据《政府信息公开信息处理费管理办法》收取信息处理费，2021年发出收费通知的件数0件，总金额0元。实际收取的总金额0元。</w:t>
      </w:r>
    </w:p>
    <w:p>
      <w:pPr>
        <w:rPr>
          <w:rFonts w:hint="eastAsia" w:ascii="仿宋_GB2312" w:hAnsi="仿宋_GB2312" w:eastAsia="仿宋_GB2312" w:cs="仿宋_GB2312"/>
          <w:kern w:val="2"/>
          <w:sz w:val="32"/>
          <w:szCs w:val="32"/>
          <w:lang w:val="en-US" w:eastAsia="zh-CN" w:bidi="ar-SA"/>
        </w:rPr>
      </w:pPr>
    </w:p>
    <w:p>
      <w:pPr>
        <w:pStyle w:val="4"/>
        <w:rPr>
          <w:rFonts w:hint="eastAsia" w:ascii="仿宋_GB2312" w:hAnsi="仿宋_GB2312" w:eastAsia="仿宋_GB2312" w:cs="仿宋_GB2312"/>
          <w:kern w:val="2"/>
          <w:sz w:val="32"/>
          <w:szCs w:val="32"/>
          <w:lang w:val="en-US" w:eastAsia="zh-CN" w:bidi="ar-SA"/>
        </w:rPr>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6320C"/>
    <w:rsid w:val="00353511"/>
    <w:rsid w:val="004E3A17"/>
    <w:rsid w:val="007C46EE"/>
    <w:rsid w:val="19193A3A"/>
    <w:rsid w:val="19C6320C"/>
    <w:rsid w:val="2A857D9D"/>
    <w:rsid w:val="2D8B0758"/>
    <w:rsid w:val="32D91099"/>
    <w:rsid w:val="377C0259"/>
    <w:rsid w:val="3BDC2C82"/>
    <w:rsid w:val="48974EFB"/>
    <w:rsid w:val="4BE913AE"/>
    <w:rsid w:val="716D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qFormat/>
    <w:uiPriority w:val="99"/>
    <w:pPr>
      <w:spacing w:line="600" w:lineRule="exact"/>
    </w:pPr>
    <w:rPr>
      <w:rFonts w:ascii="黑体" w:hAnsi="黑体" w:eastAsia="黑体" w:cs="黑体"/>
      <w:sz w:val="32"/>
      <w:szCs w:val="32"/>
    </w:rPr>
  </w:style>
  <w:style w:type="paragraph" w:styleId="3">
    <w:name w:val="annotation text"/>
    <w:basedOn w:val="1"/>
    <w:link w:val="10"/>
    <w:qFormat/>
    <w:uiPriority w:val="0"/>
    <w:pPr>
      <w:jc w:val="left"/>
    </w:pPr>
  </w:style>
  <w:style w:type="paragraph" w:styleId="4">
    <w:name w:val="Plain Text"/>
    <w:basedOn w:val="1"/>
    <w:qFormat/>
    <w:uiPriority w:val="0"/>
    <w:rPr>
      <w:rFonts w:ascii="宋体" w:hAnsi="Courier New"/>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annotation subject"/>
    <w:basedOn w:val="3"/>
    <w:next w:val="3"/>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字符"/>
    <w:basedOn w:val="8"/>
    <w:link w:val="3"/>
    <w:qFormat/>
    <w:uiPriority w:val="0"/>
    <w:rPr>
      <w:rFonts w:ascii="Calibri" w:hAnsi="Calibri" w:eastAsia="宋体" w:cs="Times New Roman"/>
      <w:kern w:val="2"/>
      <w:sz w:val="21"/>
      <w:szCs w:val="24"/>
    </w:rPr>
  </w:style>
  <w:style w:type="character" w:customStyle="1" w:styleId="11">
    <w:name w:val="批注主题 字符"/>
    <w:basedOn w:val="10"/>
    <w:link w:val="6"/>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1773</Characters>
  <Lines>14</Lines>
  <Paragraphs>4</Paragraphs>
  <TotalTime>5</TotalTime>
  <ScaleCrop>false</ScaleCrop>
  <LinksUpToDate>false</LinksUpToDate>
  <CharactersWithSpaces>2079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2022-01-04T02:40:00Z</dcterms:created>
  <dc:creator>杨曼</dc:creator>
  <cp:lastModifiedBy>评测</cp:lastModifiedBy>
  <dcterms:modified xsi:type="dcterms:W3CDTF">2022-01-17T08:14:14Z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ACD75F905F964EE4B2EE0901AB68B873</vt:lpwstr>
  </property>
</Properties>
</file>