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北京市通州区财政局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560" w:lineRule="exact"/>
        <w:jc w:val="center"/>
        <w:rPr>
          <w:sz w:val="44"/>
          <w:szCs w:val="44"/>
        </w:rPr>
      </w:pPr>
    </w:p>
    <w:p>
      <w:pPr>
        <w:widowControl/>
        <w:spacing w:line="560" w:lineRule="exact"/>
        <w:ind w:firstLine="664" w:firstLineChars="200"/>
        <w:rPr>
          <w:rFonts w:ascii="仿宋_GB2312" w:hAnsi="宋体" w:cs="宋体"/>
          <w:spacing w:val="8"/>
          <w:kern w:val="0"/>
          <w:szCs w:val="32"/>
        </w:rPr>
      </w:pPr>
      <w:r>
        <w:rPr>
          <w:rFonts w:hint="eastAsia" w:ascii="仿宋_GB2312" w:hAnsi="宋体" w:cs="宋体"/>
          <w:spacing w:val="8"/>
          <w:kern w:val="0"/>
          <w:szCs w:val="32"/>
        </w:rPr>
        <w:t>依据《中华人民共和国政府信息公开条例》(以下简称《政府信息公开条例》)第五十条规定，编制本报告。</w:t>
      </w:r>
    </w:p>
    <w:p>
      <w:pPr>
        <w:widowControl/>
        <w:spacing w:line="560" w:lineRule="exact"/>
        <w:ind w:firstLine="664" w:firstLineChars="200"/>
        <w:rPr>
          <w:rFonts w:ascii="黑体" w:hAnsi="黑体" w:eastAsia="黑体" w:cs="宋体"/>
          <w:spacing w:val="8"/>
          <w:kern w:val="0"/>
          <w:szCs w:val="32"/>
        </w:rPr>
      </w:pPr>
      <w:r>
        <w:rPr>
          <w:rFonts w:ascii="黑体" w:hAnsi="黑体" w:eastAsia="黑体" w:cs="宋体"/>
          <w:spacing w:val="8"/>
          <w:kern w:val="0"/>
          <w:szCs w:val="32"/>
        </w:rPr>
        <w:t>一、总体情况</w:t>
      </w:r>
    </w:p>
    <w:p>
      <w:pPr>
        <w:widowControl/>
        <w:spacing w:line="560" w:lineRule="exact"/>
        <w:ind w:firstLine="664" w:firstLineChars="200"/>
        <w:rPr>
          <w:rFonts w:ascii="仿宋_GB2312" w:hAnsi="宋体" w:cs="宋体"/>
          <w:spacing w:val="8"/>
          <w:kern w:val="0"/>
          <w:szCs w:val="32"/>
        </w:rPr>
      </w:pPr>
      <w:r>
        <w:rPr>
          <w:rFonts w:hint="eastAsia" w:ascii="仿宋_GB2312" w:hAnsi="宋体" w:cs="宋体"/>
          <w:spacing w:val="8"/>
          <w:kern w:val="0"/>
          <w:szCs w:val="32"/>
        </w:rPr>
        <w:t>2021年，我局认真落实《政府信息公开条例》和《北京市通州区202</w:t>
      </w:r>
      <w:r>
        <w:rPr>
          <w:rFonts w:ascii="仿宋_GB2312" w:hAnsi="宋体" w:cs="宋体"/>
          <w:spacing w:val="8"/>
          <w:kern w:val="0"/>
          <w:szCs w:val="32"/>
        </w:rPr>
        <w:t>1</w:t>
      </w:r>
      <w:r>
        <w:rPr>
          <w:rFonts w:hint="eastAsia" w:ascii="仿宋_GB2312" w:hAnsi="宋体" w:cs="宋体"/>
          <w:spacing w:val="8"/>
          <w:kern w:val="0"/>
          <w:szCs w:val="32"/>
        </w:rPr>
        <w:t>年政务公开工作要点》，紧密结合</w:t>
      </w:r>
      <w:r>
        <w:rPr>
          <w:rFonts w:ascii="仿宋_GB2312" w:hAnsi="宋体" w:cs="宋体"/>
          <w:spacing w:val="8"/>
          <w:kern w:val="0"/>
          <w:szCs w:val="32"/>
        </w:rPr>
        <w:t>财政</w:t>
      </w:r>
      <w:r>
        <w:rPr>
          <w:rFonts w:hint="eastAsia" w:ascii="仿宋_GB2312" w:hAnsi="宋体" w:cs="宋体"/>
          <w:spacing w:val="8"/>
          <w:kern w:val="0"/>
          <w:szCs w:val="32"/>
        </w:rPr>
        <w:t>工作，不断规范政府信息公开内容，严格落实政府信息公开程序，持续提升政府信息公开水平。</w:t>
      </w:r>
    </w:p>
    <w:p>
      <w:pPr>
        <w:widowControl/>
        <w:spacing w:line="560" w:lineRule="exact"/>
        <w:ind w:firstLine="664" w:firstLineChars="200"/>
        <w:rPr>
          <w:rFonts w:ascii="仿宋_GB2312" w:hAnsi="宋体" w:cs="宋体"/>
          <w:spacing w:val="8"/>
          <w:kern w:val="0"/>
          <w:szCs w:val="32"/>
        </w:rPr>
      </w:pPr>
      <w:r>
        <w:rPr>
          <w:rFonts w:hint="eastAsia" w:ascii="楷体" w:hAnsi="楷体" w:eastAsia="楷体" w:cs="宋体"/>
          <w:spacing w:val="8"/>
          <w:kern w:val="0"/>
          <w:szCs w:val="32"/>
        </w:rPr>
        <w:t>（一）主动公开方面。</w:t>
      </w:r>
      <w:r>
        <w:rPr>
          <w:rFonts w:hint="eastAsia" w:ascii="仿宋_GB2312" w:hAnsi="宋体" w:cs="宋体"/>
          <w:spacing w:val="8"/>
          <w:kern w:val="0"/>
          <w:szCs w:val="32"/>
        </w:rPr>
        <w:t>坚持“以公开为常态，不公开为例外”的原则，聚焦群众关切，按时限、按要求及时主动公开政府信息。2021年，全局通过区政府门户网站主动公开信息165条。</w:t>
      </w:r>
    </w:p>
    <w:p>
      <w:pPr>
        <w:widowControl/>
        <w:spacing w:line="560" w:lineRule="exact"/>
        <w:ind w:firstLine="664" w:firstLineChars="200"/>
        <w:rPr>
          <w:rFonts w:ascii="仿宋_GB2312" w:hAnsi="宋体" w:cs="宋体"/>
          <w:spacing w:val="8"/>
          <w:kern w:val="0"/>
          <w:szCs w:val="32"/>
        </w:rPr>
      </w:pPr>
      <w:r>
        <w:rPr>
          <w:rFonts w:hint="eastAsia" w:ascii="楷体" w:hAnsi="楷体" w:eastAsia="楷体" w:cs="宋体"/>
          <w:spacing w:val="8"/>
          <w:kern w:val="0"/>
          <w:szCs w:val="32"/>
        </w:rPr>
        <w:t>（二）依申请公开方面。</w:t>
      </w:r>
      <w:r>
        <w:rPr>
          <w:rFonts w:hint="eastAsia" w:ascii="仿宋_GB2312" w:hAnsi="宋体" w:cs="宋体"/>
          <w:spacing w:val="8"/>
          <w:kern w:val="0"/>
          <w:szCs w:val="32"/>
        </w:rPr>
        <w:t>进一步规范依申请公开工作规程，完善依申请公开接收、登记、办理、答复流程。全年收到政府信息公开申请10件，均全部依法按时答复。</w:t>
      </w:r>
    </w:p>
    <w:p>
      <w:pPr>
        <w:spacing w:line="560" w:lineRule="exact"/>
        <w:ind w:firstLine="664" w:firstLineChars="200"/>
        <w:rPr>
          <w:rFonts w:ascii="仿宋_GB2312" w:hAnsi="宋体" w:cs="宋体"/>
          <w:spacing w:val="8"/>
          <w:kern w:val="0"/>
          <w:szCs w:val="32"/>
        </w:rPr>
      </w:pPr>
      <w:r>
        <w:rPr>
          <w:rFonts w:hint="eastAsia" w:ascii="楷体" w:hAnsi="楷体" w:eastAsia="楷体" w:cs="宋体"/>
          <w:spacing w:val="8"/>
          <w:kern w:val="0"/>
          <w:szCs w:val="32"/>
        </w:rPr>
        <w:t>（三）政府信息公开管理方面。</w:t>
      </w:r>
      <w:r>
        <w:rPr>
          <w:rFonts w:hint="eastAsia" w:ascii="仿宋_GB2312" w:hAnsi="宋体" w:cs="宋体"/>
          <w:spacing w:val="8"/>
          <w:kern w:val="0"/>
          <w:szCs w:val="32"/>
        </w:rPr>
        <w:t>一是完善领导机制。成立局政府信息公开工作领导小组，明确党政“一把手”负总责、分管局领导亲自抓、承办部门负责人直接负责，形成层层抓落实的责任管理体系。二是健全工作机制。修订完善《通州区财政局信息公开工作制度》，从政府信息公开的原则和规定、组织机构和工作职责、公开内容与属性界定、主动公开、依申请公开、监督和保障等6个方面进行工作规范</w:t>
      </w:r>
      <w:r>
        <w:rPr>
          <w:rFonts w:hint="eastAsia" w:ascii="仿宋_GB2312" w:hAnsi="仿宋_GB2312" w:cs="仿宋_GB2312"/>
          <w:szCs w:val="32"/>
        </w:rPr>
        <w:t>和内容细化，加力推动政府信息公开工作提质增效。</w:t>
      </w:r>
      <w:r>
        <w:rPr>
          <w:rFonts w:hint="eastAsia" w:ascii="仿宋_GB2312" w:hAnsi="宋体" w:cs="宋体"/>
          <w:spacing w:val="8"/>
          <w:kern w:val="0"/>
          <w:szCs w:val="32"/>
        </w:rPr>
        <w:t>三是从严落实上网信息审批制度。坚持“先审查后公开”和“谁发布、谁负责”的原则，对上网发布的信息进行层层审核，严把“涉密信息不上网、上网信息不涉密”关口，确保了网上发布信息的安全。</w:t>
      </w:r>
    </w:p>
    <w:p>
      <w:pPr>
        <w:numPr>
          <w:ilvl w:val="0"/>
          <w:numId w:val="1"/>
        </w:numPr>
        <w:spacing w:line="560" w:lineRule="exact"/>
        <w:ind w:firstLine="632" w:firstLineChars="200"/>
        <w:rPr>
          <w:rFonts w:ascii="黑体" w:hAnsi="黑体" w:eastAsia="黑体" w:cs="黑体"/>
          <w:szCs w:val="32"/>
        </w:rPr>
      </w:pPr>
      <w:r>
        <w:rPr>
          <w:rFonts w:hint="eastAsia" w:ascii="黑体" w:hAnsi="黑体" w:eastAsia="黑体" w:cs="黑体"/>
          <w:szCs w:val="32"/>
        </w:rPr>
        <w:t>主动公开政府信息情况</w:t>
      </w:r>
    </w:p>
    <w:p>
      <w:pPr>
        <w:pStyle w:val="2"/>
      </w:pPr>
    </w:p>
    <w:tbl>
      <w:tblPr>
        <w:tblStyle w:val="6"/>
        <w:tblW w:w="9576" w:type="dxa"/>
        <w:jc w:val="center"/>
        <w:tblLayout w:type="autofit"/>
        <w:tblCellMar>
          <w:top w:w="0" w:type="dxa"/>
          <w:left w:w="0" w:type="dxa"/>
          <w:bottom w:w="0" w:type="dxa"/>
          <w:right w:w="0" w:type="dxa"/>
        </w:tblCellMar>
      </w:tblPr>
      <w:tblGrid>
        <w:gridCol w:w="2271"/>
        <w:gridCol w:w="2435"/>
        <w:gridCol w:w="2435"/>
        <w:gridCol w:w="2435"/>
      </w:tblGrid>
      <w:tr>
        <w:tblPrEx>
          <w:tblCellMar>
            <w:top w:w="0" w:type="dxa"/>
            <w:left w:w="0" w:type="dxa"/>
            <w:bottom w:w="0" w:type="dxa"/>
            <w:right w:w="0" w:type="dxa"/>
          </w:tblCellMar>
        </w:tblPrEx>
        <w:trPr>
          <w:trHeight w:val="340" w:hRule="atLeast"/>
          <w:jc w:val="center"/>
        </w:trPr>
        <w:tc>
          <w:tcPr>
            <w:tcW w:w="9576" w:type="dxa"/>
            <w:gridSpan w:val="4"/>
            <w:tcBorders>
              <w:top w:val="single" w:color="auto" w:sz="8" w:space="0"/>
              <w:left w:val="single" w:color="auto" w:sz="8" w:space="0"/>
              <w:bottom w:val="single" w:color="auto" w:sz="8" w:space="0"/>
              <w:right w:val="single" w:color="auto" w:sz="8" w:space="0"/>
            </w:tcBorders>
            <w:shd w:val="clear" w:color="auto" w:fill="9BC2E6"/>
            <w:noWrap/>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DDEBF7"/>
            <w:noWrap/>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现行有效件</w:t>
            </w:r>
            <w:r>
              <w:rPr>
                <w:rFonts w:hint="eastAsia" w:ascii="宋体" w:hAnsi="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noWrap/>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44</w:t>
            </w:r>
          </w:p>
        </w:tc>
      </w:tr>
      <w:tr>
        <w:tblPrEx>
          <w:tblCellMar>
            <w:top w:w="0" w:type="dxa"/>
            <w:left w:w="0" w:type="dxa"/>
            <w:bottom w:w="0" w:type="dxa"/>
            <w:right w:w="0" w:type="dxa"/>
          </w:tblCellMar>
        </w:tblPrEx>
        <w:trPr>
          <w:trHeight w:val="340" w:hRule="atLeast"/>
          <w:jc w:val="center"/>
        </w:trPr>
        <w:tc>
          <w:tcPr>
            <w:tcW w:w="9576" w:type="dxa"/>
            <w:gridSpan w:val="4"/>
            <w:tcBorders>
              <w:top w:val="nil"/>
              <w:left w:val="single" w:color="auto" w:sz="8" w:space="0"/>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ascii="宋体" w:hAnsi="宋体" w:cs="宋体"/>
                <w:color w:val="000000"/>
                <w:kern w:val="0"/>
                <w:sz w:val="20"/>
                <w:szCs w:val="20"/>
              </w:rPr>
              <w:t>72</w:t>
            </w:r>
          </w:p>
        </w:tc>
      </w:tr>
      <w:tr>
        <w:tblPrEx>
          <w:tblCellMar>
            <w:top w:w="0" w:type="dxa"/>
            <w:left w:w="0" w:type="dxa"/>
            <w:bottom w:w="0" w:type="dxa"/>
            <w:right w:w="0" w:type="dxa"/>
          </w:tblCellMar>
        </w:tblPrEx>
        <w:trPr>
          <w:trHeight w:val="340" w:hRule="atLeast"/>
          <w:jc w:val="center"/>
        </w:trPr>
        <w:tc>
          <w:tcPr>
            <w:tcW w:w="9576" w:type="dxa"/>
            <w:gridSpan w:val="4"/>
            <w:tcBorders>
              <w:top w:val="nil"/>
              <w:left w:val="single" w:color="auto" w:sz="8" w:space="0"/>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color w:val="000000"/>
                <w:kern w:val="0"/>
                <w:sz w:val="20"/>
                <w:szCs w:val="20"/>
              </w:rPr>
              <w:t>第二十条第（六）项</w:t>
            </w:r>
          </w:p>
        </w:tc>
      </w:tr>
      <w:tr>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r>
      <w:tr>
        <w:tblPrEx>
          <w:tblCellMar>
            <w:top w:w="0" w:type="dxa"/>
            <w:left w:w="0" w:type="dxa"/>
            <w:bottom w:w="0" w:type="dxa"/>
            <w:right w:w="0" w:type="dxa"/>
          </w:tblCellMar>
        </w:tblPrEx>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noWrap/>
            <w:tcMar>
              <w:left w:w="57" w:type="dxa"/>
              <w:right w:w="57" w:type="dxa"/>
            </w:tcMar>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9576" w:type="dxa"/>
            <w:gridSpan w:val="4"/>
            <w:tcBorders>
              <w:top w:val="nil"/>
              <w:left w:val="single" w:color="auto" w:sz="8" w:space="0"/>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DDEBF7"/>
            <w:noWrap/>
            <w:tcMar>
              <w:left w:w="57" w:type="dxa"/>
              <w:right w:w="57" w:type="dxa"/>
            </w:tcMar>
            <w:vAlign w:val="center"/>
          </w:tcPr>
          <w:p>
            <w:pPr>
              <w:widowControl/>
              <w:jc w:val="cente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271" w:type="dxa"/>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noWrap/>
            <w:tcMar>
              <w:left w:w="57" w:type="dxa"/>
              <w:right w:w="57" w:type="dxa"/>
            </w:tcMar>
            <w:vAlign w:val="center"/>
          </w:tcPr>
          <w:p>
            <w:pPr>
              <w:widowControl/>
              <w:jc w:val="center"/>
              <w:rPr>
                <w:rFonts w:ascii="宋体"/>
                <w:sz w:val="24"/>
              </w:rPr>
            </w:pPr>
            <w:bookmarkStart w:id="0" w:name="_GoBack"/>
            <w:r>
              <w:rPr>
                <w:rFonts w:hint="eastAsia" w:ascii="宋体" w:hAnsi="宋体" w:cs="宋体"/>
                <w:color w:val="000000"/>
                <w:kern w:val="0"/>
                <w:sz w:val="20"/>
                <w:szCs w:val="20"/>
              </w:rPr>
              <w:t>63.03</w:t>
            </w:r>
            <w:bookmarkEnd w:id="0"/>
          </w:p>
        </w:tc>
      </w:tr>
    </w:tbl>
    <w:p>
      <w:pPr>
        <w:spacing w:line="560" w:lineRule="exact"/>
        <w:ind w:left="640"/>
        <w:rPr>
          <w:rFonts w:ascii="黑体" w:hAnsi="黑体" w:eastAsia="黑体" w:cs="黑体"/>
          <w:szCs w:val="32"/>
        </w:rPr>
      </w:pPr>
    </w:p>
    <w:p>
      <w:pPr>
        <w:numPr>
          <w:ilvl w:val="0"/>
          <w:numId w:val="1"/>
        </w:numPr>
        <w:spacing w:line="560" w:lineRule="exact"/>
        <w:ind w:firstLine="632" w:firstLineChars="200"/>
        <w:rPr>
          <w:rFonts w:ascii="黑体" w:hAnsi="黑体" w:eastAsia="黑体" w:cs="黑体"/>
          <w:szCs w:val="32"/>
        </w:rPr>
      </w:pPr>
      <w:r>
        <w:rPr>
          <w:rFonts w:hint="eastAsia" w:ascii="黑体" w:hAnsi="黑体" w:eastAsia="黑体" w:cs="黑体"/>
          <w:szCs w:val="32"/>
        </w:rPr>
        <w:t>收到和处理政府信息公开申请情况</w:t>
      </w:r>
    </w:p>
    <w:p>
      <w:pPr>
        <w:pStyle w:val="5"/>
        <w:shd w:val="clear" w:color="auto" w:fill="FFFFFF"/>
        <w:spacing w:before="0" w:beforeAutospacing="0" w:after="0" w:afterAutospacing="0"/>
        <w:ind w:firstLine="420"/>
        <w:jc w:val="both"/>
        <w:rPr>
          <w:rFonts w:hint="default"/>
          <w:color w:val="333333"/>
        </w:rPr>
      </w:pPr>
    </w:p>
    <w:tbl>
      <w:tblPr>
        <w:tblStyle w:val="6"/>
        <w:tblW w:w="967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8"/>
        <w:gridCol w:w="829"/>
        <w:gridCol w:w="3282"/>
        <w:gridCol w:w="838"/>
        <w:gridCol w:w="714"/>
        <w:gridCol w:w="714"/>
        <w:gridCol w:w="714"/>
        <w:gridCol w:w="714"/>
        <w:gridCol w:w="714"/>
        <w:gridCol w:w="5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9"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tcMar>
              <w:left w:w="108" w:type="dxa"/>
              <w:right w:w="108" w:type="dxa"/>
            </w:tcMar>
            <w:vAlign w:val="center"/>
          </w:tcPr>
          <w:p>
            <w:pPr>
              <w:widowControl/>
              <w:jc w:val="left"/>
            </w:pPr>
            <w:r>
              <w:rPr>
                <w:rFonts w:ascii="楷体" w:hAnsi="楷体" w:eastAsia="楷体" w:cs="楷体"/>
                <w:kern w:val="0"/>
                <w:sz w:val="20"/>
                <w:szCs w:val="20"/>
              </w:rPr>
              <w:t>（本列数据的勾稽关系为：第一项加第二项之和，等于第三项加第四项之和）</w:t>
            </w:r>
          </w:p>
        </w:tc>
        <w:tc>
          <w:tcPr>
            <w:tcW w:w="4995" w:type="dxa"/>
            <w:gridSpan w:val="7"/>
            <w:tcBorders>
              <w:top w:val="single" w:color="auto" w:sz="8" w:space="0"/>
              <w:left w:val="nil"/>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tcMar>
              <w:left w:w="108" w:type="dxa"/>
              <w:right w:w="108" w:type="dxa"/>
            </w:tcMar>
            <w:vAlign w:val="center"/>
          </w:tcPr>
          <w:p>
            <w:pPr>
              <w:rPr>
                <w:rFonts w:ascii="宋体"/>
                <w:sz w:val="24"/>
              </w:rPr>
            </w:pPr>
          </w:p>
        </w:tc>
        <w:tc>
          <w:tcPr>
            <w:tcW w:w="838" w:type="dxa"/>
            <w:vMerge w:val="restart"/>
            <w:tcBorders>
              <w:top w:val="nil"/>
              <w:left w:val="nil"/>
              <w:bottom w:val="single" w:color="auto" w:sz="8" w:space="0"/>
              <w:right w:val="single" w:color="auto" w:sz="8" w:space="0"/>
            </w:tcBorders>
            <w:shd w:val="clear" w:color="auto" w:fill="9BC2E6"/>
            <w:noWrap/>
            <w:tcMar>
              <w:left w:w="57" w:type="dxa"/>
              <w:right w:w="57" w:type="dxa"/>
            </w:tcMar>
            <w:vAlign w:val="center"/>
          </w:tcPr>
          <w:p>
            <w:pPr>
              <w:widowControl/>
              <w:jc w:val="center"/>
            </w:pPr>
            <w:r>
              <w:rPr>
                <w:rFonts w:hint="eastAsia" w:ascii="宋体" w:hAnsi="宋体" w:cs="宋体"/>
                <w:kern w:val="0"/>
                <w:sz w:val="20"/>
                <w:szCs w:val="20"/>
              </w:rPr>
              <w:t>自然人</w:t>
            </w:r>
          </w:p>
        </w:tc>
        <w:tc>
          <w:tcPr>
            <w:tcW w:w="3570" w:type="dxa"/>
            <w:gridSpan w:val="5"/>
            <w:tcBorders>
              <w:top w:val="single" w:color="auto" w:sz="8" w:space="0"/>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法人或其他组织</w:t>
            </w:r>
          </w:p>
        </w:tc>
        <w:tc>
          <w:tcPr>
            <w:tcW w:w="587" w:type="dxa"/>
            <w:vMerge w:val="restart"/>
            <w:tcBorders>
              <w:top w:val="single" w:color="auto" w:sz="8" w:space="0"/>
              <w:left w:val="nil"/>
              <w:bottom w:val="outset"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tcMar>
              <w:left w:w="108" w:type="dxa"/>
              <w:right w:w="108" w:type="dxa"/>
            </w:tcMar>
            <w:vAlign w:val="center"/>
          </w:tcPr>
          <w:p>
            <w:pPr>
              <w:rPr>
                <w:rFonts w:ascii="宋体"/>
                <w:sz w:val="24"/>
              </w:rPr>
            </w:pPr>
          </w:p>
        </w:tc>
        <w:tc>
          <w:tcPr>
            <w:tcW w:w="838" w:type="dxa"/>
            <w:vMerge w:val="continue"/>
            <w:tcBorders>
              <w:top w:val="nil"/>
              <w:left w:val="nil"/>
              <w:bottom w:val="single" w:color="auto" w:sz="8" w:space="0"/>
              <w:right w:val="single" w:color="auto" w:sz="8" w:space="0"/>
            </w:tcBorders>
            <w:shd w:val="clear" w:color="auto" w:fill="9BC2E6"/>
            <w:noWrap/>
            <w:tcMar>
              <w:left w:w="57" w:type="dxa"/>
              <w:right w:w="57" w:type="dxa"/>
            </w:tcMar>
            <w:vAlign w:val="center"/>
          </w:tcPr>
          <w:p>
            <w:pPr>
              <w:rPr>
                <w:rFonts w:ascii="宋体"/>
                <w:sz w:val="24"/>
              </w:rPr>
            </w:pPr>
          </w:p>
        </w:tc>
        <w:tc>
          <w:tcPr>
            <w:tcW w:w="714" w:type="dxa"/>
            <w:tcBorders>
              <w:top w:val="nil"/>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商业</w:t>
            </w:r>
          </w:p>
          <w:p>
            <w:pPr>
              <w:widowControl/>
              <w:jc w:val="center"/>
            </w:pPr>
            <w:r>
              <w:rPr>
                <w:rFonts w:hint="eastAsia" w:ascii="宋体" w:hAnsi="宋体" w:cs="宋体"/>
                <w:kern w:val="0"/>
                <w:sz w:val="20"/>
                <w:szCs w:val="20"/>
              </w:rPr>
              <w:t>企业</w:t>
            </w:r>
          </w:p>
        </w:tc>
        <w:tc>
          <w:tcPr>
            <w:tcW w:w="714" w:type="dxa"/>
            <w:tcBorders>
              <w:top w:val="nil"/>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科研</w:t>
            </w:r>
          </w:p>
          <w:p>
            <w:pPr>
              <w:widowControl/>
              <w:jc w:val="center"/>
            </w:pPr>
            <w:r>
              <w:rPr>
                <w:rFonts w:hint="eastAsia" w:ascii="宋体" w:hAnsi="宋体" w:cs="宋体"/>
                <w:kern w:val="0"/>
                <w:sz w:val="20"/>
                <w:szCs w:val="20"/>
              </w:rPr>
              <w:t>机构</w:t>
            </w:r>
          </w:p>
        </w:tc>
        <w:tc>
          <w:tcPr>
            <w:tcW w:w="714" w:type="dxa"/>
            <w:tcBorders>
              <w:top w:val="single" w:color="auto" w:sz="8" w:space="0"/>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社会公益组织</w:t>
            </w:r>
          </w:p>
        </w:tc>
        <w:tc>
          <w:tcPr>
            <w:tcW w:w="714" w:type="dxa"/>
            <w:tcBorders>
              <w:top w:val="single" w:color="auto" w:sz="8" w:space="0"/>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法律服务机构</w:t>
            </w:r>
          </w:p>
        </w:tc>
        <w:tc>
          <w:tcPr>
            <w:tcW w:w="714" w:type="dxa"/>
            <w:tcBorders>
              <w:top w:val="single" w:color="auto" w:sz="8" w:space="0"/>
              <w:left w:val="nil"/>
              <w:bottom w:val="single" w:color="auto" w:sz="8" w:space="0"/>
              <w:right w:val="single" w:color="auto" w:sz="8" w:space="0"/>
            </w:tcBorders>
            <w:shd w:val="clear" w:color="auto" w:fill="9BC2E6"/>
            <w:noWrap/>
            <w:tcMar>
              <w:left w:w="108" w:type="dxa"/>
              <w:right w:w="108" w:type="dxa"/>
            </w:tcMar>
            <w:vAlign w:val="center"/>
          </w:tcPr>
          <w:p>
            <w:pPr>
              <w:widowControl/>
              <w:jc w:val="center"/>
            </w:pPr>
            <w:r>
              <w:rPr>
                <w:rFonts w:hint="eastAsia" w:ascii="宋体" w:hAnsi="宋体" w:cs="宋体"/>
                <w:kern w:val="0"/>
                <w:sz w:val="20"/>
                <w:szCs w:val="20"/>
              </w:rPr>
              <w:t>其他</w:t>
            </w:r>
          </w:p>
        </w:tc>
        <w:tc>
          <w:tcPr>
            <w:tcW w:w="587" w:type="dxa"/>
            <w:vMerge w:val="continue"/>
            <w:tcBorders>
              <w:top w:val="single" w:color="auto" w:sz="8" w:space="0"/>
              <w:left w:val="nil"/>
              <w:bottom w:val="outset" w:color="auto" w:sz="8" w:space="0"/>
              <w:right w:val="single" w:color="auto" w:sz="8" w:space="0"/>
            </w:tcBorders>
            <w:shd w:val="clear" w:color="auto" w:fill="9BC2E6"/>
            <w:noWrap/>
            <w:tcMar>
              <w:left w:w="108" w:type="dxa"/>
              <w:right w:w="108"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9" w:type="dxa"/>
            <w:gridSpan w:val="3"/>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kern w:val="0"/>
                <w:sz w:val="20"/>
                <w:szCs w:val="20"/>
              </w:rPr>
              <w:t>一、本年新收政府信息公开申请数量</w:t>
            </w:r>
          </w:p>
        </w:tc>
        <w:tc>
          <w:tcPr>
            <w:tcW w:w="838"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10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9" w:type="dxa"/>
            <w:gridSpan w:val="3"/>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kern w:val="0"/>
                <w:sz w:val="20"/>
                <w:szCs w:val="20"/>
              </w:rPr>
              <w:t>二、上年结转政府信息公开申请数量</w:t>
            </w:r>
          </w:p>
        </w:tc>
        <w:tc>
          <w:tcPr>
            <w:tcW w:w="838"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restart"/>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kern w:val="0"/>
                <w:sz w:val="20"/>
                <w:szCs w:val="20"/>
              </w:rPr>
              <w:t>三、本年度办理结果</w:t>
            </w:r>
          </w:p>
        </w:tc>
        <w:tc>
          <w:tcPr>
            <w:tcW w:w="4111" w:type="dxa"/>
            <w:gridSpan w:val="2"/>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（一）予以公开</w:t>
            </w:r>
          </w:p>
        </w:tc>
        <w:tc>
          <w:tcPr>
            <w:tcW w:w="838"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2</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587" w:type="dxa"/>
            <w:tcBorders>
              <w:top w:val="single" w:color="auto" w:sz="8" w:space="0"/>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4111" w:type="dxa"/>
            <w:gridSpan w:val="2"/>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（二）部分公开</w:t>
            </w:r>
            <w:r>
              <w:rPr>
                <w:rFonts w:ascii="楷体" w:hAnsi="楷体" w:eastAsia="楷体" w:cs="楷体"/>
                <w:kern w:val="0"/>
                <w:sz w:val="20"/>
                <w:szCs w:val="20"/>
              </w:rPr>
              <w:t>（区分处理的，只计这一情形，不计其他情形）</w:t>
            </w:r>
          </w:p>
        </w:tc>
        <w:tc>
          <w:tcPr>
            <w:tcW w:w="838"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vAlign w:val="center"/>
          </w:tcPr>
          <w:p>
            <w:pPr>
              <w:widowControl/>
              <w:jc w:val="center"/>
              <w:rPr>
                <w:rFonts w:cs="Calibri"/>
                <w:kern w:val="0"/>
                <w:sz w:val="20"/>
                <w:szCs w:val="20"/>
              </w:rP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restart"/>
            <w:tcBorders>
              <w:top w:val="nil"/>
              <w:left w:val="nil"/>
              <w:bottom w:val="outset"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（三）不予公开</w:t>
            </w: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1.属于国家秘密</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single" w:color="auto" w:sz="8" w:space="0"/>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2.其他法律行政法规禁止公开</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3.危及“三安全一稳定”</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4.保护第三方合法权益</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5.属于三类内部事务信息</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6.属于四类过程性信息</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7.属于行政执法案卷</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8.属于行政查询事项</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restart"/>
            <w:tcBorders>
              <w:top w:val="nil"/>
              <w:left w:val="nil"/>
              <w:bottom w:val="outset"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（四）无法提供</w:t>
            </w: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1.本机关不掌握相关政府信息</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8</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2.没有现成信息需要另行制作</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3.补正后申请内容仍不明确</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restart"/>
            <w:tcBorders>
              <w:top w:val="nil"/>
              <w:left w:val="nil"/>
              <w:bottom w:val="outset"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（五）不予处理</w:t>
            </w: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1.信访举报投诉类申请</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2.重复申请</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3.要求提供公开出版物</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tcPr>
          <w:p>
            <w:pPr>
              <w:widowControl/>
              <w:jc w:val="left"/>
            </w:pPr>
            <w:r>
              <w:rPr>
                <w:rFonts w:hint="eastAsia" w:ascii="宋体" w:hAnsi="宋体" w:cs="宋体"/>
                <w:kern w:val="0"/>
                <w:sz w:val="20"/>
                <w:szCs w:val="20"/>
              </w:rPr>
              <w:t>4.无正当理由大量反复申请</w:t>
            </w:r>
          </w:p>
        </w:tc>
        <w:tc>
          <w:tcPr>
            <w:tcW w:w="838"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nil"/>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outset" w:color="auto" w:sz="8" w:space="0"/>
              <w:right w:val="single" w:color="auto" w:sz="8" w:space="0"/>
            </w:tcBorders>
            <w:shd w:val="clear" w:color="auto" w:fill="DDEBF7"/>
            <w:noWrap/>
            <w:tcMar>
              <w:left w:w="57" w:type="dxa"/>
              <w:right w:w="57" w:type="dxa"/>
            </w:tcMar>
            <w:vAlign w:val="center"/>
          </w:tcPr>
          <w:p>
            <w:pPr>
              <w:widowControl/>
            </w:pPr>
            <w:r>
              <w:rPr>
                <w:rFonts w:hint="eastAsia" w:ascii="宋体" w:hAnsi="宋体" w:cs="宋体"/>
                <w:kern w:val="0"/>
                <w:sz w:val="20"/>
                <w:szCs w:val="20"/>
              </w:rPr>
              <w:t>5.要求行政机关确认或重新出具已获取信息</w:t>
            </w:r>
          </w:p>
        </w:tc>
        <w:tc>
          <w:tcPr>
            <w:tcW w:w="838"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587" w:type="dxa"/>
            <w:tcBorders>
              <w:top w:val="nil"/>
              <w:left w:val="nil"/>
              <w:bottom w:val="outset"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restart"/>
            <w:tcBorders>
              <w:top w:val="outset" w:color="auto" w:sz="8" w:space="0"/>
              <w:left w:val="nil"/>
              <w:bottom w:val="outset"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（六）其他处理</w:t>
            </w:r>
          </w:p>
        </w:tc>
        <w:tc>
          <w:tcPr>
            <w:tcW w:w="3282" w:type="dxa"/>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pPr>
            <w:r>
              <w:rPr>
                <w:rFonts w:hint="eastAsia" w:ascii="宋体" w:hAnsi="宋体" w:cs="宋体"/>
                <w:kern w:val="0"/>
                <w:sz w:val="20"/>
                <w:szCs w:val="20"/>
              </w:rPr>
              <w:t>1.申请人无正当理由逾期不补正、行政机关不再处理其政府信息公开申请</w:t>
            </w:r>
          </w:p>
        </w:tc>
        <w:tc>
          <w:tcPr>
            <w:tcW w:w="838"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outset" w:color="auto" w:sz="8" w:space="0"/>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pPr>
            <w:r>
              <w:rPr>
                <w:rFonts w:hint="eastAsia" w:ascii="宋体" w:hAnsi="宋体" w:cs="宋体"/>
                <w:kern w:val="0"/>
                <w:sz w:val="20"/>
                <w:szCs w:val="20"/>
              </w:rPr>
              <w:t>2.申请人逾期未按收费通知要求缴纳费用、行政机关不再处理其政府信息公开申请</w:t>
            </w:r>
          </w:p>
        </w:tc>
        <w:tc>
          <w:tcPr>
            <w:tcW w:w="838"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829" w:type="dxa"/>
            <w:vMerge w:val="continue"/>
            <w:tcBorders>
              <w:top w:val="outset" w:color="auto" w:sz="8" w:space="0"/>
              <w:left w:val="nil"/>
              <w:bottom w:val="outset" w:color="auto" w:sz="8" w:space="0"/>
              <w:right w:val="single" w:color="auto" w:sz="8" w:space="0"/>
            </w:tcBorders>
            <w:shd w:val="clear" w:color="auto" w:fill="DDEBF7"/>
            <w:noWrap/>
            <w:tcMar>
              <w:left w:w="57" w:type="dxa"/>
              <w:right w:w="57" w:type="dxa"/>
            </w:tcMar>
            <w:vAlign w:val="center"/>
          </w:tcPr>
          <w:p>
            <w:pPr>
              <w:rPr>
                <w:rFonts w:ascii="宋体"/>
                <w:sz w:val="24"/>
              </w:rPr>
            </w:pPr>
          </w:p>
        </w:tc>
        <w:tc>
          <w:tcPr>
            <w:tcW w:w="3282" w:type="dxa"/>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3.其他</w:t>
            </w:r>
          </w:p>
        </w:tc>
        <w:tc>
          <w:tcPr>
            <w:tcW w:w="838"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outset" w:color="auto" w:sz="8" w:space="0"/>
              <w:right w:val="single" w:color="auto" w:sz="8" w:space="0"/>
            </w:tcBorders>
            <w:shd w:val="clear" w:color="auto" w:fill="BDD7EE"/>
            <w:noWrap/>
            <w:tcMar>
              <w:left w:w="57" w:type="dxa"/>
              <w:right w:w="57" w:type="dxa"/>
            </w:tcMar>
            <w:vAlign w:val="center"/>
          </w:tcPr>
          <w:p>
            <w:pPr>
              <w:rPr>
                <w:rFonts w:ascii="宋体"/>
                <w:sz w:val="24"/>
              </w:rPr>
            </w:pPr>
          </w:p>
        </w:tc>
        <w:tc>
          <w:tcPr>
            <w:tcW w:w="4111" w:type="dxa"/>
            <w:gridSpan w:val="2"/>
            <w:tcBorders>
              <w:top w:val="nil"/>
              <w:left w:val="nil"/>
              <w:bottom w:val="single" w:color="auto" w:sz="8" w:space="0"/>
              <w:right w:val="single" w:color="auto" w:sz="8" w:space="0"/>
            </w:tcBorders>
            <w:shd w:val="clear" w:color="auto" w:fill="DDEBF7"/>
            <w:noWrap/>
            <w:tcMar>
              <w:left w:w="57" w:type="dxa"/>
              <w:right w:w="57" w:type="dxa"/>
            </w:tcMar>
            <w:vAlign w:val="center"/>
          </w:tcPr>
          <w:p>
            <w:pPr>
              <w:widowControl/>
              <w:jc w:val="left"/>
            </w:pPr>
            <w:r>
              <w:rPr>
                <w:rFonts w:hint="eastAsia" w:ascii="宋体" w:hAnsi="宋体" w:cs="宋体"/>
                <w:kern w:val="0"/>
                <w:sz w:val="20"/>
                <w:szCs w:val="20"/>
              </w:rPr>
              <w:t>（七）总计</w:t>
            </w:r>
          </w:p>
        </w:tc>
        <w:tc>
          <w:tcPr>
            <w:tcW w:w="838"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10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714" w:type="dxa"/>
            <w:tcBorders>
              <w:top w:val="nil"/>
              <w:left w:val="nil"/>
              <w:bottom w:val="single" w:color="auto" w:sz="8" w:space="0"/>
              <w:right w:val="single" w:color="auto" w:sz="8" w:space="0"/>
            </w:tcBorders>
            <w:noWrap/>
            <w:tcMar>
              <w:left w:w="57" w:type="dxa"/>
              <w:right w:w="57" w:type="dxa"/>
            </w:tcMar>
            <w:vAlign w:val="center"/>
          </w:tcPr>
          <w:p>
            <w:pPr>
              <w:widowControl/>
              <w:jc w:val="center"/>
            </w:pPr>
            <w:r>
              <w:rPr>
                <w:rFonts w:hint="eastAsia" w:cs="Calibri"/>
                <w:kern w:val="0"/>
                <w:sz w:val="20"/>
                <w:szCs w:val="20"/>
              </w:rPr>
              <w:t>0</w:t>
            </w:r>
          </w:p>
        </w:tc>
        <w:tc>
          <w:tcPr>
            <w:tcW w:w="587" w:type="dxa"/>
            <w:tcBorders>
              <w:top w:val="nil"/>
              <w:left w:val="nil"/>
              <w:bottom w:val="single" w:color="auto" w:sz="8" w:space="0"/>
              <w:right w:val="single" w:color="auto" w:sz="8" w:space="0"/>
            </w:tcBorders>
            <w:noWrap/>
            <w:tcMar>
              <w:left w:w="57" w:type="dxa"/>
              <w:right w:w="57" w:type="dxa"/>
            </w:tcMar>
          </w:tcPr>
          <w:p>
            <w:pPr>
              <w:widowControl/>
              <w:jc w:val="center"/>
            </w:pPr>
            <w:r>
              <w:rPr>
                <w:rFonts w:hint="eastAsia" w:cs="Calibri"/>
                <w:kern w:val="0"/>
                <w:sz w:val="20"/>
                <w:szCs w:val="2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9" w:type="dxa"/>
            <w:gridSpan w:val="3"/>
            <w:tcBorders>
              <w:top w:val="nil"/>
              <w:left w:val="single" w:color="auto" w:sz="8" w:space="0"/>
              <w:bottom w:val="single" w:color="auto" w:sz="8" w:space="0"/>
              <w:right w:val="single" w:color="auto" w:sz="8" w:space="0"/>
            </w:tcBorders>
            <w:shd w:val="clear" w:color="auto" w:fill="BDD7EE"/>
            <w:noWrap/>
            <w:tcMar>
              <w:left w:w="57" w:type="dxa"/>
              <w:right w:w="57" w:type="dxa"/>
            </w:tcMar>
            <w:vAlign w:val="center"/>
          </w:tcPr>
          <w:p>
            <w:pPr>
              <w:widowControl/>
              <w:jc w:val="left"/>
            </w:pPr>
            <w:r>
              <w:rPr>
                <w:rFonts w:hint="eastAsia" w:ascii="宋体" w:hAnsi="宋体" w:cs="宋体"/>
                <w:kern w:val="0"/>
                <w:sz w:val="20"/>
                <w:szCs w:val="20"/>
              </w:rPr>
              <w:t>四、结转下年度继续办理</w:t>
            </w:r>
          </w:p>
        </w:tc>
        <w:tc>
          <w:tcPr>
            <w:tcW w:w="838" w:type="dxa"/>
            <w:tcBorders>
              <w:top w:val="outset" w:color="auto" w:sz="6" w:space="0"/>
              <w:left w:val="nil"/>
              <w:bottom w:val="outset" w:color="auto" w:sz="6" w:space="0"/>
              <w:right w:val="outset" w:color="auto" w:sz="6" w:space="0"/>
            </w:tcBorders>
            <w:noWrap/>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noWrap/>
            <w:vAlign w:val="center"/>
          </w:tcPr>
          <w:p>
            <w:pPr>
              <w:jc w:val="center"/>
              <w:rPr>
                <w:rFonts w:ascii="宋体"/>
                <w:sz w:val="24"/>
              </w:rPr>
            </w:pPr>
            <w:r>
              <w:rPr>
                <w:rFonts w:hint="eastAsia" w:ascii="宋体"/>
                <w:sz w:val="24"/>
              </w:rPr>
              <w:t>0</w:t>
            </w:r>
          </w:p>
        </w:tc>
        <w:tc>
          <w:tcPr>
            <w:tcW w:w="587" w:type="dxa"/>
            <w:tcBorders>
              <w:top w:val="outset" w:color="auto" w:sz="6" w:space="0"/>
              <w:left w:val="nil"/>
              <w:bottom w:val="outset" w:color="auto" w:sz="6" w:space="0"/>
              <w:right w:val="outset" w:color="auto" w:sz="6" w:space="0"/>
            </w:tcBorders>
            <w:noWrap/>
            <w:vAlign w:val="center"/>
          </w:tcPr>
          <w:p>
            <w:pPr>
              <w:jc w:val="center"/>
              <w:rPr>
                <w:rFonts w:ascii="宋体"/>
                <w:sz w:val="24"/>
              </w:rPr>
            </w:pPr>
            <w:r>
              <w:rPr>
                <w:rFonts w:hint="eastAsia" w:ascii="宋体"/>
                <w:sz w:val="24"/>
              </w:rPr>
              <w:t>0</w:t>
            </w:r>
          </w:p>
        </w:tc>
      </w:tr>
    </w:tbl>
    <w:p>
      <w:pPr>
        <w:pStyle w:val="2"/>
        <w:ind w:left="632" w:leftChars="200"/>
      </w:pPr>
    </w:p>
    <w:p>
      <w:pPr>
        <w:spacing w:line="560" w:lineRule="exact"/>
        <w:ind w:firstLine="632" w:firstLineChars="200"/>
        <w:rPr>
          <w:rFonts w:ascii="黑体" w:hAnsi="黑体" w:eastAsia="黑体" w:cs="黑体"/>
          <w:szCs w:val="32"/>
        </w:rPr>
      </w:pPr>
      <w:r>
        <w:rPr>
          <w:rFonts w:hint="eastAsia" w:ascii="黑体" w:hAnsi="黑体" w:eastAsia="黑体" w:cs="黑体"/>
          <w:szCs w:val="32"/>
        </w:rPr>
        <w:t>四、政府信息公开行政复议、行政诉讼情况</w:t>
      </w:r>
    </w:p>
    <w:p>
      <w:pPr>
        <w:widowControl/>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tcMar>
              <w:left w:w="108" w:type="dxa"/>
              <w:right w:w="108" w:type="dxa"/>
            </w:tcMar>
            <w:vAlign w:val="center"/>
          </w:tcPr>
          <w:p>
            <w:pPr>
              <w:widowControl/>
              <w:jc w:val="center"/>
            </w:pPr>
            <w:r>
              <w:rPr>
                <w:rFonts w:hint="eastAsia" w:ascii="宋体" w:hAnsi="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tcMar>
              <w:left w:w="108" w:type="dxa"/>
              <w:right w:w="108" w:type="dxa"/>
            </w:tcMar>
            <w:vAlign w:val="center"/>
          </w:tcPr>
          <w:p>
            <w:pPr>
              <w:widowControl/>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widowControl/>
              <w:jc w:val="center"/>
            </w:pPr>
            <w:r>
              <w:rPr>
                <w:rFonts w:hint="eastAsia" w:ascii="宋体" w:hAnsi="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tcMar>
              <w:left w:w="108" w:type="dxa"/>
              <w:right w:w="108" w:type="dxa"/>
            </w:tcMar>
            <w:vAlign w:val="center"/>
          </w:tcPr>
          <w:p>
            <w:pPr>
              <w:widowControl/>
              <w:jc w:val="center"/>
            </w:pPr>
            <w:r>
              <w:rPr>
                <w:rFonts w:hint="eastAsia" w:ascii="宋体" w:hAnsi="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tcMar>
              <w:left w:w="108" w:type="dxa"/>
              <w:right w:w="108" w:type="dxa"/>
            </w:tcMar>
            <w:vAlign w:val="center"/>
          </w:tcPr>
          <w:p>
            <w:pPr>
              <w:widowControl/>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2"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3" w:type="dxa"/>
            <w:tcBorders>
              <w:top w:val="nil"/>
              <w:left w:val="single" w:color="auto" w:sz="8" w:space="0"/>
              <w:bottom w:val="single" w:color="auto" w:sz="8" w:space="0"/>
              <w:right w:val="single" w:color="auto" w:sz="8" w:space="0"/>
            </w:tcBorders>
            <w:noWrap/>
            <w:tcMar>
              <w:left w:w="108" w:type="dxa"/>
              <w:right w:w="108" w:type="dxa"/>
            </w:tcMar>
            <w:vAlign w:val="center"/>
          </w:tcPr>
          <w:p>
            <w:pPr>
              <w:jc w:val="center"/>
              <w:rPr>
                <w:rFonts w:ascii="宋体"/>
                <w:sz w:val="24"/>
              </w:rPr>
            </w:pPr>
            <w:r>
              <w:rPr>
                <w:rFonts w:hint="eastAsia" w:ascii="宋体"/>
                <w:sz w:val="24"/>
              </w:rPr>
              <w:t>0</w:t>
            </w:r>
          </w:p>
        </w:tc>
      </w:tr>
    </w:tbl>
    <w:p>
      <w:pPr>
        <w:widowControl/>
        <w:jc w:val="left"/>
      </w:pPr>
    </w:p>
    <w:p>
      <w:pPr>
        <w:widowControl/>
        <w:spacing w:line="560" w:lineRule="exact"/>
        <w:ind w:firstLine="664" w:firstLineChars="200"/>
        <w:jc w:val="left"/>
        <w:rPr>
          <w:rFonts w:ascii="宋体" w:hAnsi="宋体" w:cs="宋体"/>
          <w:spacing w:val="8"/>
          <w:kern w:val="0"/>
          <w:sz w:val="24"/>
        </w:rPr>
      </w:pPr>
      <w:r>
        <w:rPr>
          <w:rFonts w:ascii="黑体" w:hAnsi="黑体" w:eastAsia="黑体" w:cs="宋体"/>
          <w:spacing w:val="8"/>
          <w:kern w:val="0"/>
          <w:szCs w:val="32"/>
        </w:rPr>
        <w:t>五、存在的主要问题及改进情况</w:t>
      </w:r>
    </w:p>
    <w:p>
      <w:pPr>
        <w:widowControl/>
        <w:spacing w:line="560" w:lineRule="exact"/>
        <w:ind w:firstLine="664" w:firstLineChars="200"/>
        <w:rPr>
          <w:rFonts w:ascii="仿宋_GB2312" w:hAnsi="宋体" w:cs="宋体"/>
          <w:spacing w:val="8"/>
          <w:kern w:val="0"/>
          <w:szCs w:val="32"/>
        </w:rPr>
      </w:pPr>
      <w:r>
        <w:rPr>
          <w:rFonts w:hint="eastAsia" w:ascii="仿宋_GB2312" w:hAnsi="宋体" w:cs="宋体"/>
          <w:spacing w:val="8"/>
          <w:kern w:val="0"/>
          <w:szCs w:val="32"/>
        </w:rPr>
        <w:t>2021年，我局政府信息公开工作虽然取得了一定成绩，但在落实政府信息公开中的工作精细度和规范化有待加强。</w:t>
      </w:r>
    </w:p>
    <w:p>
      <w:pPr>
        <w:widowControl/>
        <w:spacing w:line="560" w:lineRule="exact"/>
        <w:ind w:firstLine="664" w:firstLineChars="200"/>
        <w:rPr>
          <w:rFonts w:ascii="仿宋_GB2312" w:hAnsi="宋体" w:cs="宋体"/>
          <w:spacing w:val="8"/>
          <w:kern w:val="0"/>
          <w:szCs w:val="32"/>
        </w:rPr>
      </w:pPr>
      <w:r>
        <w:rPr>
          <w:rFonts w:hint="eastAsia" w:ascii="仿宋_GB2312" w:hAnsi="宋体" w:cs="宋体"/>
          <w:spacing w:val="8"/>
          <w:kern w:val="0"/>
          <w:szCs w:val="32"/>
        </w:rPr>
        <w:t>2022年，我局将认真贯彻落实上级关于政府信息公开工作的决策部署和指示要求，持续推进政府信息公开工作的规范化、标准化建设，进一步完善政府信息公开制度和工作机制，进一步细化实化主动公开全清单,奋力把我局政府信息公开工作提升到一个新水平。</w:t>
      </w:r>
    </w:p>
    <w:p>
      <w:pPr>
        <w:pStyle w:val="2"/>
      </w:pPr>
    </w:p>
    <w:p>
      <w:pPr>
        <w:widowControl/>
        <w:spacing w:line="560" w:lineRule="exact"/>
        <w:ind w:firstLine="675"/>
        <w:jc w:val="left"/>
        <w:rPr>
          <w:rFonts w:ascii="宋体" w:hAnsi="宋体" w:cs="宋体"/>
          <w:spacing w:val="8"/>
          <w:kern w:val="0"/>
          <w:szCs w:val="32"/>
        </w:rPr>
      </w:pPr>
      <w:r>
        <w:rPr>
          <w:rFonts w:ascii="黑体" w:hAnsi="黑体" w:eastAsia="黑体" w:cs="宋体"/>
          <w:spacing w:val="8"/>
          <w:kern w:val="0"/>
          <w:szCs w:val="32"/>
        </w:rPr>
        <w:t>六、其他需要报告的事项</w:t>
      </w:r>
    </w:p>
    <w:p>
      <w:pPr>
        <w:widowControl/>
        <w:spacing w:line="560" w:lineRule="exact"/>
        <w:ind w:firstLine="664" w:firstLineChars="200"/>
        <w:rPr>
          <w:rFonts w:ascii="仿宋_GB2312" w:hAnsi="宋体" w:cs="宋体"/>
          <w:spacing w:val="8"/>
          <w:kern w:val="0"/>
          <w:szCs w:val="32"/>
        </w:rPr>
      </w:pPr>
      <w:r>
        <w:rPr>
          <w:rFonts w:hint="eastAsia" w:ascii="仿宋_GB2312" w:hAnsi="宋体" w:cs="宋体"/>
          <w:spacing w:val="8"/>
          <w:kern w:val="0"/>
          <w:szCs w:val="32"/>
        </w:rPr>
        <w:t>我局依据《政府信息公开信息处理费管理办法》收取信息处理费，2021年发出收费通知的件数0件，总金额0元。实际收取的总金额0元。</w:t>
      </w:r>
    </w:p>
    <w:sectPr>
      <w:footerReference r:id="rId3" w:type="default"/>
      <w:pgSz w:w="11906" w:h="16838"/>
      <w:pgMar w:top="2098" w:right="1474" w:bottom="1985" w:left="1588" w:header="567" w:footer="1418" w:gutter="0"/>
      <w:pgNumType w:fmt="numberInDash"/>
      <w:cols w:space="425" w:num="1"/>
      <w:docGrid w:type="linesAndChars" w:linePitch="56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5697"/>
      <w:docPartObj>
        <w:docPartGallery w:val="AutoText"/>
      </w:docPartObj>
    </w:sdtPr>
    <w:sdtEndPr>
      <w:rPr>
        <w:rFonts w:asciiTheme="minorEastAsia" w:hAnsiTheme="minorEastAsia" w:eastAsiaTheme="minorEastAsia"/>
        <w:sz w:val="28"/>
        <w:szCs w:val="28"/>
      </w:rPr>
    </w:sdtEndPr>
    <w:sdtContent>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4FCC"/>
    <w:rsid w:val="00027BE0"/>
    <w:rsid w:val="00077F3A"/>
    <w:rsid w:val="000B6CF6"/>
    <w:rsid w:val="001104EE"/>
    <w:rsid w:val="001840E2"/>
    <w:rsid w:val="00193859"/>
    <w:rsid w:val="001B142D"/>
    <w:rsid w:val="001E655D"/>
    <w:rsid w:val="002032DB"/>
    <w:rsid w:val="002130B4"/>
    <w:rsid w:val="00216043"/>
    <w:rsid w:val="002749AD"/>
    <w:rsid w:val="002A2497"/>
    <w:rsid w:val="002D3C73"/>
    <w:rsid w:val="002E15D4"/>
    <w:rsid w:val="002E6033"/>
    <w:rsid w:val="00314710"/>
    <w:rsid w:val="00330ABD"/>
    <w:rsid w:val="003B35F8"/>
    <w:rsid w:val="00467FBC"/>
    <w:rsid w:val="0047015A"/>
    <w:rsid w:val="0049009A"/>
    <w:rsid w:val="004D4B7B"/>
    <w:rsid w:val="00502C03"/>
    <w:rsid w:val="00521163"/>
    <w:rsid w:val="0055574B"/>
    <w:rsid w:val="005B78F2"/>
    <w:rsid w:val="0065207C"/>
    <w:rsid w:val="006563ED"/>
    <w:rsid w:val="00663C6C"/>
    <w:rsid w:val="006A6E8A"/>
    <w:rsid w:val="00703572"/>
    <w:rsid w:val="007312AB"/>
    <w:rsid w:val="007463A1"/>
    <w:rsid w:val="00766C31"/>
    <w:rsid w:val="00787EF2"/>
    <w:rsid w:val="008179ED"/>
    <w:rsid w:val="00853A45"/>
    <w:rsid w:val="00864FCC"/>
    <w:rsid w:val="00866813"/>
    <w:rsid w:val="008B4FBF"/>
    <w:rsid w:val="008B5CC4"/>
    <w:rsid w:val="00901B34"/>
    <w:rsid w:val="009714EE"/>
    <w:rsid w:val="00A078A1"/>
    <w:rsid w:val="00A315FF"/>
    <w:rsid w:val="00A3317D"/>
    <w:rsid w:val="00A40527"/>
    <w:rsid w:val="00AE5B45"/>
    <w:rsid w:val="00B35F79"/>
    <w:rsid w:val="00B542D0"/>
    <w:rsid w:val="00B60B48"/>
    <w:rsid w:val="00BC007D"/>
    <w:rsid w:val="00BD7716"/>
    <w:rsid w:val="00C27906"/>
    <w:rsid w:val="00CE0856"/>
    <w:rsid w:val="00CF4D7B"/>
    <w:rsid w:val="00DF7732"/>
    <w:rsid w:val="00E71170"/>
    <w:rsid w:val="00EA5FB1"/>
    <w:rsid w:val="00EE5F63"/>
    <w:rsid w:val="00F25B22"/>
    <w:rsid w:val="00F30A2A"/>
    <w:rsid w:val="00F95B05"/>
    <w:rsid w:val="00FA6328"/>
    <w:rsid w:val="00FC3752"/>
    <w:rsid w:val="7F244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character" w:customStyle="1" w:styleId="8">
    <w:name w:val="纯文本 Char"/>
    <w:basedOn w:val="7"/>
    <w:link w:val="2"/>
    <w:uiPriority w:val="0"/>
    <w:rPr>
      <w:rFonts w:ascii="宋体" w:hAnsi="Courier New" w:eastAsia="宋体" w:cs="Times New Roman"/>
      <w:szCs w:val="24"/>
    </w:rPr>
  </w:style>
  <w:style w:type="character" w:customStyle="1" w:styleId="9">
    <w:name w:val="页眉 Char"/>
    <w:basedOn w:val="7"/>
    <w:link w:val="4"/>
    <w:semiHidden/>
    <w:uiPriority w:val="99"/>
    <w:rPr>
      <w:rFonts w:ascii="Calibri" w:hAnsi="Calibri" w:eastAsia="宋体" w:cs="Times New Roman"/>
      <w:sz w:val="18"/>
      <w:szCs w:val="18"/>
    </w:rPr>
  </w:style>
  <w:style w:type="character" w:customStyle="1" w:styleId="10">
    <w:name w:val="页脚 Char"/>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328</Words>
  <Characters>1870</Characters>
  <Lines>15</Lines>
  <Paragraphs>4</Paragraphs>
  <TotalTime>752</TotalTime>
  <ScaleCrop>false</ScaleCrop>
  <LinksUpToDate>false</LinksUpToDate>
  <CharactersWithSpaces>2194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2021-12-29T06:06:00Z</dcterms:created>
  <dc:creator>CZJBGS-001A</dc:creator>
  <cp:lastModifiedBy>评测</cp:lastModifiedBy>
  <cp:lastPrinted>2022-01-04T04:24:00Z</cp:lastPrinted>
  <dcterms:modified xsi:type="dcterms:W3CDTF">2022-01-13T06:16:35Z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B034EB9AA20B4210B566E2AF32B347A2</vt:lpwstr>
  </property>
</Properties>
</file>