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北京市通州区中关村科技园区通州园管理委员会</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作为政府信息公开的重要窗口，202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年我委高度重视政府信息公开工作，严格按照通州区政务公开工作要点的工作要求，坚持正确、准确、及时，临时性工作随时公开，固定性工作长期公开。</w:t>
      </w:r>
    </w:p>
    <w:p>
      <w:pPr>
        <w:numPr>
          <w:ilvl w:val="0"/>
          <w:numId w:val="1"/>
        </w:numPr>
        <w:spacing w:line="560" w:lineRule="exact"/>
        <w:ind w:firstLine="640" w:firstLineChars="200"/>
        <w:rPr>
          <w:lang w:val="en-US"/>
        </w:rPr>
      </w:pPr>
      <w:r>
        <w:rPr>
          <w:rFonts w:hint="eastAsia" w:ascii="仿宋_GB2312" w:hAnsi="仿宋_GB2312" w:eastAsia="仿宋_GB2312" w:cs="仿宋_GB2312"/>
          <w:sz w:val="32"/>
          <w:szCs w:val="32"/>
          <w:lang w:val="en-US" w:eastAsia="zh-CN"/>
        </w:rPr>
        <w:t>加强领导，完善架构。根据政府信息公开要求，我委明确办公室负责人为信息公开第一责任人，并配备了专职工作人员，</w:t>
      </w:r>
      <w:r>
        <w:rPr>
          <w:rFonts w:ascii="仿宋_GB2312" w:hAnsi="宋体" w:eastAsia="仿宋_GB2312" w:cs="仿宋_GB2312"/>
          <w:i w:val="0"/>
          <w:caps w:val="0"/>
          <w:color w:val="000000"/>
          <w:spacing w:val="0"/>
          <w:sz w:val="32"/>
          <w:szCs w:val="32"/>
        </w:rPr>
        <w:t>在本单位办公室设立了政府信息查阅点和依申请公开受理点</w:t>
      </w:r>
      <w:r>
        <w:rPr>
          <w:rFonts w:hint="eastAsia" w:ascii="仿宋_GB2312" w:hAnsi="宋体" w:eastAsia="仿宋_GB2312" w:cs="仿宋_GB2312"/>
          <w:i w:val="0"/>
          <w:caps w:val="0"/>
          <w:color w:val="000000"/>
          <w:spacing w:val="0"/>
          <w:sz w:val="32"/>
          <w:szCs w:val="32"/>
          <w:lang w:eastAsia="zh-CN"/>
        </w:rPr>
        <w:t>。</w:t>
      </w:r>
      <w:r>
        <w:rPr>
          <w:rFonts w:ascii="仿宋_GB2312" w:hAnsi="宋体" w:eastAsia="仿宋_GB2312" w:cs="仿宋_GB2312"/>
          <w:i w:val="0"/>
          <w:caps w:val="0"/>
          <w:color w:val="000000"/>
          <w:spacing w:val="0"/>
          <w:sz w:val="32"/>
          <w:szCs w:val="32"/>
        </w:rPr>
        <w:t>每个科室确定一名信息联络员，负责本科室信息采集编写工作，确保政务信息及时公开。</w:t>
      </w:r>
      <w:r>
        <w:rPr>
          <w:rFonts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lang w:val="en-US" w:eastAsia="zh-CN"/>
        </w:rPr>
        <w:t xml:space="preserve">    </w:t>
      </w: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lang w:val="en-US" w:eastAsia="zh-CN"/>
        </w:rPr>
        <w:t>二</w:t>
      </w:r>
      <w:r>
        <w:rPr>
          <w:rFonts w:hint="eastAsia" w:ascii="仿宋_GB2312" w:hAnsi="宋体" w:eastAsia="仿宋_GB2312" w:cs="仿宋_GB2312"/>
          <w:i w:val="0"/>
          <w:caps w:val="0"/>
          <w:color w:val="000000"/>
          <w:spacing w:val="0"/>
          <w:sz w:val="32"/>
          <w:szCs w:val="32"/>
          <w:lang w:eastAsia="zh-CN"/>
        </w:rPr>
        <w:t>）2021年度，我</w:t>
      </w:r>
      <w:r>
        <w:rPr>
          <w:rFonts w:hint="eastAsia" w:ascii="仿宋_GB2312" w:hAnsi="宋体" w:eastAsia="仿宋_GB2312" w:cs="仿宋_GB2312"/>
          <w:i w:val="0"/>
          <w:caps w:val="0"/>
          <w:color w:val="000000"/>
          <w:spacing w:val="0"/>
          <w:sz w:val="32"/>
          <w:szCs w:val="32"/>
          <w:lang w:val="en-US" w:eastAsia="zh-CN"/>
        </w:rPr>
        <w:t>委</w:t>
      </w:r>
      <w:r>
        <w:rPr>
          <w:rFonts w:hint="eastAsia" w:ascii="仿宋_GB2312" w:hAnsi="宋体" w:eastAsia="仿宋_GB2312" w:cs="仿宋_GB2312"/>
          <w:i w:val="0"/>
          <w:caps w:val="0"/>
          <w:color w:val="000000"/>
          <w:spacing w:val="0"/>
          <w:sz w:val="32"/>
          <w:szCs w:val="32"/>
          <w:lang w:eastAsia="zh-CN"/>
        </w:rPr>
        <w:t>对应主动公开的政府信息进行了梳理、编目和登记，政府网站主动公开的政务公开信息总量为</w:t>
      </w:r>
      <w:r>
        <w:rPr>
          <w:rFonts w:hint="eastAsia" w:ascii="仿宋_GB2312" w:hAnsi="宋体" w:eastAsia="仿宋_GB2312" w:cs="仿宋_GB2312"/>
          <w:i w:val="0"/>
          <w:caps w:val="0"/>
          <w:color w:val="000000"/>
          <w:spacing w:val="0"/>
          <w:sz w:val="32"/>
          <w:szCs w:val="32"/>
          <w:lang w:val="en-US" w:eastAsia="zh-CN"/>
        </w:rPr>
        <w:t>33</w:t>
      </w:r>
      <w:r>
        <w:rPr>
          <w:rFonts w:hint="eastAsia" w:ascii="仿宋_GB2312" w:hAnsi="宋体" w:eastAsia="仿宋_GB2312" w:cs="仿宋_GB2312"/>
          <w:i w:val="0"/>
          <w:caps w:val="0"/>
          <w:color w:val="000000"/>
          <w:spacing w:val="0"/>
          <w:sz w:val="32"/>
          <w:szCs w:val="32"/>
          <w:lang w:eastAsia="zh-CN"/>
        </w:rPr>
        <w:t>条，其中，</w:t>
      </w:r>
      <w:r>
        <w:rPr>
          <w:rFonts w:hint="eastAsia" w:ascii="仿宋_GB2312" w:hAnsi="宋体" w:eastAsia="仿宋_GB2312" w:cs="仿宋_GB2312"/>
          <w:i w:val="0"/>
          <w:caps w:val="0"/>
          <w:color w:val="000000"/>
          <w:spacing w:val="0"/>
          <w:sz w:val="32"/>
          <w:szCs w:val="32"/>
          <w:lang w:val="en-US" w:eastAsia="zh-CN"/>
        </w:rPr>
        <w:t>领导信息11条，部门动态21条，依申请公开1条。</w:t>
      </w:r>
    </w:p>
    <w:p>
      <w:pPr>
        <w:pStyle w:val="2"/>
        <w:ind w:firstLine="640" w:firstLineChars="200"/>
        <w:rPr>
          <w:lang w:val="en-US"/>
        </w:rPr>
      </w:pPr>
      <w:r>
        <w:rPr>
          <w:rFonts w:hint="eastAsia" w:ascii="仿宋_GB2312" w:hAnsi="宋体" w:eastAsia="仿宋_GB2312" w:cs="仿宋_GB2312"/>
          <w:i w:val="0"/>
          <w:caps w:val="0"/>
          <w:color w:val="000000"/>
          <w:spacing w:val="0"/>
          <w:sz w:val="32"/>
          <w:szCs w:val="32"/>
          <w:lang w:val="en-US" w:eastAsia="zh-CN"/>
        </w:rPr>
        <w:t>（三）开展培训，提升水平。针对办公室人员对政府信息公开工作不熟悉，信息公开不及时、公开范围不确定等情况，专门组织工作人员进行学习培训，通过认真学习《政府信息公开条例》和相关文件材料，提高业务水平。</w:t>
      </w:r>
    </w:p>
    <w:p>
      <w:pPr>
        <w:pStyle w:val="2"/>
        <w:rPr>
          <w:lang w:val="en-US"/>
        </w:rPr>
      </w:pPr>
    </w:p>
    <w:p>
      <w:pPr>
        <w:pStyle w:val="2"/>
        <w:numPr>
          <w:ilvl w:val="0"/>
          <w:numId w:val="0"/>
        </w:numPr>
        <w:rPr>
          <w:rFonts w:hint="eastAsia"/>
        </w:rPr>
      </w:pPr>
      <w:r>
        <w:rPr>
          <w:rFonts w:hint="eastAsia"/>
          <w:lang w:val="en-US" w:eastAsia="zh-CN"/>
        </w:rPr>
        <w:t xml:space="preserve">       </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numPr>
          <w:ilvl w:val="0"/>
          <w:numId w:val="0"/>
        </w:numPr>
        <w:spacing w:line="560" w:lineRule="exact"/>
        <w:ind w:left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ascii="Calibri" w:hAnsi="Calibri"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eastAsia="zh-CN"/>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（一）存在主要问题</w:t>
      </w:r>
    </w:p>
    <w:p>
      <w:pPr>
        <w:widowControl/>
        <w:spacing w:line="560" w:lineRule="exact"/>
        <w:ind w:firstLine="675"/>
        <w:jc w:val="left"/>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2021</w:t>
      </w:r>
      <w:r>
        <w:rPr>
          <w:rFonts w:hint="eastAsia" w:ascii="仿宋_GB2312" w:hAnsi="仿宋_GB2312" w:eastAsia="仿宋_GB2312" w:cs="仿宋_GB2312"/>
          <w:i w:val="0"/>
          <w:caps w:val="0"/>
          <w:color w:val="333333"/>
          <w:spacing w:val="0"/>
          <w:sz w:val="32"/>
          <w:szCs w:val="32"/>
          <w:shd w:val="clear" w:fill="FFFFFF"/>
        </w:rPr>
        <w:t>年以来，我委政府信息公开工作总体运行较好，但也存在着需要进一步完善的地方：</w:t>
      </w:r>
      <w:r>
        <w:rPr>
          <w:rFonts w:hint="eastAsia" w:ascii="仿宋_GB2312" w:hAnsi="仿宋_GB2312" w:eastAsia="仿宋_GB2312" w:cs="仿宋_GB2312"/>
          <w:b/>
          <w:bCs/>
          <w:i w:val="0"/>
          <w:caps w:val="0"/>
          <w:color w:val="333333"/>
          <w:spacing w:val="0"/>
          <w:sz w:val="32"/>
          <w:szCs w:val="32"/>
          <w:shd w:val="clear" w:fill="FFFFFF"/>
        </w:rPr>
        <w:t>一是</w:t>
      </w:r>
      <w:r>
        <w:rPr>
          <w:rFonts w:hint="eastAsia" w:ascii="仿宋_GB2312" w:hAnsi="仿宋_GB2312" w:eastAsia="仿宋_GB2312" w:cs="仿宋_GB2312"/>
          <w:i w:val="0"/>
          <w:caps w:val="0"/>
          <w:color w:val="333333"/>
          <w:spacing w:val="0"/>
          <w:sz w:val="32"/>
          <w:szCs w:val="32"/>
          <w:shd w:val="clear" w:fill="FFFFFF"/>
        </w:rPr>
        <w:t>政府信息公开的内容不尽全面，时效性有待提高，政府信息公开形式较单一</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宋体" w:eastAsia="仿宋_GB2312" w:cs="仿宋_GB2312"/>
          <w:i w:val="0"/>
          <w:caps w:val="0"/>
          <w:color w:val="000000"/>
          <w:spacing w:val="0"/>
          <w:sz w:val="31"/>
          <w:szCs w:val="31"/>
          <w:lang w:val="en-US" w:eastAsia="zh-CN"/>
        </w:rPr>
        <w:t>二</w:t>
      </w:r>
      <w:r>
        <w:rPr>
          <w:rFonts w:ascii="仿宋_GB2312" w:hAnsi="宋体" w:eastAsia="仿宋_GB2312" w:cs="仿宋_GB2312"/>
          <w:i w:val="0"/>
          <w:caps w:val="0"/>
          <w:color w:val="000000"/>
          <w:spacing w:val="0"/>
          <w:sz w:val="31"/>
          <w:szCs w:val="31"/>
        </w:rPr>
        <w:t>是</w:t>
      </w:r>
      <w:r>
        <w:rPr>
          <w:rFonts w:hint="eastAsia" w:ascii="仿宋_GB2312" w:hAnsi="宋体" w:eastAsia="仿宋_GB2312" w:cs="仿宋_GB2312"/>
          <w:i w:val="0"/>
          <w:caps w:val="0"/>
          <w:color w:val="000000"/>
          <w:spacing w:val="0"/>
          <w:sz w:val="31"/>
          <w:szCs w:val="31"/>
          <w:lang w:val="en-US" w:eastAsia="zh-CN"/>
        </w:rPr>
        <w:t>信息公开工作人员专业知识</w:t>
      </w:r>
      <w:r>
        <w:rPr>
          <w:rFonts w:ascii="仿宋_GB2312" w:hAnsi="宋体" w:eastAsia="仿宋_GB2312" w:cs="仿宋_GB2312"/>
          <w:i w:val="0"/>
          <w:caps w:val="0"/>
          <w:color w:val="000000"/>
          <w:spacing w:val="0"/>
          <w:sz w:val="31"/>
          <w:szCs w:val="31"/>
        </w:rPr>
        <w:t>需进一步加强</w:t>
      </w:r>
      <w:r>
        <w:rPr>
          <w:rFonts w:hint="eastAsia" w:ascii="仿宋_GB2312" w:hAnsi="宋体" w:eastAsia="仿宋_GB2312" w:cs="仿宋_GB2312"/>
          <w:i w:val="0"/>
          <w:caps w:val="0"/>
          <w:color w:val="000000"/>
          <w:spacing w:val="0"/>
          <w:sz w:val="31"/>
          <w:szCs w:val="31"/>
          <w:lang w:eastAsia="zh-CN"/>
        </w:rPr>
        <w:t>。</w:t>
      </w:r>
    </w:p>
    <w:p>
      <w:pPr>
        <w:pStyle w:val="2"/>
        <w:numPr>
          <w:ilvl w:val="0"/>
          <w:numId w:val="2"/>
        </w:numPr>
        <w:ind w:left="640" w:leftChars="0" w:firstLine="0" w:firstLineChars="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改进措施</w:t>
      </w:r>
    </w:p>
    <w:p>
      <w:pPr>
        <w:pStyle w:val="2"/>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针对上述问题，一是我委将在今后的工作中进一步提高对信息公开工作重要性的认识，加强对信息公开工作的领导，将</w:t>
      </w:r>
      <w:r>
        <w:rPr>
          <w:rFonts w:hint="eastAsia" w:ascii="仿宋_GB2312" w:hAnsi="仿宋_GB2312" w:eastAsia="仿宋_GB2312" w:cs="仿宋_GB2312"/>
          <w:sz w:val="32"/>
          <w:szCs w:val="32"/>
        </w:rPr>
        <w:t>政府信息公开工作纳入</w:t>
      </w:r>
      <w:r>
        <w:rPr>
          <w:rFonts w:hint="eastAsia" w:ascii="仿宋_GB2312" w:hAnsi="仿宋_GB2312" w:eastAsia="仿宋_GB2312" w:cs="仿宋_GB2312"/>
          <w:sz w:val="32"/>
          <w:szCs w:val="32"/>
          <w:lang w:val="en-US" w:eastAsia="zh-CN"/>
        </w:rPr>
        <w:t>我委</w:t>
      </w:r>
      <w:r>
        <w:rPr>
          <w:rFonts w:hint="eastAsia" w:ascii="仿宋_GB2312" w:hAnsi="仿宋_GB2312" w:eastAsia="仿宋_GB2312" w:cs="仿宋_GB2312"/>
          <w:sz w:val="32"/>
          <w:szCs w:val="32"/>
        </w:rPr>
        <w:t>年度工作考核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要进一步加强业务知识培训，不断提高</w:t>
      </w:r>
      <w:r>
        <w:rPr>
          <w:rFonts w:hint="eastAsia" w:ascii="仿宋_GB2312" w:hAnsi="仿宋_GB2312" w:eastAsia="仿宋_GB2312" w:cs="仿宋_GB2312"/>
          <w:sz w:val="32"/>
          <w:szCs w:val="32"/>
          <w:lang w:val="en-US" w:eastAsia="zh-CN"/>
        </w:rPr>
        <w:t>我委全体人员</w:t>
      </w:r>
      <w:r>
        <w:rPr>
          <w:rFonts w:hint="eastAsia" w:ascii="仿宋_GB2312" w:hAnsi="仿宋_GB2312" w:eastAsia="仿宋_GB2312" w:cs="仿宋_GB2312"/>
          <w:sz w:val="32"/>
          <w:szCs w:val="32"/>
          <w:lang w:eastAsia="zh-CN"/>
        </w:rPr>
        <w:t>的思想政治素质和业务能力水平，增强广大干部职工的责任意识和服务意识，树立良好的单位形象，确保政务公开工作顺利开展。</w:t>
      </w:r>
      <w:bookmarkStart w:id="0" w:name="_GoBack"/>
      <w:bookmarkEnd w:id="0"/>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rPr>
          <w:rFonts w:hint="eastAsia" w:eastAsia="宋体"/>
          <w:lang w:val="en-US"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rPr>
        <w:t>本单位依据《政府信息公开信息处理管理办法》收取信息处理费，2021年发出收费通知得件数0件，总金额0元。实际收取的总金额0元。</w:t>
      </w: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67966"/>
    <w:multiLevelType w:val="singleLevel"/>
    <w:tmpl w:val="95367966"/>
    <w:lvl w:ilvl="0" w:tentative="0">
      <w:start w:val="2"/>
      <w:numFmt w:val="chineseCounting"/>
      <w:suff w:val="nothing"/>
      <w:lvlText w:val="（%1）"/>
      <w:lvlJc w:val="left"/>
      <w:pPr>
        <w:ind w:left="640" w:leftChars="0" w:firstLine="0" w:firstLineChars="0"/>
      </w:pPr>
      <w:rPr>
        <w:rFonts w:hint="eastAsia"/>
      </w:rPr>
    </w:lvl>
  </w:abstractNum>
  <w:abstractNum w:abstractNumId="1">
    <w:nsid w:val="BEBECD77"/>
    <w:multiLevelType w:val="singleLevel"/>
    <w:tmpl w:val="BEBECD7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10F5CB0"/>
    <w:rsid w:val="020E7372"/>
    <w:rsid w:val="037D5E10"/>
    <w:rsid w:val="04D1276B"/>
    <w:rsid w:val="07F813C7"/>
    <w:rsid w:val="0A826F96"/>
    <w:rsid w:val="0CBB1A54"/>
    <w:rsid w:val="0E7E0858"/>
    <w:rsid w:val="14470F9D"/>
    <w:rsid w:val="14A17984"/>
    <w:rsid w:val="157214B0"/>
    <w:rsid w:val="16A70F09"/>
    <w:rsid w:val="17217E52"/>
    <w:rsid w:val="19D73DAC"/>
    <w:rsid w:val="1E3F1448"/>
    <w:rsid w:val="247B746E"/>
    <w:rsid w:val="27470A1C"/>
    <w:rsid w:val="29AE54B9"/>
    <w:rsid w:val="2CA6446F"/>
    <w:rsid w:val="2CEB6771"/>
    <w:rsid w:val="2EF6189F"/>
    <w:rsid w:val="30FB3D2A"/>
    <w:rsid w:val="32F87D28"/>
    <w:rsid w:val="38780662"/>
    <w:rsid w:val="38AD02F2"/>
    <w:rsid w:val="3D255B57"/>
    <w:rsid w:val="40AF1405"/>
    <w:rsid w:val="41126EF8"/>
    <w:rsid w:val="425B2749"/>
    <w:rsid w:val="427636E5"/>
    <w:rsid w:val="4C074CEF"/>
    <w:rsid w:val="52F03734"/>
    <w:rsid w:val="54053C32"/>
    <w:rsid w:val="55CC51C1"/>
    <w:rsid w:val="575437DF"/>
    <w:rsid w:val="5AFA3E4F"/>
    <w:rsid w:val="5DA9301B"/>
    <w:rsid w:val="5DED1905"/>
    <w:rsid w:val="5E282F0F"/>
    <w:rsid w:val="5E7231FE"/>
    <w:rsid w:val="62AD78B3"/>
    <w:rsid w:val="65A63F93"/>
    <w:rsid w:val="666138CB"/>
    <w:rsid w:val="6CEB6ECC"/>
    <w:rsid w:val="71965E75"/>
    <w:rsid w:val="74064D96"/>
    <w:rsid w:val="780218A6"/>
    <w:rsid w:val="7C6402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SA"/>
    </w:rPr>
  </w:style>
  <w:style w:type="character" w:styleId="9">
    <w:name w:val="Hyperlink"/>
    <w:basedOn w:val="8"/>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2019-12-09T05:53:00Z</dcterms:created>
  <dc:creator>一米阳光66</dc:creator>
  <cp:lastModifiedBy>评测</cp:lastModifiedBy>
  <cp:lastPrinted>2019-12-12T01:52:00Z</cp:lastPrinted>
  <dcterms:modified xsi:type="dcterms:W3CDTF">2022-01-17T08:54:55Z</dcterms:modified>
  <dc:title>北京市通州区政务服务管理局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28E63801134E4F24B532D297144EF803</vt:lpwstr>
  </property>
</Properties>
</file>