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4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ascii="楷体" w:hAnsi="楷体" w:eastAsia="楷体" w:cs="楷体"/>
          <w:color w:val="auto"/>
          <w:spacing w:val="8"/>
          <w:sz w:val="32"/>
          <w:szCs w:val="32"/>
          <w:shd w:val="clear" w:fill="FFFFFF"/>
        </w:rPr>
        <w:t>（一）主动公开情况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通州区按照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《政府信息公开条例》要求，以“应公开、尽公开”和“便民服务”为理念，积极开展政府信息和政务公开工作，全年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通过区政府网站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主动公开政府信息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21675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其中工作动态类信息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4845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2021年通州区围绕“两区”建设、北京环球度假区、规划计划、优化营商环境、民生保障等方面推出信息公开专题，集中发布全区政策文件及解读信息。开通疫情防控专栏，汇总发布疫情最新通报、政策文件及解读、权威回应等信息，专栏累计发布信息160余条。开通“政策性文件意见征集”专栏，实现区级政策性文件集中统一向社会公开征集意见，2021年共发布12条意见征集相关信息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4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8"/>
          <w:sz w:val="32"/>
          <w:szCs w:val="32"/>
          <w:shd w:val="clear" w:fill="FFFFFF"/>
        </w:rPr>
        <w:t>（二）依申请公开办理情况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4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通州区组织各相关单位及时修订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“政府信息公开指南”，畅通当面受理、信函受理、传真受理、邮箱受理渠道，为公众提供多方式便捷的依申请服务。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区政府网站开通网页依申请服务新模式，让群众少跑腿，降低群众获取政府信息的成本。2021年共受理向区政府提出的政府信息公开181件，办理行政复议3件，行政诉讼6件，已出结果的案件中未出现复议被纠错及诉讼败诉情况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4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8"/>
          <w:sz w:val="32"/>
          <w:szCs w:val="32"/>
          <w:shd w:val="clear" w:fill="FFFFFF"/>
        </w:rPr>
        <w:t>（三）政府信息公开平台建设情况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充分发挥政府网站作为政务公开第一平台的作用,积极推进政府网站集约化建设，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对现有栏目进行全面梳理规范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，在信息公开专栏开设了医疗卫生、养老服务、稳岗就业等栏目，规范各单位信息发布位置。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政务新媒体方面，2021年通州区对全区政府系统政务新媒体进行了清理规范，共清理关停政府系统政务新媒体账号52个。每月对全区备案的政务新媒体账号进行监测，将检查结果向相关单位通报。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2" w:right="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8"/>
          <w:sz w:val="32"/>
          <w:szCs w:val="32"/>
          <w:shd w:val="clear" w:fill="FFFFFF"/>
        </w:rPr>
        <w:t>（四）工作考核、社会评议和</w:t>
      </w:r>
      <w:r>
        <w:rPr>
          <w:rFonts w:hint="eastAsia" w:ascii="楷体" w:hAnsi="楷体" w:eastAsia="楷体" w:cs="楷体"/>
          <w:color w:val="auto"/>
          <w:spacing w:val="8"/>
          <w:sz w:val="32"/>
          <w:szCs w:val="32"/>
          <w:shd w:val="clear" w:fill="FFFFFF"/>
          <w:lang w:val="en-US" w:eastAsia="zh-CN"/>
        </w:rPr>
        <w:t>教育培训</w:t>
      </w:r>
      <w:r>
        <w:rPr>
          <w:rFonts w:hint="eastAsia" w:ascii="楷体" w:hAnsi="楷体" w:eastAsia="楷体" w:cs="楷体"/>
          <w:color w:val="auto"/>
          <w:spacing w:val="8"/>
          <w:sz w:val="32"/>
          <w:szCs w:val="32"/>
          <w:shd w:val="clear" w:fill="FFFFFF"/>
        </w:rPr>
        <w:t>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4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通州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区将政务公开、政府网站和政务新媒体纳入了年度绩效考核内容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依托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自查和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第三方测评对全区各单位的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情况进行日常监测，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出具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季度报告进行督导整改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2021年通州区组织全区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56个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进行了业务培训，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涉及主动公开、依申请公开、网站和政务新媒体管理等相关内容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7"/>
        <w:tblW w:w="8062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35"/>
        <w:gridCol w:w="2127"/>
        <w:gridCol w:w="1775"/>
        <w:gridCol w:w="16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62" w:type="dxa"/>
            <w:gridSpan w:val="4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062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0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3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12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</w:t>
            </w:r>
            <w:r>
              <w:rPr>
                <w:rStyle w:val="14"/>
                <w:lang w:val="en-US" w:eastAsia="zh-CN" w:bidi="ar"/>
              </w:rPr>
              <w:t>制发件数</w:t>
            </w:r>
          </w:p>
        </w:tc>
        <w:tc>
          <w:tcPr>
            <w:tcW w:w="17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本年废止件数</w:t>
            </w:r>
          </w:p>
        </w:tc>
        <w:tc>
          <w:tcPr>
            <w:tcW w:w="162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现行有效件</w:t>
            </w:r>
            <w:r>
              <w:rPr>
                <w:rStyle w:val="14"/>
                <w:lang w:val="en-US" w:eastAsia="zh-CN" w:bidi="ar"/>
              </w:rPr>
              <w:t>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3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规章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等线" w:cs="Calibri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0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55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55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925950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0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55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3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55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23936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3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55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0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55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本年收费金额（单位：万元）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55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3141.35939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2"/>
        <w:rPr>
          <w:rFonts w:hint="eastAsia"/>
        </w:rPr>
      </w:pPr>
    </w:p>
    <w:tbl>
      <w:tblPr>
        <w:tblStyle w:val="7"/>
        <w:tblW w:w="971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590"/>
        <w:gridCol w:w="1755"/>
        <w:gridCol w:w="825"/>
        <w:gridCol w:w="855"/>
        <w:gridCol w:w="825"/>
        <w:gridCol w:w="900"/>
        <w:gridCol w:w="795"/>
        <w:gridCol w:w="581"/>
        <w:gridCol w:w="53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95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31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9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95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5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58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5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9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3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3.其他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970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1104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79</w:t>
            </w:r>
          </w:p>
        </w:tc>
      </w:tr>
    </w:tbl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tbl>
      <w:tblPr>
        <w:tblStyle w:val="7"/>
        <w:tblW w:w="1006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44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43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62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尚未</w:t>
            </w:r>
          </w:p>
        </w:tc>
        <w:tc>
          <w:tcPr>
            <w:tcW w:w="6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343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纠正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审结</w:t>
            </w:r>
          </w:p>
        </w:tc>
        <w:tc>
          <w:tcPr>
            <w:tcW w:w="6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尚未</w:t>
            </w:r>
          </w:p>
        </w:tc>
        <w:tc>
          <w:tcPr>
            <w:tcW w:w="6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尚未</w:t>
            </w:r>
          </w:p>
        </w:tc>
        <w:tc>
          <w:tcPr>
            <w:tcW w:w="4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维持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纠正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审结</w:t>
            </w:r>
          </w:p>
        </w:tc>
        <w:tc>
          <w:tcPr>
            <w:tcW w:w="6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维持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纠正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审结</w:t>
            </w:r>
          </w:p>
        </w:tc>
        <w:tc>
          <w:tcPr>
            <w:tcW w:w="4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主动公开存在不规范的情况。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个别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单位未完全按照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本单位编制的主动公开全清单标准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将政府信息全面公开，存在时断时续的情况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重点领域政府信息公开仍存在深度不够，质量不高等问题。通州区政务公开主管部门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将进一步加强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主动公开全清单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修订工作，并通过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日常提醒、定期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测评方式督促相关单位按职责全面、及时、准确公开政府信息。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政府信息依申请公开工作有待进一步严格规范。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部分单位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存在接收渠道不畅通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超期答复、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答复书救济渠道表述不明确的情况。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针对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问题，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通州区政务公开主管部门将加强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业务培训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重点强调、广泛提醒与个别帮助相结合的方式，全面提升依申请公开办理的规范化、法治化水平。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宋体" w:hAnsi="宋体" w:eastAsia="黑体" w:cs="宋体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宋体" w:cs="宋体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ascii="宋体" w:hAnsi="宋体" w:cs="宋体"/>
          <w:color w:val="auto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本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区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依据《政府信息公开信息处理费管理办法》收取信息处理费，2021年发出收费通知的件数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件，总金额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220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元。实际收取的总金额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sectPr>
      <w:footerReference r:id="rId3" w:type="default"/>
      <w:pgSz w:w="11906" w:h="16838"/>
      <w:pgMar w:top="2154" w:right="1474" w:bottom="1984" w:left="1587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C6ADA"/>
    <w:rsid w:val="00C83163"/>
    <w:rsid w:val="092545E2"/>
    <w:rsid w:val="0F0923F4"/>
    <w:rsid w:val="12F0463A"/>
    <w:rsid w:val="160E468C"/>
    <w:rsid w:val="1764477E"/>
    <w:rsid w:val="1C41595D"/>
    <w:rsid w:val="1DA83E5F"/>
    <w:rsid w:val="1F462E49"/>
    <w:rsid w:val="1FF703F3"/>
    <w:rsid w:val="20027889"/>
    <w:rsid w:val="21681204"/>
    <w:rsid w:val="21E22005"/>
    <w:rsid w:val="228A06E2"/>
    <w:rsid w:val="26987A0E"/>
    <w:rsid w:val="27FB4F12"/>
    <w:rsid w:val="2FE043FE"/>
    <w:rsid w:val="304A0A1D"/>
    <w:rsid w:val="3050668C"/>
    <w:rsid w:val="31020EE2"/>
    <w:rsid w:val="36C83331"/>
    <w:rsid w:val="3BBA42B0"/>
    <w:rsid w:val="3C273307"/>
    <w:rsid w:val="3C2C2215"/>
    <w:rsid w:val="400C6ADA"/>
    <w:rsid w:val="43667F94"/>
    <w:rsid w:val="44903A2A"/>
    <w:rsid w:val="470D3133"/>
    <w:rsid w:val="477609A6"/>
    <w:rsid w:val="48316F58"/>
    <w:rsid w:val="496E32FD"/>
    <w:rsid w:val="49B32846"/>
    <w:rsid w:val="4B727BE2"/>
    <w:rsid w:val="4D0775BD"/>
    <w:rsid w:val="4D18519B"/>
    <w:rsid w:val="4FC91C03"/>
    <w:rsid w:val="55705DFD"/>
    <w:rsid w:val="55BB3BCF"/>
    <w:rsid w:val="57BD6ECD"/>
    <w:rsid w:val="5D4209B5"/>
    <w:rsid w:val="5D5268E9"/>
    <w:rsid w:val="5D620DCC"/>
    <w:rsid w:val="5F4D17A4"/>
    <w:rsid w:val="61895897"/>
    <w:rsid w:val="63780CEF"/>
    <w:rsid w:val="63F57D57"/>
    <w:rsid w:val="65FA0477"/>
    <w:rsid w:val="6D1430A1"/>
    <w:rsid w:val="70864CB6"/>
    <w:rsid w:val="712967ED"/>
    <w:rsid w:val="71D92F40"/>
    <w:rsid w:val="74036B2A"/>
    <w:rsid w:val="77E95CCD"/>
    <w:rsid w:val="78316890"/>
    <w:rsid w:val="78C437C5"/>
    <w:rsid w:val="7CD00D4E"/>
    <w:rsid w:val="7E472C9E"/>
    <w:rsid w:val="7F1B5B61"/>
    <w:rsid w:val="7FCC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TML Variable"/>
    <w:basedOn w:val="8"/>
    <w:qFormat/>
    <w:uiPriority w:val="0"/>
  </w:style>
  <w:style w:type="character" w:styleId="12">
    <w:name w:val="Hyperlink"/>
    <w:basedOn w:val="8"/>
    <w:qFormat/>
    <w:uiPriority w:val="0"/>
    <w:rPr>
      <w:color w:val="000000"/>
      <w:u w:val="none"/>
    </w:rPr>
  </w:style>
  <w:style w:type="character" w:customStyle="1" w:styleId="13">
    <w:name w:val="on"/>
    <w:basedOn w:val="8"/>
    <w:qFormat/>
    <w:uiPriority w:val="0"/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2022-01-06T09:38:00Z</dcterms:created>
  <dc:creator>user</dc:creator>
  <cp:lastModifiedBy>一米阳光66</cp:lastModifiedBy>
  <cp:lastPrinted>2022-02-17T01:27:00Z</cp:lastPrinted>
  <dcterms:modified xsi:type="dcterms:W3CDTF">2022-02-18T01:44:27Z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  <property fmtid="{D5CDD505-2E9C-101B-9397-08002B2CF9AE}" pid="3" name="ICV">
    <vt:lpwstr>32106DAFFEAB4237A9A851BC6689EAAE</vt:lpwstr>
  </property>
</Properties>
</file>