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通州区委社会工委区民政局2022年</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rPr>
          <w:rFonts w:ascii="仿宋_GB2312" w:hAnsi="仿宋_GB2312" w:eastAsia="仿宋_GB2312" w:cs="仿宋_GB2312"/>
          <w:spacing w:val="8"/>
          <w:kern w:val="0"/>
          <w:sz w:val="32"/>
          <w:szCs w:val="32"/>
        </w:rPr>
      </w:pPr>
      <w:r>
        <w:rPr>
          <w:rFonts w:hint="eastAsia" w:ascii="仿宋_GB2312" w:hAnsi="仿宋_GB2312" w:eastAsia="仿宋_GB2312" w:cs="仿宋_GB2312"/>
          <w:color w:val="404040"/>
          <w:kern w:val="0"/>
          <w:sz w:val="32"/>
          <w:szCs w:val="32"/>
        </w:rPr>
        <w:t xml:space="preserve">　   </w:t>
      </w:r>
      <w:r>
        <w:rPr>
          <w:rFonts w:hint="eastAsia" w:ascii="仿宋_GB2312" w:hAnsi="仿宋_GB2312" w:eastAsia="仿宋_GB2312" w:cs="仿宋_GB2312"/>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rPr>
          <w:rFonts w:ascii="黑体" w:hAnsi="黑体" w:eastAsia="黑体" w:cs="黑体"/>
          <w:spacing w:val="8"/>
          <w:kern w:val="0"/>
          <w:sz w:val="32"/>
          <w:szCs w:val="32"/>
        </w:rPr>
      </w:pPr>
      <w:r>
        <w:rPr>
          <w:rFonts w:hint="eastAsia" w:ascii="黑体" w:hAnsi="黑体" w:eastAsia="黑体" w:cs="黑体"/>
          <w:spacing w:val="8"/>
          <w:kern w:val="0"/>
          <w:sz w:val="32"/>
          <w:szCs w:val="32"/>
        </w:rPr>
        <w:t>一、总体情况</w:t>
      </w:r>
    </w:p>
    <w:p>
      <w:pPr>
        <w:widowControl/>
        <w:spacing w:line="560" w:lineRule="exact"/>
        <w:ind w:firstLine="672" w:firstLineChars="200"/>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2022年，本部门严格按照《中华人民共和国政府信息公开条例》以及市、区政府信息公开工作要点的要求，</w:t>
      </w:r>
      <w:r>
        <w:rPr>
          <w:rFonts w:hint="eastAsia" w:ascii="仿宋_GB2312" w:hAnsi="仿宋_GB2312" w:eastAsia="仿宋_GB2312" w:cs="仿宋_GB2312"/>
          <w:sz w:val="32"/>
          <w:szCs w:val="32"/>
        </w:rPr>
        <w:t>进一步做好2022年政务公开全清单动态调整，</w:t>
      </w:r>
      <w:r>
        <w:rPr>
          <w:rFonts w:hint="eastAsia" w:ascii="仿宋_GB2312" w:hAnsi="仿宋_GB2312" w:eastAsia="仿宋_GB2312" w:cs="仿宋_GB2312"/>
          <w:spacing w:val="8"/>
          <w:kern w:val="0"/>
          <w:sz w:val="32"/>
          <w:szCs w:val="32"/>
        </w:rPr>
        <w:t>认真完成本部门的各项政府信息公开工作任务，持续完善工作机制，</w:t>
      </w:r>
      <w:r>
        <w:rPr>
          <w:rFonts w:hint="eastAsia" w:ascii="仿宋_GB2312" w:hAnsi="仿宋_GB2312" w:eastAsia="仿宋_GB2312" w:cs="仿宋_GB2312"/>
          <w:sz w:val="32"/>
          <w:szCs w:val="32"/>
        </w:rPr>
        <w:t>通过政府网站、政务新媒体平台发布信息，</w:t>
      </w:r>
      <w:r>
        <w:rPr>
          <w:rFonts w:hint="eastAsia" w:ascii="仿宋_GB2312" w:hAnsi="仿宋_GB2312" w:eastAsia="仿宋_GB2312" w:cs="仿宋_GB2312"/>
          <w:spacing w:val="8"/>
          <w:kern w:val="0"/>
          <w:sz w:val="32"/>
          <w:szCs w:val="32"/>
        </w:rPr>
        <w:t>严格实行“三审三校”审核机制，坚持不懈的推进政府信息公开工作。</w:t>
      </w:r>
    </w:p>
    <w:p>
      <w:pPr>
        <w:widowControl/>
        <w:spacing w:line="560" w:lineRule="exact"/>
        <w:ind w:firstLine="674"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（一）主动公开</w:t>
      </w:r>
    </w:p>
    <w:p>
      <w:pPr>
        <w:pStyle w:val="6"/>
        <w:spacing w:before="0" w:beforeAutospacing="0" w:after="0" w:afterAutospacing="0" w:line="560" w:lineRule="exact"/>
        <w:ind w:firstLine="640"/>
        <w:jc w:val="both"/>
        <w:rPr>
          <w:rFonts w:hint="default" w:ascii="仿宋_GB2312" w:hAnsi="仿宋_GB2312" w:eastAsia="仿宋_GB2312" w:cs="仿宋_GB2312"/>
          <w:spacing w:val="8"/>
          <w:sz w:val="32"/>
          <w:szCs w:val="32"/>
        </w:rPr>
      </w:pPr>
      <w:r>
        <w:rPr>
          <w:rFonts w:ascii="仿宋_GB2312" w:hAnsi="仿宋_GB2312" w:eastAsia="仿宋_GB2312" w:cs="仿宋_GB2312"/>
          <w:spacing w:val="8"/>
          <w:sz w:val="32"/>
          <w:szCs w:val="32"/>
        </w:rPr>
        <w:t>本部门按照“公开为原则，不公开为例外”的总体要求，立足公众需求，在确保不失密不泄密的前提下，在</w:t>
      </w:r>
      <w:r>
        <w:rPr>
          <w:rFonts w:ascii="仿宋_GB2312" w:hAnsi="仿宋_GB2312" w:eastAsia="仿宋_GB2312" w:cs="仿宋_GB2312"/>
          <w:color w:val="auto"/>
          <w:sz w:val="32"/>
          <w:szCs w:val="32"/>
        </w:rPr>
        <w:t>区</w:t>
      </w:r>
      <w:r>
        <w:rPr>
          <w:rFonts w:ascii="仿宋_GB2312" w:hAnsi="仿宋_GB2312" w:eastAsia="仿宋_GB2312" w:cs="仿宋_GB2312"/>
          <w:color w:val="auto"/>
          <w:sz w:val="32"/>
          <w:szCs w:val="32"/>
          <w:shd w:val="clear" w:color="auto" w:fill="FFFFFF"/>
        </w:rPr>
        <w:t>政府网站通知公告、部门动态、社会救助、政民互动等栏目发布相关信息，保证信息更新和发布的时效性、准确性和规范性。</w:t>
      </w:r>
      <w:r>
        <w:rPr>
          <w:rFonts w:ascii="仿宋_GB2312" w:hAnsi="仿宋_GB2312" w:eastAsia="仿宋_GB2312" w:cs="仿宋_GB2312"/>
          <w:sz w:val="32"/>
          <w:szCs w:val="32"/>
        </w:rPr>
        <w:t>紧密加强与《北京日报》、《今日头条》、《北京社区报》、《城市副中心报》等市、区各大主流媒体日常沟通联系，1—12月份，</w:t>
      </w:r>
      <w:r>
        <w:rPr>
          <w:rFonts w:ascii="仿宋_GB2312" w:hAnsi="仿宋_GB2312" w:eastAsia="仿宋_GB2312" w:cs="仿宋_GB2312"/>
          <w:color w:val="auto"/>
          <w:sz w:val="32"/>
          <w:szCs w:val="32"/>
        </w:rPr>
        <w:t>共发布对外信息150余篇，其中报纸媒体采用刊登72篇，新媒体发布转载信息90余篇，《城市副中心新闻》共采播新闻21期次。官方</w:t>
      </w:r>
      <w:r>
        <w:rPr>
          <w:rFonts w:ascii="仿宋_GB2312" w:hAnsi="仿宋_GB2312" w:eastAsia="仿宋_GB2312" w:cs="仿宋_GB2312"/>
          <w:bCs/>
          <w:color w:val="auto"/>
          <w:sz w:val="32"/>
          <w:szCs w:val="32"/>
        </w:rPr>
        <w:t>微信公众号共推送微信共1020条，总阅读量达38.9万人次。开设私信、文章留言、在线留言3种渠道，24小时内对私信进行有效回复，做好舆情通知和政策解答，共回复私信483条，发现舆情隐患2次。</w:t>
      </w:r>
    </w:p>
    <w:p>
      <w:pPr>
        <w:widowControl/>
        <w:spacing w:line="560" w:lineRule="exact"/>
        <w:ind w:firstLine="674"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（二）依申请公开情况</w:t>
      </w:r>
    </w:p>
    <w:p>
      <w:pPr>
        <w:widowControl/>
        <w:spacing w:line="560" w:lineRule="exact"/>
        <w:ind w:firstLine="672" w:firstLineChars="200"/>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按照《政府信息公开条例》第13条规定,委局自《政府信息公开条例》实施之日起正式受理公民、法人或者其他组织根据自身生产、生活、科研等特殊需要提出的政府信息公开申请。2022年共接到申请9件,均已按时办结。</w:t>
      </w:r>
    </w:p>
    <w:p>
      <w:pPr>
        <w:pStyle w:val="2"/>
        <w:numPr>
          <w:ilvl w:val="0"/>
          <w:numId w:val="1"/>
        </w:numPr>
        <w:spacing w:line="560" w:lineRule="exact"/>
        <w:ind w:firstLine="674"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政府信息管理</w:t>
      </w:r>
    </w:p>
    <w:p>
      <w:pPr>
        <w:pStyle w:val="2"/>
        <w:spacing w:line="560" w:lineRule="exact"/>
        <w:ind w:firstLine="704"/>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按照《通州区政府网站管理办法》按时在区政府网站发布信息，在国务院办公厅开展的政府网站于政务新媒体抽查中，未存在不合格情况；在本市开展的政府网站与政务新媒体季度检查中，未存在不合格情况。</w:t>
      </w:r>
    </w:p>
    <w:p>
      <w:pPr>
        <w:pStyle w:val="2"/>
        <w:numPr>
          <w:ilvl w:val="0"/>
          <w:numId w:val="1"/>
        </w:numPr>
        <w:spacing w:line="560" w:lineRule="exact"/>
        <w:ind w:firstLine="674"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lang w:eastAsia="zh-CN"/>
        </w:rPr>
        <w:t>教育培训</w:t>
      </w:r>
      <w:r>
        <w:rPr>
          <w:rFonts w:hint="eastAsia" w:ascii="仿宋_GB2312" w:hAnsi="仿宋_GB2312" w:eastAsia="仿宋_GB2312" w:cs="仿宋_GB2312"/>
          <w:b/>
          <w:bCs/>
          <w:spacing w:val="8"/>
          <w:kern w:val="0"/>
          <w:sz w:val="32"/>
          <w:szCs w:val="32"/>
        </w:rPr>
        <w:t>方面</w:t>
      </w:r>
    </w:p>
    <w:p>
      <w:pPr>
        <w:pStyle w:val="2"/>
        <w:spacing w:line="560" w:lineRule="exact"/>
        <w:ind w:firstLine="704"/>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为加强干部职工对《中华人民共和国政府信息公开条例》的学习，不断提升政府信息公开水平，</w:t>
      </w:r>
      <w:r>
        <w:rPr>
          <w:rFonts w:hint="eastAsia" w:ascii="仿宋_GB2312" w:hAnsi="仿宋_GB2312" w:eastAsia="仿宋_GB2312" w:cs="仿宋_GB2312"/>
          <w:spacing w:val="8"/>
          <w:kern w:val="0"/>
          <w:sz w:val="32"/>
          <w:szCs w:val="32"/>
          <w:lang w:eastAsia="zh-CN"/>
        </w:rPr>
        <w:t>上半年对</w:t>
      </w:r>
      <w:r>
        <w:rPr>
          <w:rFonts w:hint="eastAsia" w:ascii="仿宋_GB2312" w:hAnsi="仿宋_GB2312" w:eastAsia="仿宋_GB2312" w:cs="仿宋_GB2312"/>
          <w:spacing w:val="8"/>
          <w:kern w:val="0"/>
          <w:sz w:val="32"/>
          <w:szCs w:val="32"/>
        </w:rPr>
        <w:t>机关各科室、局属各单位骨干人员开展了政府信息公开学习培训。《条例》共六章56条，明确了扩大主动公开的范围、明确了不公开政府信息的具体情形和建立健全政府信息管理动态调整机制</w:t>
      </w:r>
      <w:r>
        <w:rPr>
          <w:rFonts w:hint="eastAsia" w:ascii="仿宋_GB2312" w:hAnsi="仿宋_GB2312" w:eastAsia="仿宋_GB2312" w:cs="仿宋_GB2312"/>
          <w:spacing w:val="8"/>
          <w:kern w:val="0"/>
          <w:sz w:val="32"/>
          <w:szCs w:val="32"/>
          <w:lang w:eastAsia="zh-CN"/>
        </w:rPr>
        <w:t>等内容，</w:t>
      </w:r>
      <w:r>
        <w:rPr>
          <w:rFonts w:hint="eastAsia" w:ascii="仿宋_GB2312" w:hAnsi="仿宋_GB2312" w:eastAsia="仿宋_GB2312" w:cs="仿宋_GB2312"/>
          <w:spacing w:val="8"/>
          <w:kern w:val="0"/>
          <w:sz w:val="32"/>
          <w:szCs w:val="32"/>
        </w:rPr>
        <w:t>是推动</w:t>
      </w:r>
      <w:r>
        <w:rPr>
          <w:rFonts w:hint="eastAsia" w:ascii="仿宋_GB2312" w:hAnsi="仿宋_GB2312" w:eastAsia="仿宋_GB2312" w:cs="仿宋_GB2312"/>
          <w:spacing w:val="8"/>
          <w:kern w:val="0"/>
          <w:sz w:val="32"/>
          <w:szCs w:val="32"/>
          <w:lang w:eastAsia="zh-CN"/>
        </w:rPr>
        <w:t>政府</w:t>
      </w:r>
      <w:r>
        <w:rPr>
          <w:rFonts w:hint="eastAsia" w:ascii="仿宋_GB2312" w:hAnsi="仿宋_GB2312" w:eastAsia="仿宋_GB2312" w:cs="仿宋_GB2312"/>
          <w:spacing w:val="8"/>
          <w:kern w:val="0"/>
          <w:sz w:val="32"/>
          <w:szCs w:val="32"/>
        </w:rPr>
        <w:t>信息公开工作深入开展的基本原则和工作遵循，要求</w:t>
      </w:r>
      <w:r>
        <w:rPr>
          <w:rFonts w:hint="eastAsia" w:ascii="仿宋_GB2312" w:hAnsi="仿宋_GB2312" w:eastAsia="仿宋_GB2312" w:cs="仿宋_GB2312"/>
          <w:spacing w:val="8"/>
          <w:kern w:val="0"/>
          <w:sz w:val="32"/>
          <w:szCs w:val="32"/>
          <w:lang w:eastAsia="zh-CN"/>
        </w:rPr>
        <w:t>各部门</w:t>
      </w:r>
      <w:r>
        <w:rPr>
          <w:rFonts w:hint="eastAsia" w:ascii="仿宋_GB2312" w:hAnsi="仿宋_GB2312" w:eastAsia="仿宋_GB2312" w:cs="仿宋_GB2312"/>
          <w:spacing w:val="8"/>
          <w:kern w:val="0"/>
          <w:sz w:val="32"/>
          <w:szCs w:val="32"/>
        </w:rPr>
        <w:t>要进一步强化</w:t>
      </w:r>
      <w:r>
        <w:rPr>
          <w:rFonts w:hint="eastAsia" w:ascii="仿宋_GB2312" w:hAnsi="仿宋_GB2312" w:eastAsia="仿宋_GB2312" w:cs="仿宋_GB2312"/>
          <w:spacing w:val="8"/>
          <w:kern w:val="0"/>
          <w:sz w:val="32"/>
          <w:szCs w:val="32"/>
          <w:lang w:eastAsia="zh-CN"/>
        </w:rPr>
        <w:t>政务信息公开</w:t>
      </w:r>
      <w:r>
        <w:rPr>
          <w:rFonts w:hint="eastAsia" w:ascii="仿宋_GB2312" w:hAnsi="仿宋_GB2312" w:eastAsia="仿宋_GB2312" w:cs="仿宋_GB2312"/>
          <w:spacing w:val="8"/>
          <w:kern w:val="0"/>
          <w:sz w:val="32"/>
          <w:szCs w:val="32"/>
        </w:rPr>
        <w:t>意识，不断提高政府信息公开实效。</w:t>
      </w:r>
    </w:p>
    <w:p>
      <w:pPr>
        <w:pStyle w:val="2"/>
        <w:numPr>
          <w:ilvl w:val="0"/>
          <w:numId w:val="1"/>
        </w:numPr>
        <w:spacing w:line="560" w:lineRule="exact"/>
        <w:ind w:firstLine="674"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监督保障方面</w:t>
      </w:r>
    </w:p>
    <w:p>
      <w:pPr>
        <w:spacing w:line="560" w:lineRule="exact"/>
        <w:ind w:firstLine="672" w:firstLineChars="200"/>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能够及时按照区政务服务局要求更新、维护、完善政府网站发布的相关信息，及时督促各相关科室对照标准化信息公开目录做好信息公开工作，设立信息公开联络员，保障各项信息及时公开。</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9"/>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sz w:val="20"/>
                <w:szCs w:val="20"/>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ind w:firstLine="200" w:firstLineChars="100"/>
              <w:jc w:val="center"/>
              <w:rPr>
                <w:rFonts w:ascii="宋体" w:hAnsi="宋体" w:cs="宋体"/>
                <w:sz w:val="20"/>
                <w:szCs w:val="20"/>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ind w:firstLine="1200" w:firstLineChars="600"/>
              <w:jc w:val="both"/>
              <w:rPr>
                <w:rFonts w:ascii="宋体" w:hAnsi="宋体" w:cs="宋体"/>
                <w:sz w:val="20"/>
                <w:szCs w:val="20"/>
              </w:rPr>
            </w:pPr>
            <w:r>
              <w:rPr>
                <w:rFonts w:hint="eastAsia" w:ascii="宋体" w:hAnsi="宋体" w:cs="宋体"/>
                <w:sz w:val="20"/>
                <w:szCs w:val="20"/>
              </w:rPr>
              <w:t>2</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sz w:val="20"/>
                <w:szCs w:val="20"/>
              </w:rPr>
            </w:pP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宋体" w:hAnsi="宋体" w:cs="宋体"/>
                <w:sz w:val="20"/>
                <w:szCs w:val="20"/>
                <w:lang w:val="en-US"/>
              </w:rPr>
            </w:pPr>
            <w:r>
              <w:rPr>
                <w:rFonts w:hint="eastAsia" w:ascii="宋体" w:hAnsi="宋体" w:cs="宋体"/>
                <w:kern w:val="0"/>
                <w:sz w:val="20"/>
                <w:szCs w:val="20"/>
                <w:lang w:val="en-US" w:eastAsia="zh-CN" w:bidi="ar"/>
              </w:rPr>
              <w:t>42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106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ind w:firstLine="200" w:firstLineChars="100"/>
              <w:jc w:val="center"/>
              <w:rPr>
                <w:rFonts w:ascii="宋体"/>
                <w:sz w:val="24"/>
              </w:rPr>
            </w:pPr>
            <w:r>
              <w:rPr>
                <w:rFonts w:hint="eastAsia" w:ascii="宋体" w:hAnsi="宋体" w:cs="宋体"/>
                <w:color w:val="000000"/>
                <w:kern w:val="0"/>
                <w:sz w:val="20"/>
                <w:szCs w:val="20"/>
                <w:lang w:bidi="ar"/>
              </w:rPr>
              <w:t>0</w:t>
            </w:r>
          </w:p>
        </w:tc>
      </w:tr>
    </w:tbl>
    <w:p>
      <w:pPr>
        <w:pStyle w:val="2"/>
      </w:pP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6"/>
        <w:shd w:val="clear" w:color="auto" w:fill="FFFFFF"/>
        <w:spacing w:before="0" w:beforeAutospacing="0" w:after="0" w:afterAutospacing="0"/>
        <w:ind w:firstLine="420"/>
        <w:jc w:val="both"/>
        <w:rPr>
          <w:rFonts w:hint="default"/>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78"/>
        <w:gridCol w:w="69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7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5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7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9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9</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7"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 xml:space="preserve"> 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8</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7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rPr>
              <w:t> </w:t>
            </w: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rPr>
              <w:t> </w:t>
            </w: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rPr>
              <w:t> </w:t>
            </w: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r>
              <w:rPr>
                <w:rFonts w:cs="Calibri"/>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r>
              <w:rPr>
                <w:rFonts w:cs="Calibri"/>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rPr>
              <w:t> </w:t>
            </w: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7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 xml:space="preserve"> 1</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7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7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9</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7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9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9"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cs="Calibri"/>
                <w:kern w:val="0"/>
                <w:sz w:val="20"/>
                <w:szCs w:val="20"/>
                <w:lang w:bidi="ar"/>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sz w:val="20"/>
                <w:szCs w:val="20"/>
              </w:rPr>
            </w:pPr>
            <w:r>
              <w:rPr>
                <w:rFonts w:hint="eastAsia" w:ascii="宋体" w:hAnsi="宋体" w:cs="宋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sz w:val="20"/>
                <w:szCs w:val="20"/>
              </w:rPr>
            </w:pPr>
            <w:r>
              <w:rPr>
                <w:rFonts w:hint="eastAsia" w:ascii="宋体" w:hAnsi="宋体" w:cs="宋体"/>
                <w:sz w:val="20"/>
                <w:szCs w:val="20"/>
              </w:rPr>
              <w:t>0</w:t>
            </w:r>
          </w:p>
        </w:tc>
      </w:tr>
    </w:tbl>
    <w:p>
      <w:pPr>
        <w:widowControl/>
        <w:jc w:val="left"/>
      </w:pPr>
    </w:p>
    <w:p>
      <w:pPr>
        <w:widowControl/>
        <w:spacing w:line="560" w:lineRule="exact"/>
        <w:ind w:firstLine="672" w:firstLineChars="200"/>
        <w:jc w:val="left"/>
        <w:rPr>
          <w:rFonts w:ascii="黑体" w:hAnsi="黑体" w:eastAsia="黑体" w:cs="宋体"/>
          <w:spacing w:val="8"/>
          <w:kern w:val="0"/>
          <w:sz w:val="32"/>
          <w:szCs w:val="32"/>
        </w:rPr>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4" w:firstLineChars="200"/>
        <w:rPr>
          <w:rFonts w:ascii="仿宋_GB2312" w:hAnsi="仿宋_GB2312" w:eastAsia="仿宋_GB2312" w:cs="仿宋_GB2312"/>
          <w:spacing w:val="8"/>
          <w:kern w:val="0"/>
          <w:sz w:val="32"/>
          <w:szCs w:val="32"/>
        </w:rPr>
      </w:pPr>
      <w:r>
        <w:rPr>
          <w:rFonts w:hint="eastAsia" w:ascii="仿宋_GB2312" w:hAnsi="仿宋_GB2312" w:eastAsia="仿宋_GB2312" w:cs="仿宋_GB2312"/>
          <w:b/>
          <w:bCs/>
          <w:spacing w:val="8"/>
          <w:kern w:val="0"/>
          <w:sz w:val="32"/>
          <w:szCs w:val="32"/>
        </w:rPr>
        <w:t>存在问题：</w:t>
      </w:r>
      <w:r>
        <w:rPr>
          <w:rFonts w:hint="eastAsia" w:ascii="仿宋_GB2312" w:hAnsi="仿宋_GB2312" w:eastAsia="仿宋_GB2312" w:cs="仿宋_GB2312"/>
          <w:spacing w:val="8"/>
          <w:kern w:val="0"/>
          <w:sz w:val="32"/>
          <w:szCs w:val="32"/>
        </w:rPr>
        <w:t>一是</w:t>
      </w:r>
      <w:r>
        <w:rPr>
          <w:rFonts w:hint="eastAsia" w:ascii="仿宋_GB2312" w:hAnsi="仿宋_GB2312" w:eastAsia="仿宋_GB2312" w:cs="仿宋_GB2312"/>
          <w:sz w:val="32"/>
          <w:szCs w:val="32"/>
          <w:shd w:val="clear" w:color="auto" w:fill="FFFFFF"/>
        </w:rPr>
        <w:t>重点领域</w:t>
      </w:r>
      <w:r>
        <w:rPr>
          <w:rFonts w:hint="eastAsia" w:ascii="仿宋_GB2312" w:hAnsi="仿宋_GB2312" w:eastAsia="仿宋_GB2312" w:cs="仿宋_GB2312"/>
          <w:sz w:val="32"/>
          <w:szCs w:val="32"/>
        </w:rPr>
        <w:t>理论学习不够深入</w:t>
      </w:r>
      <w:r>
        <w:rPr>
          <w:rFonts w:hint="eastAsia" w:ascii="仿宋_GB2312" w:hAnsi="仿宋_GB2312" w:eastAsia="仿宋_GB2312" w:cs="仿宋_GB2312"/>
          <w:sz w:val="32"/>
          <w:szCs w:val="32"/>
          <w:shd w:val="clear" w:color="auto" w:fill="FFFFFF"/>
        </w:rPr>
        <w:t>。在重点领域信息公开的范围不断扩大的同时，也推进了公开内容的深度，但</w:t>
      </w:r>
      <w:r>
        <w:rPr>
          <w:rFonts w:hint="eastAsia" w:ascii="仿宋_GB2312" w:hAnsi="仿宋_GB2312" w:eastAsia="仿宋_GB2312" w:cs="仿宋_GB2312"/>
          <w:sz w:val="32"/>
          <w:szCs w:val="32"/>
        </w:rPr>
        <w:t>理论联系实际不够，运用理论指导信息公开实践的意识不强、</w:t>
      </w:r>
      <w:r>
        <w:rPr>
          <w:rFonts w:hint="eastAsia" w:ascii="仿宋_GB2312" w:hAnsi="仿宋_GB2312" w:eastAsia="仿宋_GB2312" w:cs="仿宋_GB2312"/>
          <w:sz w:val="32"/>
          <w:szCs w:val="32"/>
          <w:shd w:val="clear" w:color="auto" w:fill="FFFFFF"/>
        </w:rPr>
        <w:t>质量不高、深度不够等问题，在工作中仍然不同程度存在。二是公开工作</w:t>
      </w:r>
      <w:r>
        <w:rPr>
          <w:rFonts w:hint="eastAsia" w:ascii="仿宋_GB2312" w:hAnsi="仿宋_GB2312" w:eastAsia="仿宋_GB2312" w:cs="仿宋_GB2312"/>
          <w:sz w:val="32"/>
          <w:szCs w:val="32"/>
        </w:rPr>
        <w:t>业务能力还有待加强</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新入职的干部年龄结构偏年轻化，在政府信息公开工作方面缺乏专业知识技能培训。</w:t>
      </w:r>
      <w:r>
        <w:rPr>
          <w:rFonts w:hint="eastAsia" w:ascii="仿宋_GB2312" w:hAnsi="仿宋_GB2312" w:eastAsia="仿宋_GB2312" w:cs="仿宋_GB2312"/>
          <w:b/>
          <w:bCs/>
          <w:sz w:val="32"/>
          <w:szCs w:val="32"/>
          <w:shd w:val="clear" w:color="auto" w:fill="FFFFFF"/>
        </w:rPr>
        <w:t>改进情况：</w:t>
      </w:r>
      <w:r>
        <w:rPr>
          <w:rFonts w:hint="eastAsia" w:ascii="仿宋_GB2312" w:hAnsi="仿宋_GB2312" w:eastAsia="仿宋_GB2312" w:cs="仿宋_GB2312"/>
          <w:sz w:val="32"/>
          <w:szCs w:val="32"/>
          <w:shd w:val="clear" w:color="auto" w:fill="FFFFFF"/>
        </w:rPr>
        <w:t>一是</w:t>
      </w:r>
      <w:r>
        <w:rPr>
          <w:rStyle w:val="11"/>
          <w:rFonts w:hint="eastAsia" w:ascii="仿宋_GB2312" w:hAnsi="仿宋_GB2312" w:eastAsia="仿宋_GB2312" w:cs="仿宋_GB2312"/>
          <w:b w:val="0"/>
          <w:sz w:val="32"/>
          <w:szCs w:val="32"/>
          <w:shd w:val="clear" w:color="auto" w:fill="FFFFFF"/>
        </w:rPr>
        <w:t>着力深化重点领域信息公开。</w:t>
      </w:r>
      <w:r>
        <w:rPr>
          <w:rFonts w:hint="eastAsia" w:ascii="仿宋_GB2312" w:hAnsi="仿宋_GB2312" w:eastAsia="仿宋_GB2312" w:cs="仿宋_GB2312"/>
          <w:sz w:val="32"/>
          <w:szCs w:val="32"/>
          <w:shd w:val="clear" w:color="auto" w:fill="FFFFFF"/>
        </w:rPr>
        <w:t>加大推进基层社会治理、社会救助、养老服务等重点领域信息公开力度，</w:t>
      </w:r>
      <w:r>
        <w:rPr>
          <w:rFonts w:hint="eastAsia" w:ascii="仿宋_GB2312" w:hAnsi="仿宋_GB2312" w:eastAsia="仿宋_GB2312" w:cs="仿宋_GB2312"/>
          <w:sz w:val="32"/>
          <w:szCs w:val="32"/>
        </w:rPr>
        <w:t>坚持用先进理论武装头脑，切实增强工作责任感和使命感，真正从思想上强起来。</w:t>
      </w:r>
      <w:r>
        <w:rPr>
          <w:rFonts w:hint="eastAsia" w:ascii="仿宋_GB2312" w:hAnsi="仿宋_GB2312" w:eastAsia="仿宋_GB2312" w:cs="仿宋_GB2312"/>
          <w:sz w:val="32"/>
          <w:szCs w:val="32"/>
          <w:shd w:val="clear" w:color="auto" w:fill="FFFFFF"/>
        </w:rPr>
        <w:t>二是</w:t>
      </w:r>
      <w:r>
        <w:rPr>
          <w:rStyle w:val="11"/>
          <w:rFonts w:hint="eastAsia" w:ascii="仿宋_GB2312" w:hAnsi="仿宋_GB2312" w:eastAsia="仿宋_GB2312" w:cs="仿宋_GB2312"/>
          <w:b w:val="0"/>
          <w:sz w:val="32"/>
          <w:szCs w:val="32"/>
          <w:shd w:val="clear" w:color="auto" w:fill="FFFFFF"/>
        </w:rPr>
        <w:t>着力加强公开工作队伍建设。</w:t>
      </w:r>
      <w:r>
        <w:rPr>
          <w:rFonts w:hint="eastAsia" w:ascii="仿宋_GB2312" w:hAnsi="仿宋_GB2312" w:eastAsia="仿宋_GB2312" w:cs="仿宋_GB2312"/>
          <w:sz w:val="32"/>
          <w:szCs w:val="32"/>
        </w:rPr>
        <w:t>按照政治强、业务精、纪律严、作风正的要求，努力打造了一支思想理论好、综合素质高、业</w:t>
      </w:r>
      <w:r>
        <w:rPr>
          <w:rFonts w:hint="eastAsia" w:ascii="仿宋_GB2312" w:hAnsi="仿宋_GB2312" w:eastAsia="仿宋_GB2312" w:cs="仿宋_GB2312"/>
          <w:sz w:val="32"/>
          <w:szCs w:val="32"/>
          <w:shd w:val="clear" w:color="auto" w:fill="FFFFFF"/>
        </w:rPr>
        <w:t>务能力强</w:t>
      </w:r>
      <w:r>
        <w:rPr>
          <w:rFonts w:hint="eastAsia" w:ascii="仿宋_GB2312" w:hAnsi="仿宋_GB2312" w:eastAsia="仿宋_GB2312" w:cs="仿宋_GB2312"/>
          <w:sz w:val="32"/>
          <w:szCs w:val="32"/>
        </w:rPr>
        <w:t>的政府信息公开工作干部队伍。</w:t>
      </w:r>
      <w:r>
        <w:rPr>
          <w:rFonts w:hint="eastAsia" w:ascii="仿宋_GB2312" w:hAnsi="仿宋_GB2312" w:eastAsia="仿宋_GB2312" w:cs="仿宋_GB2312"/>
          <w:sz w:val="32"/>
          <w:szCs w:val="32"/>
        </w:rPr>
        <w:br w:type="textWrapping"/>
      </w:r>
    </w:p>
    <w:p>
      <w:pPr>
        <w:widowControl/>
        <w:spacing w:line="560" w:lineRule="exact"/>
        <w:ind w:firstLine="675"/>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kern w:val="0"/>
          <w:sz w:val="32"/>
          <w:szCs w:val="32"/>
        </w:rPr>
      </w:pPr>
      <w:r>
        <w:rPr>
          <w:rFonts w:ascii="宋体" w:hAnsi="宋体" w:cs="宋体"/>
          <w:spacing w:val="8"/>
          <w:kern w:val="0"/>
          <w:sz w:val="32"/>
          <w:szCs w:val="32"/>
        </w:rPr>
        <w:t>　</w:t>
      </w:r>
      <w:bookmarkStart w:id="0" w:name="_GoBack"/>
      <w:r>
        <w:rPr>
          <w:rFonts w:hint="eastAsia" w:ascii="仿宋_GB2312" w:hAnsi="仿宋_GB2312" w:eastAsia="仿宋_GB2312" w:cs="仿宋_GB2312"/>
          <w:spacing w:val="8"/>
          <w:kern w:val="0"/>
          <w:sz w:val="32"/>
          <w:szCs w:val="32"/>
        </w:rPr>
        <w:t xml:space="preserve"> 根据《政府信息公开信息处理费管理办法》(国办函〔2020〕109号)，2022年度</w:t>
      </w:r>
      <w:r>
        <w:rPr>
          <w:rFonts w:hint="eastAsia" w:ascii="仿宋_GB2312" w:hAnsi="仿宋_GB2312" w:eastAsia="仿宋_GB2312" w:cs="仿宋_GB2312"/>
          <w:spacing w:val="8"/>
          <w:kern w:val="0"/>
          <w:sz w:val="32"/>
          <w:szCs w:val="32"/>
          <w:lang w:eastAsia="zh-CN"/>
        </w:rPr>
        <w:t>区委社会工委区民政局</w:t>
      </w:r>
      <w:r>
        <w:rPr>
          <w:rFonts w:hint="eastAsia" w:ascii="仿宋_GB2312" w:hAnsi="仿宋_GB2312" w:eastAsia="仿宋_GB2312" w:cs="仿宋_GB2312"/>
          <w:spacing w:val="8"/>
          <w:kern w:val="0"/>
          <w:sz w:val="32"/>
          <w:szCs w:val="32"/>
        </w:rPr>
        <w:t>收取信息处理费情况为：发出收费通知的件数为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件，总金额为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元，实际收取的总金额为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　　北京市通州区人民政府网站网址为http://www.bjtzh.gov.cn/，如需了解更多政府信息，请登录查询。</w:t>
      </w:r>
    </w:p>
    <w:bookmarkEnd w:id="0"/>
    <w:p>
      <w:pPr>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71A77E4F"/>
    <w:multiLevelType w:val="singleLevel"/>
    <w:tmpl w:val="71A77E4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47318"/>
    <w:rsid w:val="000A59E8"/>
    <w:rsid w:val="0089247A"/>
    <w:rsid w:val="03613A08"/>
    <w:rsid w:val="12221DDE"/>
    <w:rsid w:val="1F8D7EE6"/>
    <w:rsid w:val="2D337EDE"/>
    <w:rsid w:val="34247318"/>
    <w:rsid w:val="38CF3F5A"/>
    <w:rsid w:val="38FC7FB8"/>
    <w:rsid w:val="41C927B6"/>
    <w:rsid w:val="46992789"/>
    <w:rsid w:val="48FE4CE7"/>
    <w:rsid w:val="4EF8238C"/>
    <w:rsid w:val="51D13C70"/>
    <w:rsid w:val="52947D7F"/>
    <w:rsid w:val="54516860"/>
    <w:rsid w:val="57D474AE"/>
    <w:rsid w:val="5C44115E"/>
    <w:rsid w:val="63194044"/>
    <w:rsid w:val="651840CC"/>
    <w:rsid w:val="6F3B7B3C"/>
    <w:rsid w:val="7670430D"/>
    <w:rsid w:val="B7F3757C"/>
    <w:rsid w:val="F3D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3"/>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15"/>
    <w:qFormat/>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7">
    <w:name w:val="annotation subject"/>
    <w:basedOn w:val="3"/>
    <w:next w:val="3"/>
    <w:link w:val="14"/>
    <w:qFormat/>
    <w:uiPriority w:val="0"/>
    <w:rPr>
      <w:b/>
      <w:bCs/>
    </w:rPr>
  </w:style>
  <w:style w:type="paragraph" w:styleId="8">
    <w:name w:val="Body Text First Indent 2"/>
    <w:basedOn w:val="4"/>
    <w:unhideWhenUsed/>
    <w:qFormat/>
    <w:uiPriority w:val="0"/>
    <w:pPr>
      <w:ind w:firstLine="420" w:firstLineChars="200"/>
    </w:p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文字 Char"/>
    <w:basedOn w:val="10"/>
    <w:link w:val="3"/>
    <w:qFormat/>
    <w:uiPriority w:val="0"/>
    <w:rPr>
      <w:rFonts w:ascii="Calibri" w:hAnsi="Calibri"/>
      <w:kern w:val="2"/>
      <w:sz w:val="21"/>
      <w:szCs w:val="24"/>
    </w:rPr>
  </w:style>
  <w:style w:type="character" w:customStyle="1" w:styleId="14">
    <w:name w:val="批注主题 Char"/>
    <w:basedOn w:val="13"/>
    <w:link w:val="7"/>
    <w:qFormat/>
    <w:uiPriority w:val="0"/>
    <w:rPr>
      <w:rFonts w:ascii="Calibri" w:hAnsi="Calibri"/>
      <w:b/>
      <w:bCs/>
      <w:kern w:val="2"/>
      <w:sz w:val="21"/>
      <w:szCs w:val="24"/>
    </w:rPr>
  </w:style>
  <w:style w:type="character" w:customStyle="1" w:styleId="15">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402</Words>
  <Characters>2296</Characters>
  <Lines>19</Lines>
  <Paragraphs>5</Paragraphs>
  <TotalTime>1</TotalTime>
  <ScaleCrop>false</ScaleCrop>
  <LinksUpToDate>false</LinksUpToDate>
  <CharactersWithSpaces>2693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2021-12-16T19:20:00Z</dcterms:created>
  <dc:creator>Administrator</dc:creator>
  <cp:lastModifiedBy>user</cp:lastModifiedBy>
  <dcterms:modified xsi:type="dcterms:W3CDTF">2023-01-06T14:12:22Z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