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96C" w:rsidRDefault="00263D0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北京市通州区科学技术委员</w:t>
      </w:r>
    </w:p>
    <w:p w:rsidR="003D296C" w:rsidRDefault="00263D0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2022</w:t>
      </w:r>
      <w:r>
        <w:rPr>
          <w:rFonts w:ascii="方正小标宋简体" w:eastAsia="方正小标宋简体" w:hint="eastAsia"/>
          <w:sz w:val="44"/>
          <w:szCs w:val="44"/>
        </w:rPr>
        <w:t>年政府信息公开工作年度报告</w:t>
      </w:r>
    </w:p>
    <w:p w:rsidR="003D296C" w:rsidRDefault="003D296C">
      <w:pPr>
        <w:pStyle w:val="a0"/>
      </w:pPr>
    </w:p>
    <w:p w:rsidR="003D296C" w:rsidRDefault="00263D02">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依据《中华人民共和国政府信息公开条例》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以下简称《政府信息公开条例》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第五十条规定，编制本报告。</w:t>
      </w:r>
    </w:p>
    <w:p w:rsidR="003D296C" w:rsidRDefault="00263D02">
      <w:pPr>
        <w:spacing w:line="560" w:lineRule="exact"/>
        <w:ind w:firstLineChars="200" w:firstLine="640"/>
        <w:rPr>
          <w:rFonts w:ascii="黑体" w:eastAsia="黑体" w:hAnsi="黑体"/>
          <w:sz w:val="32"/>
          <w:szCs w:val="32"/>
        </w:rPr>
      </w:pPr>
      <w:r>
        <w:rPr>
          <w:rFonts w:ascii="黑体" w:eastAsia="黑体" w:hAnsi="黑体" w:hint="eastAsia"/>
          <w:sz w:val="32"/>
          <w:szCs w:val="32"/>
        </w:rPr>
        <w:t>一、总体情况</w:t>
      </w:r>
    </w:p>
    <w:p w:rsidR="003D296C" w:rsidRDefault="00263D02">
      <w:pPr>
        <w:spacing w:line="560" w:lineRule="exact"/>
        <w:ind w:firstLineChars="200" w:firstLine="640"/>
        <w:rPr>
          <w:rFonts w:ascii="楷体_GB2312" w:eastAsia="楷体_GB2312"/>
          <w:sz w:val="32"/>
          <w:szCs w:val="32"/>
        </w:rPr>
      </w:pPr>
      <w:r>
        <w:rPr>
          <w:rFonts w:ascii="楷体_GB2312" w:eastAsia="楷体_GB2312" w:hint="eastAsia"/>
          <w:sz w:val="32"/>
          <w:szCs w:val="32"/>
        </w:rPr>
        <w:t>（一）组织领导情况</w:t>
      </w:r>
    </w:p>
    <w:p w:rsidR="003D296C" w:rsidRDefault="00263D02">
      <w:pPr>
        <w:spacing w:line="560" w:lineRule="exact"/>
        <w:ind w:firstLineChars="200" w:firstLine="640"/>
        <w:rPr>
          <w:rFonts w:ascii="仿宋_GB2312" w:eastAsia="仿宋_GB2312"/>
          <w:sz w:val="32"/>
          <w:szCs w:val="32"/>
        </w:rPr>
      </w:pPr>
      <w:r>
        <w:rPr>
          <w:rFonts w:ascii="仿宋_GB2312" w:eastAsia="仿宋_GB2312" w:hint="eastAsia"/>
          <w:sz w:val="32"/>
          <w:szCs w:val="32"/>
        </w:rPr>
        <w:t>区科委持续加强组织领导，健全工作机制。明确了政务公开工作责任分工，建立以主要领导为组长，分管领导为副组长，科室负责人为成员的政府信息与政务公开工作领导小组，安排人员专门负责信息公开工作的收集、审核和发布，逐步建立健全政府信息公开的制度体系。</w:t>
      </w:r>
    </w:p>
    <w:p w:rsidR="003D296C" w:rsidRDefault="00263D02">
      <w:pPr>
        <w:spacing w:line="560" w:lineRule="exact"/>
        <w:ind w:firstLineChars="200" w:firstLine="640"/>
        <w:rPr>
          <w:rFonts w:ascii="楷体_GB2312" w:eastAsia="楷体_GB2312"/>
          <w:sz w:val="32"/>
          <w:szCs w:val="32"/>
        </w:rPr>
      </w:pPr>
      <w:r>
        <w:rPr>
          <w:rFonts w:ascii="楷体_GB2312" w:eastAsia="楷体_GB2312" w:hint="eastAsia"/>
          <w:sz w:val="32"/>
          <w:szCs w:val="32"/>
        </w:rPr>
        <w:t>（二）主动公开政府信息情况</w:t>
      </w:r>
    </w:p>
    <w:p w:rsidR="003D296C" w:rsidRDefault="00263D02">
      <w:pPr>
        <w:spacing w:line="560" w:lineRule="exact"/>
        <w:ind w:firstLineChars="200" w:firstLine="640"/>
        <w:rPr>
          <w:rFonts w:ascii="仿宋_GB2312" w:eastAsia="仿宋_GB2312"/>
          <w:sz w:val="32"/>
          <w:szCs w:val="32"/>
        </w:rPr>
      </w:pPr>
      <w:r>
        <w:rPr>
          <w:rFonts w:ascii="仿宋_GB2312" w:eastAsia="仿宋_GB2312" w:hint="eastAsia"/>
          <w:sz w:val="32"/>
          <w:szCs w:val="32"/>
        </w:rPr>
        <w:t>区科委按照《政府信息公开条例》要求，认真完成信息报送和信息公开工作。</w:t>
      </w:r>
      <w:r>
        <w:rPr>
          <w:rFonts w:ascii="仿宋_GB2312" w:eastAsia="仿宋_GB2312" w:hint="eastAsia"/>
          <w:sz w:val="32"/>
          <w:szCs w:val="32"/>
        </w:rPr>
        <w:t>2022</w:t>
      </w:r>
      <w:r>
        <w:rPr>
          <w:rFonts w:ascii="仿宋_GB2312" w:eastAsia="仿宋_GB2312" w:hint="eastAsia"/>
          <w:sz w:val="32"/>
          <w:szCs w:val="32"/>
        </w:rPr>
        <w:t>年，北京市通州区人民政府网站要闻动态中共发布信息</w:t>
      </w:r>
      <w:r>
        <w:rPr>
          <w:rFonts w:ascii="仿宋_GB2312" w:eastAsia="仿宋_GB2312" w:hint="eastAsia"/>
          <w:sz w:val="32"/>
          <w:szCs w:val="32"/>
        </w:rPr>
        <w:t>52</w:t>
      </w:r>
      <w:r>
        <w:rPr>
          <w:rFonts w:ascii="仿宋_GB2312" w:eastAsia="仿宋_GB2312" w:hint="eastAsia"/>
          <w:sz w:val="32"/>
          <w:szCs w:val="32"/>
        </w:rPr>
        <w:t>条，定期发布创新动态</w:t>
      </w:r>
      <w:r>
        <w:rPr>
          <w:rFonts w:ascii="仿宋_GB2312" w:eastAsia="仿宋_GB2312" w:hint="eastAsia"/>
          <w:sz w:val="32"/>
          <w:szCs w:val="32"/>
        </w:rPr>
        <w:t>44</w:t>
      </w:r>
      <w:r>
        <w:rPr>
          <w:rFonts w:ascii="仿宋_GB2312" w:eastAsia="仿宋_GB2312" w:hint="eastAsia"/>
          <w:sz w:val="32"/>
          <w:szCs w:val="32"/>
        </w:rPr>
        <w:t>条，及时全面公开政务信息，提高政府工作透明度。</w:t>
      </w:r>
    </w:p>
    <w:p w:rsidR="003D296C" w:rsidRDefault="00263D02">
      <w:pPr>
        <w:spacing w:line="560" w:lineRule="exact"/>
        <w:ind w:firstLineChars="200" w:firstLine="640"/>
        <w:rPr>
          <w:rFonts w:ascii="楷体_GB2312" w:eastAsia="楷体_GB2312"/>
          <w:sz w:val="32"/>
          <w:szCs w:val="32"/>
        </w:rPr>
      </w:pPr>
      <w:r>
        <w:rPr>
          <w:rFonts w:ascii="楷体_GB2312" w:eastAsia="楷体_GB2312" w:hint="eastAsia"/>
          <w:sz w:val="32"/>
          <w:szCs w:val="32"/>
        </w:rPr>
        <w:t>（三）依申请公开处理情况</w:t>
      </w:r>
    </w:p>
    <w:p w:rsidR="003D296C" w:rsidRDefault="00263D02">
      <w:pPr>
        <w:spacing w:line="560" w:lineRule="exact"/>
        <w:ind w:firstLineChars="200" w:firstLine="640"/>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年，受理</w:t>
      </w:r>
      <w:r>
        <w:rPr>
          <w:rFonts w:ascii="仿宋_GB2312" w:eastAsia="仿宋_GB2312" w:hint="eastAsia"/>
          <w:sz w:val="32"/>
          <w:szCs w:val="32"/>
        </w:rPr>
        <w:t>依申请公开</w:t>
      </w:r>
      <w:r>
        <w:rPr>
          <w:rFonts w:ascii="仿宋_GB2312" w:eastAsia="仿宋_GB2312" w:hint="eastAsia"/>
          <w:sz w:val="32"/>
          <w:szCs w:val="32"/>
        </w:rPr>
        <w:t>5</w:t>
      </w:r>
      <w:r>
        <w:rPr>
          <w:rFonts w:ascii="仿宋_GB2312" w:eastAsia="仿宋_GB2312" w:hint="eastAsia"/>
          <w:sz w:val="32"/>
          <w:szCs w:val="32"/>
        </w:rPr>
        <w:t>件，办结</w:t>
      </w:r>
      <w:r>
        <w:rPr>
          <w:rFonts w:ascii="仿宋_GB2312" w:eastAsia="仿宋_GB2312" w:hint="eastAsia"/>
          <w:sz w:val="32"/>
          <w:szCs w:val="32"/>
        </w:rPr>
        <w:t>5</w:t>
      </w:r>
      <w:r>
        <w:rPr>
          <w:rFonts w:ascii="仿宋_GB2312" w:eastAsia="仿宋_GB2312" w:hint="eastAsia"/>
          <w:sz w:val="32"/>
          <w:szCs w:val="32"/>
        </w:rPr>
        <w:t>件。</w:t>
      </w:r>
      <w:r>
        <w:rPr>
          <w:rFonts w:ascii="仿宋_GB2312" w:eastAsia="仿宋_GB2312" w:hint="eastAsia"/>
          <w:spacing w:val="8"/>
          <w:sz w:val="32"/>
          <w:szCs w:val="32"/>
        </w:rPr>
        <w:t>其中个人申请</w:t>
      </w:r>
      <w:r>
        <w:rPr>
          <w:rFonts w:ascii="仿宋_GB2312" w:eastAsia="仿宋_GB2312" w:hint="eastAsia"/>
          <w:spacing w:val="8"/>
          <w:sz w:val="32"/>
          <w:szCs w:val="32"/>
        </w:rPr>
        <w:t>5</w:t>
      </w:r>
      <w:r>
        <w:rPr>
          <w:rFonts w:ascii="仿宋_GB2312" w:eastAsia="仿宋_GB2312" w:hint="eastAsia"/>
          <w:spacing w:val="8"/>
          <w:sz w:val="32"/>
          <w:szCs w:val="32"/>
        </w:rPr>
        <w:t>件</w:t>
      </w:r>
      <w:r>
        <w:rPr>
          <w:rFonts w:ascii="仿宋_GB2312" w:eastAsia="仿宋_GB2312" w:hint="eastAsia"/>
          <w:sz w:val="32"/>
          <w:szCs w:val="32"/>
        </w:rPr>
        <w:t>，予以公开</w:t>
      </w:r>
      <w:r>
        <w:rPr>
          <w:rFonts w:ascii="仿宋_GB2312" w:eastAsia="仿宋_GB2312" w:hint="eastAsia"/>
          <w:sz w:val="32"/>
          <w:szCs w:val="32"/>
        </w:rPr>
        <w:t>5</w:t>
      </w:r>
      <w:r>
        <w:rPr>
          <w:rFonts w:ascii="仿宋_GB2312" w:eastAsia="仿宋_GB2312" w:hint="eastAsia"/>
          <w:sz w:val="32"/>
          <w:szCs w:val="32"/>
        </w:rPr>
        <w:t>件。</w:t>
      </w:r>
    </w:p>
    <w:p w:rsidR="003D296C" w:rsidRDefault="00263D02">
      <w:pPr>
        <w:spacing w:line="560" w:lineRule="exact"/>
        <w:ind w:firstLineChars="200" w:firstLine="640"/>
        <w:rPr>
          <w:rFonts w:ascii="楷体_GB2312" w:eastAsia="楷体_GB2312"/>
          <w:sz w:val="32"/>
          <w:szCs w:val="32"/>
        </w:rPr>
      </w:pPr>
      <w:r>
        <w:rPr>
          <w:rFonts w:ascii="楷体_GB2312" w:eastAsia="楷体_GB2312" w:hint="eastAsia"/>
          <w:sz w:val="32"/>
          <w:szCs w:val="32"/>
        </w:rPr>
        <w:t>（四）政府信息管理情况</w:t>
      </w:r>
    </w:p>
    <w:p w:rsidR="003D296C" w:rsidRDefault="00263D02">
      <w:pPr>
        <w:pStyle w:val="a0"/>
        <w:spacing w:line="560" w:lineRule="exact"/>
        <w:ind w:firstLineChars="200" w:firstLine="672"/>
        <w:rPr>
          <w:rFonts w:ascii="仿宋_GB2312" w:eastAsia="仿宋_GB2312"/>
          <w:sz w:val="32"/>
          <w:szCs w:val="32"/>
        </w:rPr>
      </w:pPr>
      <w:r>
        <w:rPr>
          <w:rFonts w:ascii="仿宋_GB2312" w:eastAsia="仿宋_GB2312" w:hAnsi="宋体" w:cs="宋体" w:hint="eastAsia"/>
          <w:spacing w:val="8"/>
          <w:kern w:val="0"/>
          <w:sz w:val="32"/>
          <w:szCs w:val="32"/>
        </w:rPr>
        <w:t>一是严格信息管理，按照区有关部门要求，区科委落实信息发布三级审核程序，确保内容的准确性、及时性。</w:t>
      </w:r>
      <w:r>
        <w:rPr>
          <w:rFonts w:ascii="仿宋_GB2312" w:eastAsia="仿宋_GB2312" w:hint="eastAsia"/>
          <w:sz w:val="32"/>
          <w:szCs w:val="32"/>
        </w:rPr>
        <w:t>二是</w:t>
      </w:r>
      <w:r>
        <w:rPr>
          <w:rFonts w:ascii="仿宋_GB2312" w:eastAsia="仿宋_GB2312" w:hint="eastAsia"/>
          <w:sz w:val="32"/>
          <w:szCs w:val="32"/>
        </w:rPr>
        <w:lastRenderedPageBreak/>
        <w:t>更新完善政务公开内容。按时发布部门工作动态，深入推进重要决策预公开，切实保障公众的知情权。三是积极做好自查工作，及时处理敏感词汇、信息表述不准确等问题，进一步保障了政府信息公开工作的准确性。</w:t>
      </w:r>
    </w:p>
    <w:p w:rsidR="003D296C" w:rsidRDefault="00263D02">
      <w:pPr>
        <w:spacing w:line="560" w:lineRule="exact"/>
        <w:ind w:firstLineChars="200" w:firstLine="640"/>
        <w:rPr>
          <w:rFonts w:ascii="楷体_GB2312" w:eastAsia="楷体_GB2312"/>
          <w:sz w:val="32"/>
          <w:szCs w:val="32"/>
        </w:rPr>
      </w:pPr>
      <w:r>
        <w:rPr>
          <w:rFonts w:ascii="楷体_GB2312" w:eastAsia="楷体_GB2312" w:hint="eastAsia"/>
          <w:sz w:val="32"/>
          <w:szCs w:val="32"/>
        </w:rPr>
        <w:t>（五）政府信息公开平台建设、教育培训、监督保障</w:t>
      </w:r>
    </w:p>
    <w:p w:rsidR="003D296C" w:rsidRDefault="00263D02">
      <w:pPr>
        <w:spacing w:line="560" w:lineRule="exact"/>
        <w:ind w:firstLineChars="200" w:firstLine="640"/>
        <w:rPr>
          <w:rFonts w:ascii="仿宋_GB2312" w:eastAsia="仿宋_GB2312"/>
          <w:sz w:val="32"/>
          <w:szCs w:val="32"/>
        </w:rPr>
      </w:pPr>
      <w:r>
        <w:rPr>
          <w:rFonts w:ascii="仿宋_GB2312" w:eastAsia="仿宋_GB2312" w:hint="eastAsia"/>
          <w:sz w:val="32"/>
          <w:szCs w:val="32"/>
        </w:rPr>
        <w:t>一是区科委在政府网站中</w:t>
      </w:r>
      <w:r>
        <w:rPr>
          <w:rFonts w:ascii="仿宋_GB2312" w:eastAsia="仿宋_GB2312" w:hAnsi="宋体" w:cs="宋体" w:hint="eastAsia"/>
          <w:spacing w:val="8"/>
          <w:kern w:val="0"/>
          <w:sz w:val="32"/>
          <w:szCs w:val="32"/>
        </w:rPr>
        <w:t>不断加大和改进政府信息公开工作力度，</w:t>
      </w:r>
      <w:r>
        <w:rPr>
          <w:rFonts w:ascii="仿宋_GB2312" w:eastAsia="仿宋_GB2312" w:hint="eastAsia"/>
          <w:sz w:val="32"/>
          <w:szCs w:val="32"/>
        </w:rPr>
        <w:t>创新政务公开工作途径，加大政务信息公开范围、提升政务信息公开质量，持续做好政务公开数据统计等基础工作，确保政务公开工作常态化。二是积极参加信息公开培训会议，学习信息公开的流程、信息发布平台的使用方法、文稿内容的准确性和文稿的排版等内容，有效保证了区科委政务公开队伍始终具备较强的业务素养和工作能力。三是</w:t>
      </w:r>
      <w:r>
        <w:rPr>
          <w:rFonts w:ascii="仿宋_GB2312" w:eastAsia="仿宋_GB2312" w:hAnsi="宋体" w:cs="宋体" w:hint="eastAsia"/>
          <w:spacing w:val="8"/>
          <w:kern w:val="0"/>
          <w:sz w:val="32"/>
          <w:szCs w:val="32"/>
        </w:rPr>
        <w:t>严格按照工作要求，开展内容自查工作，对照管理制度，及时自查核实职责分工，监督督导立行立改。</w:t>
      </w:r>
    </w:p>
    <w:p w:rsidR="003D296C" w:rsidRDefault="00263D02">
      <w:pPr>
        <w:spacing w:line="560" w:lineRule="exact"/>
        <w:ind w:firstLineChars="200" w:firstLine="640"/>
        <w:rPr>
          <w:rFonts w:ascii="黑体" w:eastAsia="黑体" w:hAnsi="黑体"/>
          <w:sz w:val="32"/>
          <w:szCs w:val="32"/>
        </w:rPr>
      </w:pPr>
      <w:r>
        <w:rPr>
          <w:rFonts w:ascii="黑体" w:eastAsia="黑体" w:hAnsi="黑体" w:cs="仿宋_GB2312" w:hint="eastAsia"/>
          <w:color w:val="000000"/>
          <w:sz w:val="32"/>
          <w:szCs w:val="32"/>
        </w:rPr>
        <w:t>二、</w:t>
      </w:r>
      <w:r>
        <w:rPr>
          <w:rFonts w:ascii="黑体" w:eastAsia="黑体" w:hAnsi="黑体" w:cs="黑体" w:hint="eastAsia"/>
          <w:sz w:val="32"/>
          <w:szCs w:val="32"/>
        </w:rPr>
        <w:t>主动公开政府信息情况</w:t>
      </w: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3D296C">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cs="宋体"/>
                <w:color w:val="000000"/>
                <w:kern w:val="0"/>
                <w:sz w:val="20"/>
                <w:szCs w:val="20"/>
              </w:rPr>
            </w:pPr>
            <w:r>
              <w:rPr>
                <w:rFonts w:ascii="宋体" w:hAnsi="宋体" w:cs="宋体" w:hint="eastAsia"/>
                <w:color w:val="000000"/>
                <w:kern w:val="0"/>
                <w:sz w:val="20"/>
                <w:szCs w:val="20"/>
              </w:rPr>
              <w:t>第二十条第（一）项</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center"/>
              <w:rPr>
                <w:rFonts w:ascii="宋体" w:hAnsi="宋体" w:cs="宋体"/>
                <w:color w:val="000000"/>
                <w:kern w:val="0"/>
                <w:sz w:val="20"/>
                <w:szCs w:val="20"/>
              </w:rPr>
            </w:pPr>
            <w:r>
              <w:rPr>
                <w:rFonts w:ascii="宋体" w:hAnsi="宋体" w:cs="宋体" w:hint="eastAsia"/>
                <w:color w:val="000000"/>
                <w:kern w:val="0"/>
                <w:sz w:val="20"/>
                <w:szCs w:val="20"/>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现行有效件</w:t>
            </w:r>
            <w:r>
              <w:rPr>
                <w:rFonts w:ascii="宋体" w:hAnsi="宋体" w:cs="宋体" w:hint="eastAsia"/>
                <w:kern w:val="0"/>
                <w:sz w:val="20"/>
                <w:szCs w:val="20"/>
              </w:rPr>
              <w:t>数</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ind w:firstLineChars="400" w:firstLine="800"/>
              <w:jc w:val="left"/>
              <w:rPr>
                <w:rFonts w:ascii="宋体" w:hAnsi="宋体"/>
                <w:sz w:val="20"/>
                <w:szCs w:val="20"/>
              </w:rPr>
            </w:pPr>
            <w:r>
              <w:rPr>
                <w:rFonts w:ascii="宋体" w:hAnsi="宋体" w:cs="宋体" w:hint="eastAsia"/>
                <w:color w:val="000000"/>
                <w:kern w:val="0"/>
                <w:sz w:val="20"/>
                <w:szCs w:val="20"/>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1</w:t>
            </w:r>
          </w:p>
        </w:tc>
        <w:tc>
          <w:tcPr>
            <w:tcW w:w="2435"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1</w:t>
            </w:r>
          </w:p>
        </w:tc>
        <w:tc>
          <w:tcPr>
            <w:tcW w:w="2435"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3</w:t>
            </w:r>
          </w:p>
        </w:tc>
      </w:tr>
      <w:tr w:rsidR="003D296C">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第二十条第（五）项</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本年处理决定数量</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color w:val="000000"/>
                <w:kern w:val="0"/>
                <w:sz w:val="20"/>
                <w:szCs w:val="20"/>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0</w:t>
            </w:r>
          </w:p>
        </w:tc>
      </w:tr>
      <w:tr w:rsidR="003D296C">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第二十条第（六）项</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本年处理决定数量</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0</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0</w:t>
            </w:r>
          </w:p>
        </w:tc>
      </w:tr>
      <w:tr w:rsidR="003D296C">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lastRenderedPageBreak/>
              <w:t>第二十条第（八）项</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本年收费金额（单位：万元）</w:t>
            </w:r>
          </w:p>
        </w:tc>
      </w:tr>
      <w:tr w:rsidR="003D296C">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3D296C" w:rsidRDefault="00263D02" w:rsidP="006B0C2B">
            <w:pPr>
              <w:jc w:val="center"/>
              <w:rPr>
                <w:rFonts w:ascii="宋体" w:hAnsi="宋体"/>
                <w:sz w:val="20"/>
                <w:szCs w:val="20"/>
              </w:rPr>
            </w:pPr>
            <w:bookmarkStart w:id="0" w:name="_GoBack"/>
            <w:r>
              <w:rPr>
                <w:rFonts w:ascii="宋体" w:hAnsi="宋体" w:hint="eastAsia"/>
                <w:sz w:val="20"/>
                <w:szCs w:val="20"/>
              </w:rPr>
              <w:t>0</w:t>
            </w:r>
            <w:bookmarkEnd w:id="0"/>
          </w:p>
        </w:tc>
      </w:tr>
    </w:tbl>
    <w:p w:rsidR="003D296C" w:rsidRDefault="003D296C">
      <w:pPr>
        <w:pStyle w:val="a0"/>
        <w:spacing w:line="560" w:lineRule="exact"/>
        <w:rPr>
          <w:rFonts w:ascii="仿宋_GB2312" w:eastAsia="仿宋_GB2312"/>
          <w:sz w:val="32"/>
          <w:szCs w:val="32"/>
        </w:rPr>
      </w:pPr>
    </w:p>
    <w:p w:rsidR="003D296C" w:rsidRDefault="00263D02">
      <w:pPr>
        <w:numPr>
          <w:ilvl w:val="0"/>
          <w:numId w:val="1"/>
        </w:num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9"/>
        <w:gridCol w:w="943"/>
        <w:gridCol w:w="3220"/>
        <w:gridCol w:w="688"/>
        <w:gridCol w:w="688"/>
        <w:gridCol w:w="688"/>
        <w:gridCol w:w="688"/>
        <w:gridCol w:w="688"/>
        <w:gridCol w:w="688"/>
        <w:gridCol w:w="688"/>
      </w:tblGrid>
      <w:tr w:rsidR="003D296C">
        <w:trPr>
          <w:jc w:val="center"/>
        </w:trPr>
        <w:tc>
          <w:tcPr>
            <w:tcW w:w="5150"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3D296C" w:rsidRDefault="00263D02">
            <w:pPr>
              <w:widowControl/>
              <w:jc w:val="left"/>
              <w:rPr>
                <w:rFonts w:ascii="宋体" w:hAnsi="宋体"/>
                <w:sz w:val="20"/>
                <w:szCs w:val="20"/>
              </w:rPr>
            </w:pPr>
            <w:r>
              <w:rPr>
                <w:rFonts w:ascii="宋体" w:hAnsi="宋体" w:cs="楷体" w:hint="eastAsia"/>
                <w:kern w:val="0"/>
                <w:sz w:val="20"/>
                <w:szCs w:val="20"/>
              </w:rPr>
              <w:t>（本列数据的勾稽关系为：第一项加第二项之和，等于第三项加第四项之和）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申请人情况</w:t>
            </w:r>
          </w:p>
        </w:tc>
      </w:tr>
      <w:tr w:rsidR="003D296C">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3D296C" w:rsidRDefault="003D296C">
            <w:pPr>
              <w:rPr>
                <w:rFonts w:ascii="宋体" w:hAnsi="宋体"/>
                <w:sz w:val="20"/>
                <w:szCs w:val="20"/>
              </w:rPr>
            </w:pPr>
          </w:p>
        </w:tc>
        <w:tc>
          <w:tcPr>
            <w:tcW w:w="714"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自然人</w:t>
            </w:r>
          </w:p>
        </w:tc>
        <w:tc>
          <w:tcPr>
            <w:tcW w:w="357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法人或其他组织</w:t>
            </w:r>
          </w:p>
        </w:tc>
        <w:tc>
          <w:tcPr>
            <w:tcW w:w="714"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总计</w:t>
            </w:r>
          </w:p>
        </w:tc>
      </w:tr>
      <w:tr w:rsidR="003D296C">
        <w:trPr>
          <w:jc w:val="center"/>
        </w:trPr>
        <w:tc>
          <w:tcPr>
            <w:tcW w:w="5150"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3D296C" w:rsidRDefault="003D296C">
            <w:pPr>
              <w:rPr>
                <w:rFonts w:ascii="宋体" w:hAnsi="宋体"/>
                <w:sz w:val="20"/>
                <w:szCs w:val="20"/>
              </w:rPr>
            </w:pPr>
          </w:p>
        </w:tc>
        <w:tc>
          <w:tcPr>
            <w:tcW w:w="714" w:type="dxa"/>
            <w:vMerge/>
            <w:tcBorders>
              <w:top w:val="nil"/>
              <w:left w:val="nil"/>
              <w:bottom w:val="single" w:sz="8" w:space="0" w:color="auto"/>
              <w:right w:val="single" w:sz="8" w:space="0" w:color="auto"/>
            </w:tcBorders>
            <w:shd w:val="clear" w:color="auto" w:fill="9BC2E6"/>
            <w:tcMar>
              <w:left w:w="57" w:type="dxa"/>
              <w:right w:w="57" w:type="dxa"/>
            </w:tcMar>
            <w:vAlign w:val="center"/>
          </w:tcPr>
          <w:p w:rsidR="003D296C" w:rsidRDefault="003D296C">
            <w:pPr>
              <w:rPr>
                <w:rFonts w:ascii="宋体" w:hAnsi="宋体"/>
                <w:sz w:val="20"/>
                <w:szCs w:val="20"/>
              </w:rPr>
            </w:pPr>
          </w:p>
        </w:tc>
        <w:tc>
          <w:tcPr>
            <w:tcW w:w="714" w:type="dxa"/>
            <w:tcBorders>
              <w:top w:val="nil"/>
              <w:left w:val="nil"/>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商业</w:t>
            </w:r>
          </w:p>
          <w:p w:rsidR="003D296C" w:rsidRDefault="00263D02">
            <w:pPr>
              <w:widowControl/>
              <w:jc w:val="center"/>
              <w:rPr>
                <w:rFonts w:ascii="宋体" w:hAnsi="宋体"/>
                <w:sz w:val="20"/>
                <w:szCs w:val="20"/>
              </w:rPr>
            </w:pPr>
            <w:r>
              <w:rPr>
                <w:rFonts w:ascii="宋体" w:hAnsi="宋体" w:cs="宋体" w:hint="eastAsia"/>
                <w:kern w:val="0"/>
                <w:sz w:val="20"/>
                <w:szCs w:val="20"/>
              </w:rPr>
              <w:t>企业</w:t>
            </w:r>
          </w:p>
        </w:tc>
        <w:tc>
          <w:tcPr>
            <w:tcW w:w="714" w:type="dxa"/>
            <w:tcBorders>
              <w:top w:val="nil"/>
              <w:left w:val="nil"/>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科研</w:t>
            </w:r>
          </w:p>
          <w:p w:rsidR="003D296C" w:rsidRDefault="00263D02">
            <w:pPr>
              <w:widowControl/>
              <w:jc w:val="center"/>
              <w:rPr>
                <w:rFonts w:ascii="宋体" w:hAnsi="宋体"/>
                <w:sz w:val="20"/>
                <w:szCs w:val="20"/>
              </w:rPr>
            </w:pPr>
            <w:r>
              <w:rPr>
                <w:rFonts w:ascii="宋体" w:hAnsi="宋体" w:cs="宋体" w:hint="eastAsia"/>
                <w:kern w:val="0"/>
                <w:sz w:val="20"/>
                <w:szCs w:val="20"/>
              </w:rPr>
              <w:t>机构</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社会公益组织</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法律服务机构</w:t>
            </w:r>
          </w:p>
        </w:tc>
        <w:tc>
          <w:tcPr>
            <w:tcW w:w="714"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其他</w:t>
            </w:r>
          </w:p>
        </w:tc>
        <w:tc>
          <w:tcPr>
            <w:tcW w:w="714"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3D296C" w:rsidRDefault="003D296C">
            <w:pPr>
              <w:rPr>
                <w:rFonts w:ascii="宋体" w:hAnsi="宋体"/>
                <w:sz w:val="20"/>
                <w:szCs w:val="20"/>
              </w:rPr>
            </w:pPr>
          </w:p>
        </w:tc>
      </w:tr>
      <w:tr w:rsidR="003D296C">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一、本年新收政府信息公开申请数量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5</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tcPr>
          <w:p w:rsidR="003D296C" w:rsidRDefault="00263D02">
            <w:pPr>
              <w:widowControl/>
              <w:jc w:val="center"/>
              <w:rPr>
                <w:rFonts w:ascii="宋体" w:hAnsi="宋体"/>
                <w:sz w:val="20"/>
                <w:szCs w:val="20"/>
              </w:rPr>
            </w:pPr>
            <w:r>
              <w:rPr>
                <w:rFonts w:ascii="宋体" w:hAnsi="宋体" w:hint="eastAsia"/>
                <w:sz w:val="20"/>
                <w:szCs w:val="20"/>
              </w:rPr>
              <w:t>5</w:t>
            </w:r>
          </w:p>
        </w:tc>
      </w:tr>
      <w:tr w:rsidR="003D296C">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二、上年结转政府信息公开申请数量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三、本年度办理结果</w:t>
            </w: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（一）予以公开</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5</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single" w:sz="8" w:space="0" w:color="auto"/>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5</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（二）部分公开</w:t>
            </w:r>
            <w:r>
              <w:rPr>
                <w:rFonts w:ascii="宋体" w:hAnsi="宋体" w:cs="楷体" w:hint="eastAsia"/>
                <w:kern w:val="0"/>
                <w:sz w:val="20"/>
                <w:szCs w:val="20"/>
              </w:rPr>
              <w:t>（区分处理的，只计这一情形，不计其他情形）</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（三）不予公开</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1.</w:t>
            </w:r>
            <w:r>
              <w:rPr>
                <w:rFonts w:ascii="宋体" w:hAnsi="宋体" w:cs="宋体" w:hint="eastAsia"/>
                <w:kern w:val="0"/>
                <w:sz w:val="20"/>
                <w:szCs w:val="20"/>
              </w:rPr>
              <w:t>属于国家秘密</w:t>
            </w:r>
          </w:p>
        </w:tc>
        <w:tc>
          <w:tcPr>
            <w:tcW w:w="714" w:type="dxa"/>
            <w:tcBorders>
              <w:top w:val="nil"/>
              <w:left w:val="nil"/>
              <w:bottom w:val="single" w:sz="8" w:space="0" w:color="auto"/>
              <w:right w:val="single" w:sz="8" w:space="0" w:color="auto"/>
            </w:tcBorders>
            <w:tcMar>
              <w:left w:w="57" w:type="dxa"/>
              <w:right w:w="57" w:type="dxa"/>
            </w:tcMa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single" w:sz="8" w:space="0" w:color="auto"/>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2.</w:t>
            </w:r>
            <w:r>
              <w:rPr>
                <w:rFonts w:ascii="宋体" w:hAnsi="宋体" w:cs="宋体" w:hint="eastAsia"/>
                <w:kern w:val="0"/>
                <w:sz w:val="20"/>
                <w:szCs w:val="20"/>
              </w:rPr>
              <w:t>其他法律行政法规禁止公开</w:t>
            </w:r>
          </w:p>
        </w:tc>
        <w:tc>
          <w:tcPr>
            <w:tcW w:w="714" w:type="dxa"/>
            <w:tcBorders>
              <w:top w:val="nil"/>
              <w:left w:val="nil"/>
              <w:bottom w:val="single" w:sz="8" w:space="0" w:color="auto"/>
              <w:right w:val="single" w:sz="8" w:space="0" w:color="auto"/>
            </w:tcBorders>
            <w:tcMar>
              <w:left w:w="57" w:type="dxa"/>
              <w:right w:w="57" w:type="dxa"/>
            </w:tcMa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3.</w:t>
            </w:r>
            <w:r>
              <w:rPr>
                <w:rFonts w:ascii="宋体" w:hAnsi="宋体" w:cs="宋体" w:hint="eastAsia"/>
                <w:kern w:val="0"/>
                <w:sz w:val="20"/>
                <w:szCs w:val="20"/>
              </w:rPr>
              <w:t>危及“三安全一稳定”</w:t>
            </w:r>
          </w:p>
        </w:tc>
        <w:tc>
          <w:tcPr>
            <w:tcW w:w="714" w:type="dxa"/>
            <w:tcBorders>
              <w:top w:val="nil"/>
              <w:left w:val="nil"/>
              <w:bottom w:val="single" w:sz="8" w:space="0" w:color="auto"/>
              <w:right w:val="single" w:sz="8" w:space="0" w:color="auto"/>
            </w:tcBorders>
            <w:tcMar>
              <w:left w:w="57" w:type="dxa"/>
              <w:right w:w="57" w:type="dxa"/>
            </w:tcMa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4.</w:t>
            </w:r>
            <w:r>
              <w:rPr>
                <w:rFonts w:ascii="宋体" w:hAnsi="宋体" w:cs="宋体" w:hint="eastAsia"/>
                <w:kern w:val="0"/>
                <w:sz w:val="20"/>
                <w:szCs w:val="20"/>
              </w:rPr>
              <w:t>保护第三方合法权益</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5.</w:t>
            </w:r>
            <w:r>
              <w:rPr>
                <w:rFonts w:ascii="宋体" w:hAnsi="宋体" w:cs="宋体" w:hint="eastAsia"/>
                <w:kern w:val="0"/>
                <w:sz w:val="20"/>
                <w:szCs w:val="20"/>
              </w:rPr>
              <w:t>属于三类内部事务信息</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6.</w:t>
            </w:r>
            <w:r>
              <w:rPr>
                <w:rFonts w:ascii="宋体" w:hAnsi="宋体" w:cs="宋体" w:hint="eastAsia"/>
                <w:kern w:val="0"/>
                <w:sz w:val="20"/>
                <w:szCs w:val="20"/>
              </w:rPr>
              <w:t>属于四类过程性信息</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7.</w:t>
            </w:r>
            <w:r>
              <w:rPr>
                <w:rFonts w:ascii="宋体" w:hAnsi="宋体" w:cs="宋体" w:hint="eastAsia"/>
                <w:kern w:val="0"/>
                <w:sz w:val="20"/>
                <w:szCs w:val="20"/>
              </w:rPr>
              <w:t>属于行政执法案卷</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8.</w:t>
            </w:r>
            <w:r>
              <w:rPr>
                <w:rFonts w:ascii="宋体" w:hAnsi="宋体" w:cs="宋体" w:hint="eastAsia"/>
                <w:kern w:val="0"/>
                <w:sz w:val="20"/>
                <w:szCs w:val="20"/>
              </w:rPr>
              <w:t>属于行政查询事项</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（四）无法提供</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1.</w:t>
            </w:r>
            <w:r>
              <w:rPr>
                <w:rFonts w:ascii="宋体" w:hAnsi="宋体" w:cs="宋体" w:hint="eastAsia"/>
                <w:kern w:val="0"/>
                <w:sz w:val="20"/>
                <w:szCs w:val="20"/>
              </w:rPr>
              <w:t>本机关不掌握相关政府信息</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2.</w:t>
            </w:r>
            <w:r>
              <w:rPr>
                <w:rFonts w:ascii="宋体" w:hAnsi="宋体" w:cs="宋体" w:hint="eastAsia"/>
                <w:kern w:val="0"/>
                <w:sz w:val="20"/>
                <w:szCs w:val="20"/>
              </w:rPr>
              <w:t>没有现成信息需要另行制作</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3.</w:t>
            </w:r>
            <w:r>
              <w:rPr>
                <w:rFonts w:ascii="宋体" w:hAnsi="宋体" w:cs="宋体" w:hint="eastAsia"/>
                <w:kern w:val="0"/>
                <w:sz w:val="20"/>
                <w:szCs w:val="20"/>
              </w:rPr>
              <w:t>补正后申请内容仍不明确</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（五）不予处理</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1.</w:t>
            </w:r>
            <w:r>
              <w:rPr>
                <w:rFonts w:ascii="宋体" w:hAnsi="宋体" w:cs="宋体" w:hint="eastAsia"/>
                <w:kern w:val="0"/>
                <w:sz w:val="20"/>
                <w:szCs w:val="20"/>
              </w:rPr>
              <w:t>信访举报投诉类申请</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2.</w:t>
            </w:r>
            <w:r>
              <w:rPr>
                <w:rFonts w:ascii="宋体" w:hAnsi="宋体" w:cs="宋体" w:hint="eastAsia"/>
                <w:kern w:val="0"/>
                <w:sz w:val="20"/>
                <w:szCs w:val="20"/>
              </w:rPr>
              <w:t>重复申请</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3.</w:t>
            </w:r>
            <w:r>
              <w:rPr>
                <w:rFonts w:ascii="宋体" w:hAnsi="宋体" w:cs="宋体" w:hint="eastAsia"/>
                <w:kern w:val="0"/>
                <w:sz w:val="20"/>
                <w:szCs w:val="20"/>
              </w:rPr>
              <w:t>要求提供公开出版物</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rsidR="003D296C" w:rsidRDefault="00263D02">
            <w:pPr>
              <w:widowControl/>
              <w:jc w:val="left"/>
              <w:rPr>
                <w:rFonts w:ascii="宋体" w:hAnsi="宋体"/>
                <w:sz w:val="20"/>
                <w:szCs w:val="20"/>
              </w:rPr>
            </w:pPr>
            <w:r>
              <w:rPr>
                <w:rFonts w:ascii="宋体" w:hAnsi="宋体" w:cs="宋体" w:hint="eastAsia"/>
                <w:kern w:val="0"/>
                <w:sz w:val="20"/>
                <w:szCs w:val="20"/>
              </w:rPr>
              <w:t>4.</w:t>
            </w:r>
            <w:r>
              <w:rPr>
                <w:rFonts w:ascii="宋体" w:hAnsi="宋体" w:cs="宋体" w:hint="eastAsia"/>
                <w:kern w:val="0"/>
                <w:sz w:val="20"/>
                <w:szCs w:val="20"/>
              </w:rPr>
              <w:t>无正当理由大量反复申请</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trHeight w:val="779"/>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outset" w:sz="8" w:space="0" w:color="auto"/>
              <w:right w:val="single" w:sz="8" w:space="0" w:color="auto"/>
            </w:tcBorders>
            <w:shd w:val="clear" w:color="auto" w:fill="DDEBF7"/>
            <w:tcMar>
              <w:left w:w="57" w:type="dxa"/>
              <w:right w:w="57" w:type="dxa"/>
            </w:tcMar>
            <w:vAlign w:val="center"/>
          </w:tcPr>
          <w:p w:rsidR="003D296C" w:rsidRDefault="00263D02">
            <w:pPr>
              <w:widowControl/>
              <w:rPr>
                <w:rFonts w:ascii="宋体" w:hAnsi="宋体"/>
                <w:sz w:val="20"/>
                <w:szCs w:val="20"/>
              </w:rPr>
            </w:pPr>
            <w:r>
              <w:rPr>
                <w:rFonts w:ascii="宋体" w:hAnsi="宋体" w:cs="宋体" w:hint="eastAsia"/>
                <w:kern w:val="0"/>
                <w:sz w:val="20"/>
                <w:szCs w:val="20"/>
              </w:rPr>
              <w:t>5.</w:t>
            </w:r>
            <w:r>
              <w:rPr>
                <w:rFonts w:ascii="宋体" w:hAnsi="宋体" w:cs="宋体" w:hint="eastAsia"/>
                <w:kern w:val="0"/>
                <w:sz w:val="20"/>
                <w:szCs w:val="20"/>
              </w:rPr>
              <w:t>要求行政机关确认或重新出具已获取信息</w:t>
            </w:r>
          </w:p>
        </w:tc>
        <w:tc>
          <w:tcPr>
            <w:tcW w:w="714" w:type="dxa"/>
            <w:tcBorders>
              <w:top w:val="nil"/>
              <w:left w:val="nil"/>
              <w:bottom w:val="outset"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outset"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outset"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outset"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outset"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outset"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outset"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（六）其他处理</w:t>
            </w: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rPr>
                <w:rFonts w:ascii="宋体" w:hAnsi="宋体"/>
                <w:sz w:val="20"/>
                <w:szCs w:val="20"/>
              </w:rPr>
            </w:pPr>
            <w:r>
              <w:rPr>
                <w:rFonts w:ascii="宋体" w:hAnsi="宋体" w:cs="宋体" w:hint="eastAsia"/>
                <w:kern w:val="0"/>
                <w:sz w:val="20"/>
                <w:szCs w:val="20"/>
              </w:rPr>
              <w:t>1.</w:t>
            </w:r>
            <w:r>
              <w:rPr>
                <w:rFonts w:ascii="宋体" w:hAnsi="宋体" w:cs="宋体" w:hint="eastAsia"/>
                <w:kern w:val="0"/>
                <w:sz w:val="20"/>
                <w:szCs w:val="20"/>
              </w:rPr>
              <w:t>申请人无正当理由逾期不补正、行政机关不再处理其政府信息公开申请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rPr>
                <w:rFonts w:ascii="宋体" w:hAnsi="宋体"/>
                <w:sz w:val="20"/>
                <w:szCs w:val="20"/>
              </w:rPr>
            </w:pPr>
            <w:r>
              <w:rPr>
                <w:rFonts w:ascii="宋体" w:hAnsi="宋体" w:cs="宋体" w:hint="eastAsia"/>
                <w:kern w:val="0"/>
                <w:sz w:val="20"/>
                <w:szCs w:val="20"/>
              </w:rPr>
              <w:t>2.</w:t>
            </w:r>
            <w:r>
              <w:rPr>
                <w:rFonts w:ascii="宋体" w:hAnsi="宋体" w:cs="宋体" w:hint="eastAsia"/>
                <w:kern w:val="0"/>
                <w:sz w:val="20"/>
                <w:szCs w:val="20"/>
              </w:rPr>
              <w:t>申请人逾期未按收费通知要求缴</w:t>
            </w:r>
            <w:r>
              <w:rPr>
                <w:rFonts w:ascii="宋体" w:hAnsi="宋体" w:cs="宋体" w:hint="eastAsia"/>
                <w:kern w:val="0"/>
                <w:sz w:val="20"/>
                <w:szCs w:val="20"/>
              </w:rPr>
              <w:lastRenderedPageBreak/>
              <w:t>纳费用、行政机关不再处理其政府信息公开申请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lastRenderedPageBreak/>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959"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3D296C" w:rsidRDefault="003D296C">
            <w:pPr>
              <w:rPr>
                <w:rFonts w:ascii="宋体" w:hAnsi="宋体"/>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3.</w:t>
            </w:r>
            <w:r>
              <w:rPr>
                <w:rFonts w:ascii="宋体" w:hAnsi="宋体" w:cs="宋体" w:hint="eastAsia"/>
                <w:kern w:val="0"/>
                <w:sz w:val="20"/>
                <w:szCs w:val="20"/>
              </w:rPr>
              <w:t>其他</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r w:rsidR="003D296C">
        <w:trPr>
          <w:jc w:val="center"/>
        </w:trPr>
        <w:tc>
          <w:tcPr>
            <w:tcW w:w="785"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3D296C" w:rsidRDefault="003D296C">
            <w:pPr>
              <w:rPr>
                <w:rFonts w:ascii="宋体" w:hAnsi="宋体"/>
                <w:sz w:val="20"/>
                <w:szCs w:val="20"/>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（七）总计</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5</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714" w:type="dxa"/>
            <w:tcBorders>
              <w:top w:val="nil"/>
              <w:left w:val="nil"/>
              <w:bottom w:val="single" w:sz="8" w:space="0" w:color="auto"/>
              <w:right w:val="single" w:sz="8" w:space="0" w:color="auto"/>
            </w:tcBorders>
            <w:tcMar>
              <w:left w:w="57" w:type="dxa"/>
              <w:right w:w="57" w:type="dxa"/>
            </w:tcMar>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5</w:t>
            </w:r>
          </w:p>
        </w:tc>
      </w:tr>
      <w:tr w:rsidR="003D296C">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3D296C" w:rsidRDefault="00263D02">
            <w:pPr>
              <w:widowControl/>
              <w:jc w:val="left"/>
              <w:rPr>
                <w:rFonts w:ascii="宋体" w:hAnsi="宋体"/>
                <w:sz w:val="20"/>
                <w:szCs w:val="20"/>
              </w:rPr>
            </w:pPr>
            <w:r>
              <w:rPr>
                <w:rFonts w:ascii="宋体" w:hAnsi="宋体" w:cs="宋体" w:hint="eastAsia"/>
                <w:kern w:val="0"/>
                <w:sz w:val="20"/>
                <w:szCs w:val="20"/>
              </w:rPr>
              <w:t>四、结转下年度继续办理</w:t>
            </w:r>
          </w:p>
        </w:tc>
        <w:tc>
          <w:tcPr>
            <w:tcW w:w="688" w:type="dxa"/>
            <w:tcBorders>
              <w:top w:val="outset" w:sz="6" w:space="0" w:color="auto"/>
              <w:left w:val="nil"/>
              <w:bottom w:val="outset" w:sz="6" w:space="0" w:color="auto"/>
              <w:right w:val="outset" w:sz="6" w:space="0" w:color="auto"/>
            </w:tcBorders>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688" w:type="dxa"/>
            <w:tcBorders>
              <w:top w:val="outset" w:sz="6" w:space="0" w:color="auto"/>
              <w:left w:val="nil"/>
              <w:bottom w:val="outset" w:sz="6" w:space="0" w:color="auto"/>
              <w:right w:val="outset" w:sz="6" w:space="0" w:color="auto"/>
            </w:tcBorders>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694" w:type="dxa"/>
            <w:tcBorders>
              <w:top w:val="outset" w:sz="6" w:space="0" w:color="auto"/>
              <w:left w:val="nil"/>
              <w:bottom w:val="outset" w:sz="6" w:space="0" w:color="auto"/>
              <w:right w:val="outset" w:sz="6" w:space="0" w:color="auto"/>
            </w:tcBorders>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688" w:type="dxa"/>
            <w:tcBorders>
              <w:top w:val="outset" w:sz="6" w:space="0" w:color="auto"/>
              <w:left w:val="nil"/>
              <w:bottom w:val="outset" w:sz="6" w:space="0" w:color="auto"/>
              <w:right w:val="outset" w:sz="6" w:space="0" w:color="auto"/>
            </w:tcBorders>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688" w:type="dxa"/>
            <w:tcBorders>
              <w:top w:val="outset" w:sz="6" w:space="0" w:color="auto"/>
              <w:left w:val="nil"/>
              <w:bottom w:val="outset" w:sz="6" w:space="0" w:color="auto"/>
              <w:right w:val="outset" w:sz="6" w:space="0" w:color="auto"/>
            </w:tcBorders>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688" w:type="dxa"/>
            <w:tcBorders>
              <w:top w:val="outset" w:sz="6" w:space="0" w:color="auto"/>
              <w:left w:val="nil"/>
              <w:bottom w:val="outset" w:sz="6" w:space="0" w:color="auto"/>
              <w:right w:val="outset" w:sz="6" w:space="0" w:color="auto"/>
            </w:tcBorders>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c>
          <w:tcPr>
            <w:tcW w:w="688" w:type="dxa"/>
            <w:tcBorders>
              <w:top w:val="outset" w:sz="6" w:space="0" w:color="auto"/>
              <w:left w:val="nil"/>
              <w:bottom w:val="outset" w:sz="6" w:space="0" w:color="auto"/>
              <w:right w:val="outset" w:sz="6" w:space="0" w:color="auto"/>
            </w:tcBorders>
            <w:vAlign w:val="center"/>
          </w:tcPr>
          <w:p w:rsidR="003D296C" w:rsidRDefault="00263D02">
            <w:pPr>
              <w:widowControl/>
              <w:jc w:val="center"/>
              <w:rPr>
                <w:rFonts w:ascii="宋体" w:hAnsi="宋体"/>
                <w:sz w:val="20"/>
                <w:szCs w:val="20"/>
              </w:rPr>
            </w:pPr>
            <w:r>
              <w:rPr>
                <w:rFonts w:ascii="宋体" w:hAnsi="宋体" w:cs="Calibri" w:hint="eastAsia"/>
                <w:kern w:val="0"/>
                <w:sz w:val="20"/>
                <w:szCs w:val="20"/>
              </w:rPr>
              <w:t>0</w:t>
            </w:r>
          </w:p>
        </w:tc>
      </w:tr>
    </w:tbl>
    <w:p w:rsidR="003D296C" w:rsidRDefault="003D296C">
      <w:pPr>
        <w:pStyle w:val="a0"/>
        <w:spacing w:line="560" w:lineRule="exact"/>
        <w:rPr>
          <w:rFonts w:ascii="仿宋_GB2312" w:eastAsia="仿宋_GB2312"/>
          <w:sz w:val="32"/>
          <w:szCs w:val="32"/>
        </w:rPr>
      </w:pPr>
    </w:p>
    <w:p w:rsidR="003D296C" w:rsidRDefault="00263D0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3D296C">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行政诉讼</w:t>
            </w:r>
          </w:p>
        </w:tc>
      </w:tr>
      <w:tr w:rsidR="003D296C">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结果</w:t>
            </w:r>
            <w:r>
              <w:rPr>
                <w:rFonts w:ascii="宋体" w:hAnsi="宋体" w:cs="宋体" w:hint="eastAsia"/>
                <w:kern w:val="0"/>
                <w:sz w:val="20"/>
                <w:szCs w:val="20"/>
              </w:rPr>
              <w:br/>
            </w:r>
            <w:r>
              <w:rPr>
                <w:rFonts w:ascii="宋体" w:hAnsi="宋体" w:cs="宋体" w:hint="eastAsia"/>
                <w:kern w:val="0"/>
                <w:sz w:val="20"/>
                <w:szCs w:val="20"/>
              </w:rP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其他</w:t>
            </w:r>
            <w:r>
              <w:rPr>
                <w:rFonts w:ascii="宋体" w:hAnsi="宋体" w:cs="宋体" w:hint="eastAsia"/>
                <w:kern w:val="0"/>
                <w:sz w:val="20"/>
                <w:szCs w:val="20"/>
              </w:rPr>
              <w:br/>
            </w:r>
            <w:r>
              <w:rPr>
                <w:rFonts w:ascii="宋体" w:hAnsi="宋体" w:cs="宋体" w:hint="eastAsia"/>
                <w:kern w:val="0"/>
                <w:sz w:val="20"/>
                <w:szCs w:val="20"/>
              </w:rP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尚未</w:t>
            </w:r>
            <w:r>
              <w:rPr>
                <w:rFonts w:ascii="宋体" w:hAnsi="宋体" w:cs="宋体" w:hint="eastAsia"/>
                <w:kern w:val="0"/>
                <w:sz w:val="20"/>
                <w:szCs w:val="20"/>
              </w:rPr>
              <w:br/>
            </w:r>
            <w:r>
              <w:rPr>
                <w:rFonts w:ascii="宋体" w:hAnsi="宋体" w:cs="宋体" w:hint="eastAsia"/>
                <w:kern w:val="0"/>
                <w:sz w:val="20"/>
                <w:szCs w:val="20"/>
              </w:rP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复议后起诉</w:t>
            </w:r>
          </w:p>
        </w:tc>
      </w:tr>
      <w:tr w:rsidR="003D296C">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3D296C" w:rsidRDefault="003D296C">
            <w:pPr>
              <w:rPr>
                <w:rFonts w:ascii="宋体" w:hAnsi="宋体"/>
                <w:sz w:val="20"/>
                <w:szCs w:val="20"/>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3D296C" w:rsidRDefault="003D296C">
            <w:pPr>
              <w:rPr>
                <w:rFonts w:ascii="宋体" w:hAnsi="宋体"/>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3D296C">
            <w:pPr>
              <w:rPr>
                <w:rFonts w:ascii="宋体" w:hAnsi="宋体"/>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3D296C">
            <w:pPr>
              <w:rPr>
                <w:rFonts w:ascii="宋体" w:hAnsi="宋体"/>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3D296C">
            <w:pPr>
              <w:rPr>
                <w:rFonts w:ascii="宋体" w:hAnsi="宋体"/>
                <w:sz w:val="20"/>
                <w:szCs w:val="20"/>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结果</w:t>
            </w:r>
            <w:r>
              <w:rPr>
                <w:rFonts w:ascii="宋体" w:hAnsi="宋体" w:cs="宋体" w:hint="eastAsia"/>
                <w:kern w:val="0"/>
                <w:sz w:val="20"/>
                <w:szCs w:val="20"/>
              </w:rPr>
              <w:br/>
            </w:r>
            <w:r>
              <w:rPr>
                <w:rFonts w:ascii="宋体" w:hAnsi="宋体" w:cs="宋体" w:hint="eastAsia"/>
                <w:kern w:val="0"/>
                <w:sz w:val="20"/>
                <w:szCs w:val="20"/>
              </w:rP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结果</w:t>
            </w:r>
            <w:r>
              <w:rPr>
                <w:rFonts w:ascii="宋体" w:hAnsi="宋体" w:cs="宋体" w:hint="eastAsia"/>
                <w:kern w:val="0"/>
                <w:sz w:val="20"/>
                <w:szCs w:val="20"/>
              </w:rPr>
              <w:br/>
            </w:r>
            <w:r>
              <w:rPr>
                <w:rFonts w:ascii="宋体" w:hAnsi="宋体" w:cs="宋体" w:hint="eastAsia"/>
                <w:kern w:val="0"/>
                <w:sz w:val="20"/>
                <w:szCs w:val="20"/>
              </w:rP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其他</w:t>
            </w:r>
            <w:r>
              <w:rPr>
                <w:rFonts w:ascii="宋体" w:hAnsi="宋体" w:cs="宋体" w:hint="eastAsia"/>
                <w:kern w:val="0"/>
                <w:sz w:val="20"/>
                <w:szCs w:val="20"/>
              </w:rPr>
              <w:br/>
            </w:r>
            <w:r>
              <w:rPr>
                <w:rFonts w:ascii="宋体" w:hAnsi="宋体" w:cs="宋体" w:hint="eastAsia"/>
                <w:kern w:val="0"/>
                <w:sz w:val="20"/>
                <w:szCs w:val="20"/>
              </w:rP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尚未</w:t>
            </w:r>
            <w:r>
              <w:rPr>
                <w:rFonts w:ascii="宋体" w:hAnsi="宋体" w:cs="宋体" w:hint="eastAsia"/>
                <w:kern w:val="0"/>
                <w:sz w:val="20"/>
                <w:szCs w:val="20"/>
              </w:rPr>
              <w:br/>
            </w:r>
            <w:r>
              <w:rPr>
                <w:rFonts w:ascii="宋体" w:hAnsi="宋体" w:cs="宋体" w:hint="eastAsia"/>
                <w:kern w:val="0"/>
                <w:sz w:val="20"/>
                <w:szCs w:val="20"/>
              </w:rP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结果</w:t>
            </w:r>
            <w:r>
              <w:rPr>
                <w:rFonts w:ascii="宋体" w:hAnsi="宋体" w:cs="宋体" w:hint="eastAsia"/>
                <w:kern w:val="0"/>
                <w:sz w:val="20"/>
                <w:szCs w:val="20"/>
              </w:rPr>
              <w:br/>
            </w:r>
            <w:r>
              <w:rPr>
                <w:rFonts w:ascii="宋体" w:hAnsi="宋体" w:cs="宋体" w:hint="eastAsia"/>
                <w:kern w:val="0"/>
                <w:sz w:val="20"/>
                <w:szCs w:val="20"/>
              </w:rP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结果</w:t>
            </w:r>
            <w:r>
              <w:rPr>
                <w:rFonts w:ascii="宋体" w:hAnsi="宋体" w:cs="宋体" w:hint="eastAsia"/>
                <w:kern w:val="0"/>
                <w:sz w:val="20"/>
                <w:szCs w:val="20"/>
              </w:rPr>
              <w:br/>
            </w:r>
            <w:r>
              <w:rPr>
                <w:rFonts w:ascii="宋体" w:hAnsi="宋体" w:cs="宋体" w:hint="eastAsia"/>
                <w:kern w:val="0"/>
                <w:sz w:val="20"/>
                <w:szCs w:val="20"/>
              </w:rP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其他</w:t>
            </w:r>
            <w:r>
              <w:rPr>
                <w:rFonts w:ascii="宋体" w:hAnsi="宋体" w:cs="宋体" w:hint="eastAsia"/>
                <w:color w:val="000000"/>
                <w:kern w:val="0"/>
                <w:sz w:val="20"/>
                <w:szCs w:val="20"/>
              </w:rPr>
              <w:br/>
            </w:r>
            <w:r>
              <w:rPr>
                <w:rFonts w:ascii="宋体" w:hAnsi="宋体" w:cs="宋体" w:hint="eastAsia"/>
                <w:color w:val="000000"/>
                <w:kern w:val="0"/>
                <w:sz w:val="20"/>
                <w:szCs w:val="20"/>
              </w:rP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kern w:val="0"/>
                <w:sz w:val="20"/>
                <w:szCs w:val="20"/>
              </w:rPr>
              <w:t>尚未</w:t>
            </w:r>
            <w:r>
              <w:rPr>
                <w:rFonts w:ascii="宋体" w:hAnsi="宋体" w:cs="宋体" w:hint="eastAsia"/>
                <w:kern w:val="0"/>
                <w:sz w:val="20"/>
                <w:szCs w:val="20"/>
              </w:rPr>
              <w:br/>
            </w:r>
            <w:r>
              <w:rPr>
                <w:rFonts w:ascii="宋体" w:hAnsi="宋体" w:cs="宋体" w:hint="eastAsia"/>
                <w:kern w:val="0"/>
                <w:sz w:val="20"/>
                <w:szCs w:val="20"/>
              </w:rP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宋体" w:hint="eastAsia"/>
                <w:color w:val="000000"/>
                <w:kern w:val="0"/>
                <w:sz w:val="20"/>
                <w:szCs w:val="20"/>
              </w:rPr>
              <w:t>总计</w:t>
            </w:r>
          </w:p>
        </w:tc>
      </w:tr>
      <w:tr w:rsidR="003D296C">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widowControl/>
              <w:jc w:val="center"/>
              <w:rPr>
                <w:rFonts w:ascii="宋体" w:hAnsi="宋体"/>
                <w:sz w:val="20"/>
                <w:szCs w:val="20"/>
              </w:rPr>
            </w:pPr>
            <w:r>
              <w:rPr>
                <w:rFonts w:ascii="宋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3D296C" w:rsidRDefault="00263D02">
            <w:pPr>
              <w:jc w:val="center"/>
              <w:rPr>
                <w:rFonts w:ascii="宋体" w:hAnsi="宋体"/>
                <w:sz w:val="20"/>
                <w:szCs w:val="20"/>
              </w:rPr>
            </w:pPr>
            <w:r>
              <w:rPr>
                <w:rFonts w:ascii="宋体" w:hAnsi="宋体" w:cs="黑体" w:hint="eastAsia"/>
                <w:kern w:val="0"/>
                <w:sz w:val="20"/>
                <w:szCs w:val="20"/>
              </w:rPr>
              <w:t>0</w:t>
            </w:r>
          </w:p>
        </w:tc>
      </w:tr>
    </w:tbl>
    <w:p w:rsidR="003D296C" w:rsidRDefault="003D296C">
      <w:pPr>
        <w:widowControl/>
        <w:spacing w:line="560" w:lineRule="exact"/>
        <w:ind w:firstLineChars="200" w:firstLine="640"/>
        <w:jc w:val="left"/>
        <w:rPr>
          <w:rFonts w:ascii="仿宋_GB2312" w:eastAsia="仿宋_GB2312"/>
          <w:sz w:val="32"/>
          <w:szCs w:val="32"/>
        </w:rPr>
      </w:pPr>
    </w:p>
    <w:p w:rsidR="003D296C" w:rsidRDefault="00263D02">
      <w:pPr>
        <w:spacing w:line="560" w:lineRule="exact"/>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3D296C" w:rsidRDefault="00263D02">
      <w:pPr>
        <w:spacing w:line="560" w:lineRule="exact"/>
        <w:ind w:firstLineChars="200" w:firstLine="640"/>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年，区科委扎实开展政府信息公开工作，取得了一些成绩，但也存在以下不足。一是信息主动公开的主体意识有待加强。二是信息公开渠道有待进一步拓宽。</w:t>
      </w:r>
    </w:p>
    <w:p w:rsidR="003D296C" w:rsidRDefault="00263D02">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针对以上问题，区科委将进一步完善政府信息公开制度，重点从以下方面进行有效整改落实：一是加强组织领导，强化主体责任。不断深化和规范政府网站信息公开发布工作流程和审核机制，将信息的采集、报送、审核、发布等环节的工作责任落实到人，确保公开的信息内容准确、及时。二是创新平台建设，拓展公开方式。认真研究政务公开工作的新形式、新途径、新方法，通过文本、图片、视频等多途径，简洁明了的梳理关键信息，</w:t>
      </w:r>
      <w:r>
        <w:rPr>
          <w:rFonts w:ascii="仿宋_GB2312" w:eastAsia="仿宋_GB2312" w:hAnsi="宋体" w:cs="宋体" w:hint="eastAsia"/>
          <w:spacing w:val="8"/>
          <w:kern w:val="0"/>
          <w:sz w:val="32"/>
          <w:szCs w:val="32"/>
        </w:rPr>
        <w:t>加</w:t>
      </w:r>
      <w:r>
        <w:rPr>
          <w:rFonts w:ascii="仿宋_GB2312" w:eastAsia="仿宋_GB2312" w:hAnsi="宋体" w:cs="宋体" w:hint="eastAsia"/>
          <w:spacing w:val="8"/>
          <w:kern w:val="0"/>
          <w:sz w:val="32"/>
          <w:szCs w:val="32"/>
        </w:rPr>
        <w:lastRenderedPageBreak/>
        <w:t>强科技创新政策解读力度，提升政策解读能力，</w:t>
      </w:r>
      <w:r>
        <w:rPr>
          <w:rFonts w:ascii="仿宋_GB2312" w:eastAsia="仿宋_GB2312" w:hint="eastAsia"/>
          <w:sz w:val="32"/>
          <w:szCs w:val="32"/>
        </w:rPr>
        <w:t>增强政务公开的实效性。</w:t>
      </w:r>
    </w:p>
    <w:p w:rsidR="003D296C" w:rsidRDefault="00263D02">
      <w:pPr>
        <w:spacing w:line="560" w:lineRule="exact"/>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3D296C" w:rsidRDefault="00263D02">
      <w:pPr>
        <w:widowControl/>
        <w:spacing w:line="560" w:lineRule="exact"/>
        <w:ind w:firstLineChars="200" w:firstLine="672"/>
        <w:jc w:val="left"/>
        <w:rPr>
          <w:rFonts w:ascii="仿宋_GB2312" w:eastAsia="仿宋_GB2312" w:hAnsi="仿宋_GB2312" w:cs="仿宋_GB2312"/>
          <w:spacing w:val="8"/>
          <w:kern w:val="0"/>
          <w:sz w:val="32"/>
          <w:szCs w:val="32"/>
        </w:rPr>
      </w:pPr>
      <w:r>
        <w:rPr>
          <w:rFonts w:ascii="仿宋_GB2312" w:eastAsia="仿宋_GB2312" w:hAnsi="仿宋_GB2312" w:cs="仿宋_GB2312" w:hint="eastAsia"/>
          <w:spacing w:val="8"/>
          <w:kern w:val="0"/>
          <w:sz w:val="32"/>
          <w:szCs w:val="32"/>
        </w:rPr>
        <w:t>根据《政府信息公开信息处理费管理办</w:t>
      </w:r>
      <w:r>
        <w:rPr>
          <w:rFonts w:ascii="仿宋_GB2312" w:eastAsia="仿宋_GB2312" w:hAnsi="仿宋_GB2312" w:cs="仿宋_GB2312" w:hint="eastAsia"/>
          <w:spacing w:val="8"/>
          <w:kern w:val="0"/>
          <w:sz w:val="32"/>
          <w:szCs w:val="32"/>
        </w:rPr>
        <w:t>法》</w:t>
      </w:r>
      <w:r>
        <w:rPr>
          <w:rFonts w:ascii="仿宋_GB2312" w:eastAsia="仿宋_GB2312" w:hAnsi="仿宋_GB2312" w:cs="仿宋_GB2312" w:hint="eastAsia"/>
          <w:spacing w:val="8"/>
          <w:kern w:val="0"/>
          <w:sz w:val="32"/>
          <w:szCs w:val="32"/>
        </w:rPr>
        <w:t>(</w:t>
      </w:r>
      <w:r>
        <w:rPr>
          <w:rFonts w:ascii="仿宋_GB2312" w:eastAsia="仿宋_GB2312" w:hAnsi="仿宋_GB2312" w:cs="仿宋_GB2312" w:hint="eastAsia"/>
          <w:spacing w:val="8"/>
          <w:kern w:val="0"/>
          <w:sz w:val="32"/>
          <w:szCs w:val="32"/>
        </w:rPr>
        <w:t>国办函〔</w:t>
      </w:r>
      <w:r>
        <w:rPr>
          <w:rFonts w:ascii="仿宋_GB2312" w:eastAsia="仿宋_GB2312" w:hAnsi="仿宋_GB2312" w:cs="仿宋_GB2312" w:hint="eastAsia"/>
          <w:spacing w:val="8"/>
          <w:kern w:val="0"/>
          <w:sz w:val="32"/>
          <w:szCs w:val="32"/>
        </w:rPr>
        <w:t>2020</w:t>
      </w:r>
      <w:r>
        <w:rPr>
          <w:rFonts w:ascii="仿宋_GB2312" w:eastAsia="仿宋_GB2312" w:hAnsi="仿宋_GB2312" w:cs="仿宋_GB2312" w:hint="eastAsia"/>
          <w:spacing w:val="8"/>
          <w:kern w:val="0"/>
          <w:sz w:val="32"/>
          <w:szCs w:val="32"/>
        </w:rPr>
        <w:t>〕</w:t>
      </w:r>
      <w:r>
        <w:rPr>
          <w:rFonts w:ascii="仿宋_GB2312" w:eastAsia="仿宋_GB2312" w:hAnsi="仿宋_GB2312" w:cs="仿宋_GB2312" w:hint="eastAsia"/>
          <w:spacing w:val="8"/>
          <w:kern w:val="0"/>
          <w:sz w:val="32"/>
          <w:szCs w:val="32"/>
        </w:rPr>
        <w:t>109</w:t>
      </w:r>
      <w:r>
        <w:rPr>
          <w:rFonts w:ascii="仿宋_GB2312" w:eastAsia="仿宋_GB2312" w:hAnsi="仿宋_GB2312" w:cs="仿宋_GB2312" w:hint="eastAsia"/>
          <w:spacing w:val="8"/>
          <w:kern w:val="0"/>
          <w:sz w:val="32"/>
          <w:szCs w:val="32"/>
        </w:rPr>
        <w:t>号</w:t>
      </w:r>
      <w:r>
        <w:rPr>
          <w:rFonts w:ascii="仿宋_GB2312" w:eastAsia="仿宋_GB2312" w:hAnsi="仿宋_GB2312" w:cs="仿宋_GB2312" w:hint="eastAsia"/>
          <w:spacing w:val="8"/>
          <w:kern w:val="0"/>
          <w:sz w:val="32"/>
          <w:szCs w:val="32"/>
        </w:rPr>
        <w:t>)</w:t>
      </w:r>
      <w:r>
        <w:rPr>
          <w:rFonts w:ascii="仿宋_GB2312" w:eastAsia="仿宋_GB2312" w:hAnsi="仿宋_GB2312" w:cs="仿宋_GB2312" w:hint="eastAsia"/>
          <w:spacing w:val="8"/>
          <w:kern w:val="0"/>
          <w:sz w:val="32"/>
          <w:szCs w:val="32"/>
        </w:rPr>
        <w:t>，</w:t>
      </w:r>
      <w:r>
        <w:rPr>
          <w:rFonts w:ascii="仿宋_GB2312" w:eastAsia="仿宋_GB2312" w:hAnsi="仿宋_GB2312" w:cs="仿宋_GB2312" w:hint="eastAsia"/>
          <w:spacing w:val="8"/>
          <w:kern w:val="0"/>
          <w:sz w:val="32"/>
          <w:szCs w:val="32"/>
        </w:rPr>
        <w:t>2022</w:t>
      </w:r>
      <w:r>
        <w:rPr>
          <w:rFonts w:ascii="仿宋_GB2312" w:eastAsia="仿宋_GB2312" w:hAnsi="仿宋_GB2312" w:cs="仿宋_GB2312" w:hint="eastAsia"/>
          <w:spacing w:val="8"/>
          <w:kern w:val="0"/>
          <w:sz w:val="32"/>
          <w:szCs w:val="32"/>
        </w:rPr>
        <w:t>年度北京市通州区科学技术委员会收取信息处理费情况为：发出收费通知的件数为</w:t>
      </w:r>
      <w:r>
        <w:rPr>
          <w:rFonts w:ascii="仿宋_GB2312" w:eastAsia="仿宋_GB2312" w:hAnsi="仿宋_GB2312" w:cs="仿宋_GB2312" w:hint="eastAsia"/>
          <w:spacing w:val="8"/>
          <w:kern w:val="0"/>
          <w:sz w:val="32"/>
          <w:szCs w:val="32"/>
        </w:rPr>
        <w:t>0</w:t>
      </w:r>
      <w:r>
        <w:rPr>
          <w:rFonts w:ascii="仿宋_GB2312" w:eastAsia="仿宋_GB2312" w:hAnsi="仿宋_GB2312" w:cs="仿宋_GB2312" w:hint="eastAsia"/>
          <w:spacing w:val="8"/>
          <w:kern w:val="0"/>
          <w:sz w:val="32"/>
          <w:szCs w:val="32"/>
        </w:rPr>
        <w:t>件，总金额为</w:t>
      </w:r>
      <w:r>
        <w:rPr>
          <w:rFonts w:ascii="仿宋_GB2312" w:eastAsia="仿宋_GB2312" w:hAnsi="仿宋_GB2312" w:cs="仿宋_GB2312" w:hint="eastAsia"/>
          <w:spacing w:val="8"/>
          <w:kern w:val="0"/>
          <w:sz w:val="32"/>
          <w:szCs w:val="32"/>
        </w:rPr>
        <w:t>0</w:t>
      </w:r>
      <w:r>
        <w:rPr>
          <w:rFonts w:ascii="仿宋_GB2312" w:eastAsia="仿宋_GB2312" w:hAnsi="仿宋_GB2312" w:cs="仿宋_GB2312" w:hint="eastAsia"/>
          <w:spacing w:val="8"/>
          <w:kern w:val="0"/>
          <w:sz w:val="32"/>
          <w:szCs w:val="32"/>
        </w:rPr>
        <w:t>元，实际收取的总金额为</w:t>
      </w:r>
      <w:r>
        <w:rPr>
          <w:rFonts w:ascii="仿宋_GB2312" w:eastAsia="仿宋_GB2312" w:hAnsi="仿宋_GB2312" w:cs="仿宋_GB2312" w:hint="eastAsia"/>
          <w:spacing w:val="8"/>
          <w:kern w:val="0"/>
          <w:sz w:val="32"/>
          <w:szCs w:val="32"/>
        </w:rPr>
        <w:t>0</w:t>
      </w:r>
      <w:r>
        <w:rPr>
          <w:rFonts w:ascii="仿宋_GB2312" w:eastAsia="仿宋_GB2312" w:hAnsi="仿宋_GB2312" w:cs="仿宋_GB2312" w:hint="eastAsia"/>
          <w:spacing w:val="8"/>
          <w:kern w:val="0"/>
          <w:sz w:val="32"/>
          <w:szCs w:val="32"/>
        </w:rPr>
        <w:t>元。</w:t>
      </w:r>
    </w:p>
    <w:p w:rsidR="003D296C" w:rsidRDefault="00263D02">
      <w:pPr>
        <w:spacing w:line="560" w:lineRule="exact"/>
        <w:ind w:firstLineChars="200" w:firstLine="640"/>
        <w:rPr>
          <w:rFonts w:ascii="仿宋_GB2312" w:eastAsia="仿宋_GB2312"/>
          <w:sz w:val="32"/>
          <w:szCs w:val="32"/>
        </w:rPr>
      </w:pPr>
      <w:r>
        <w:rPr>
          <w:rFonts w:ascii="仿宋_GB2312" w:eastAsia="仿宋_GB2312" w:hint="eastAsia"/>
          <w:sz w:val="32"/>
          <w:szCs w:val="32"/>
        </w:rPr>
        <w:t>北京市通州区人民政府网站网址为</w:t>
      </w:r>
      <w:r>
        <w:rPr>
          <w:rFonts w:ascii="仿宋_GB2312" w:eastAsia="仿宋_GB2312" w:hint="eastAsia"/>
          <w:sz w:val="32"/>
          <w:szCs w:val="32"/>
        </w:rPr>
        <w:t>http://www.bjtzh.gov.cn/</w:t>
      </w:r>
      <w:r>
        <w:rPr>
          <w:rFonts w:ascii="仿宋_GB2312" w:eastAsia="仿宋_GB2312" w:hint="eastAsia"/>
          <w:sz w:val="32"/>
          <w:szCs w:val="32"/>
        </w:rPr>
        <w:t>，如需了解更多政府信息，请登录查询。</w:t>
      </w:r>
    </w:p>
    <w:sectPr w:rsidR="003D296C">
      <w:footerReference w:type="default" r:id="rId8"/>
      <w:pgSz w:w="11906" w:h="16838"/>
      <w:pgMar w:top="2154"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D02" w:rsidRDefault="00263D02">
      <w:r>
        <w:separator/>
      </w:r>
    </w:p>
  </w:endnote>
  <w:endnote w:type="continuationSeparator" w:id="0">
    <w:p w:rsidR="00263D02" w:rsidRDefault="0026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96C" w:rsidRDefault="00263D02">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3D296C" w:rsidRDefault="00263D02">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6B0C2B">
                  <w:rPr>
                    <w:rFonts w:asciiTheme="minorEastAsia" w:eastAsiaTheme="minorEastAsia" w:hAnsiTheme="minorEastAsia" w:cstheme="minorEastAsia"/>
                    <w:noProof/>
                    <w:sz w:val="28"/>
                    <w:szCs w:val="28"/>
                  </w:rPr>
                  <w:t>- 3 -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D02" w:rsidRDefault="00263D02">
      <w:r>
        <w:separator/>
      </w:r>
    </w:p>
  </w:footnote>
  <w:footnote w:type="continuationSeparator" w:id="0">
    <w:p w:rsidR="00263D02" w:rsidRDefault="00263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D255B57"/>
    <w:rsid w:val="9F7A3989"/>
    <w:rsid w:val="9F7D85EB"/>
    <w:rsid w:val="B7ED6046"/>
    <w:rsid w:val="BE9932BA"/>
    <w:rsid w:val="BF5F0C53"/>
    <w:rsid w:val="CBFF7CEE"/>
    <w:rsid w:val="D37FCD55"/>
    <w:rsid w:val="DFBFCE58"/>
    <w:rsid w:val="E7CF0CF9"/>
    <w:rsid w:val="E7FA8C2A"/>
    <w:rsid w:val="EDDECC21"/>
    <w:rsid w:val="EE688093"/>
    <w:rsid w:val="EEAB6B13"/>
    <w:rsid w:val="EECFCB56"/>
    <w:rsid w:val="EEFF1F39"/>
    <w:rsid w:val="EF5CAED2"/>
    <w:rsid w:val="F7ABE3BC"/>
    <w:rsid w:val="F9FFA0D6"/>
    <w:rsid w:val="FBF7C586"/>
    <w:rsid w:val="FED9B92E"/>
    <w:rsid w:val="FF6D34E2"/>
    <w:rsid w:val="FFCFF672"/>
    <w:rsid w:val="000378C2"/>
    <w:rsid w:val="000A22D4"/>
    <w:rsid w:val="000D5F8F"/>
    <w:rsid w:val="00102C85"/>
    <w:rsid w:val="00116D0D"/>
    <w:rsid w:val="00137708"/>
    <w:rsid w:val="001469EE"/>
    <w:rsid w:val="00263D02"/>
    <w:rsid w:val="0028644A"/>
    <w:rsid w:val="00332977"/>
    <w:rsid w:val="003D296C"/>
    <w:rsid w:val="00442347"/>
    <w:rsid w:val="00486D67"/>
    <w:rsid w:val="00555B8D"/>
    <w:rsid w:val="0066024F"/>
    <w:rsid w:val="006B0C2B"/>
    <w:rsid w:val="00782B31"/>
    <w:rsid w:val="007E0414"/>
    <w:rsid w:val="007E7E06"/>
    <w:rsid w:val="008B0F5E"/>
    <w:rsid w:val="00925759"/>
    <w:rsid w:val="00983A5C"/>
    <w:rsid w:val="009A1C0D"/>
    <w:rsid w:val="00A62A85"/>
    <w:rsid w:val="00A8093B"/>
    <w:rsid w:val="00AA4111"/>
    <w:rsid w:val="00AC74A8"/>
    <w:rsid w:val="00B83FA4"/>
    <w:rsid w:val="00BC4BC7"/>
    <w:rsid w:val="00BF61B0"/>
    <w:rsid w:val="00CA6D2D"/>
    <w:rsid w:val="00DA57CD"/>
    <w:rsid w:val="00E12325"/>
    <w:rsid w:val="00ED4E17"/>
    <w:rsid w:val="00F91754"/>
    <w:rsid w:val="00FA718A"/>
    <w:rsid w:val="00FF6EB0"/>
    <w:rsid w:val="010F5CB0"/>
    <w:rsid w:val="020E7372"/>
    <w:rsid w:val="037D5E10"/>
    <w:rsid w:val="04D1276B"/>
    <w:rsid w:val="07F813C7"/>
    <w:rsid w:val="0A826F96"/>
    <w:rsid w:val="0CBB1A54"/>
    <w:rsid w:val="0E7E0858"/>
    <w:rsid w:val="0FB844F2"/>
    <w:rsid w:val="14470F9D"/>
    <w:rsid w:val="14A17984"/>
    <w:rsid w:val="157214B0"/>
    <w:rsid w:val="17217E52"/>
    <w:rsid w:val="19D73DAC"/>
    <w:rsid w:val="1ACF0113"/>
    <w:rsid w:val="1E3F1448"/>
    <w:rsid w:val="247B746E"/>
    <w:rsid w:val="27470A1C"/>
    <w:rsid w:val="29AE54B9"/>
    <w:rsid w:val="2CA6446F"/>
    <w:rsid w:val="2CEB6771"/>
    <w:rsid w:val="2EF6189F"/>
    <w:rsid w:val="30FB3D2A"/>
    <w:rsid w:val="32F87D28"/>
    <w:rsid w:val="38780662"/>
    <w:rsid w:val="3D255B57"/>
    <w:rsid w:val="425B2749"/>
    <w:rsid w:val="4C074CEF"/>
    <w:rsid w:val="4FDFE048"/>
    <w:rsid w:val="55CC51C1"/>
    <w:rsid w:val="575437DF"/>
    <w:rsid w:val="5AFA3E4F"/>
    <w:rsid w:val="5BFFC95C"/>
    <w:rsid w:val="5DA9301B"/>
    <w:rsid w:val="5DED1905"/>
    <w:rsid w:val="5E282F0F"/>
    <w:rsid w:val="5E7231FE"/>
    <w:rsid w:val="62AD78B3"/>
    <w:rsid w:val="6592FAC9"/>
    <w:rsid w:val="65A63F93"/>
    <w:rsid w:val="666138CB"/>
    <w:rsid w:val="67B97336"/>
    <w:rsid w:val="6CEB6ECC"/>
    <w:rsid w:val="6FFEC567"/>
    <w:rsid w:val="71F72213"/>
    <w:rsid w:val="74064D96"/>
    <w:rsid w:val="75BFBD22"/>
    <w:rsid w:val="780218A6"/>
    <w:rsid w:val="7B652FF1"/>
    <w:rsid w:val="7C6402AC"/>
    <w:rsid w:val="7DF47369"/>
    <w:rsid w:val="7DFE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DC87FC4-3E6B-46C6-A333-280CCABA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annotation text"/>
    <w:basedOn w:val="a"/>
    <w:link w:val="Char"/>
    <w:pPr>
      <w:jc w:val="left"/>
    </w:pPr>
  </w:style>
  <w:style w:type="paragraph" w:styleId="a5">
    <w:name w:val="Body Text"/>
    <w:basedOn w:val="a"/>
    <w:qFormat/>
    <w:rPr>
      <w:bCs/>
    </w:rPr>
  </w:style>
  <w:style w:type="paragraph" w:styleId="3">
    <w:name w:val="toc 3"/>
    <w:basedOn w:val="a"/>
    <w:next w:val="a"/>
    <w:uiPriority w:val="39"/>
    <w:semiHidden/>
    <w:unhideWhenUsed/>
    <w:qFormat/>
    <w:pPr>
      <w:ind w:leftChars="400" w:left="840"/>
    </w:p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 w:type="paragraph" w:styleId="aa">
    <w:name w:val="annotation subject"/>
    <w:basedOn w:val="a4"/>
    <w:next w:val="a4"/>
    <w:link w:val="Char1"/>
    <w:rPr>
      <w:b/>
      <w:bCs/>
    </w:rPr>
  </w:style>
  <w:style w:type="character" w:styleId="ab">
    <w:name w:val="Hyperlink"/>
    <w:basedOn w:val="a1"/>
    <w:qFormat/>
    <w:rPr>
      <w:color w:val="000000"/>
      <w:u w:val="none"/>
    </w:rPr>
  </w:style>
  <w:style w:type="character" w:styleId="ac">
    <w:name w:val="annotation reference"/>
    <w:basedOn w:val="a1"/>
    <w:rPr>
      <w:sz w:val="21"/>
      <w:szCs w:val="21"/>
    </w:rPr>
  </w:style>
  <w:style w:type="paragraph" w:styleId="ad">
    <w:name w:val="List Paragraph"/>
    <w:basedOn w:val="a"/>
    <w:uiPriority w:val="99"/>
    <w:unhideWhenUsed/>
    <w:qFormat/>
    <w:pPr>
      <w:ind w:firstLineChars="200" w:firstLine="420"/>
    </w:pPr>
  </w:style>
  <w:style w:type="character" w:customStyle="1" w:styleId="Char">
    <w:name w:val="批注文字 Char"/>
    <w:basedOn w:val="a1"/>
    <w:link w:val="a4"/>
    <w:rPr>
      <w:rFonts w:ascii="Calibri" w:hAnsi="Calibri"/>
      <w:kern w:val="2"/>
      <w:sz w:val="21"/>
      <w:szCs w:val="24"/>
    </w:rPr>
  </w:style>
  <w:style w:type="character" w:customStyle="1" w:styleId="Char1">
    <w:name w:val="批注主题 Char"/>
    <w:basedOn w:val="Char"/>
    <w:link w:val="aa"/>
    <w:rPr>
      <w:rFonts w:ascii="Calibri" w:hAnsi="Calibri"/>
      <w:b/>
      <w:bCs/>
      <w:kern w:val="2"/>
      <w:sz w:val="21"/>
      <w:szCs w:val="24"/>
    </w:rPr>
  </w:style>
  <w:style w:type="character" w:customStyle="1" w:styleId="Char0">
    <w:name w:val="批注框文本 Char"/>
    <w:basedOn w:val="a1"/>
    <w:link w:val="a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一米阳光66</dc:creator>
  <cp:lastModifiedBy>ZOE</cp:lastModifiedBy>
  <cp:revision>30</cp:revision>
  <cp:lastPrinted>2023-01-06T16:35:00Z</cp:lastPrinted>
  <dcterms:created xsi:type="dcterms:W3CDTF">2019-12-11T12:53:00Z</dcterms:created>
  <dcterms:modified xsi:type="dcterms:W3CDTF">2023-01-09T08:56:00Z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