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北京市通州区新华街道办事处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政府信息公开工作年度报告</w:t>
      </w:r>
    </w:p>
    <w:p>
      <w:pPr>
        <w:spacing w:line="560" w:lineRule="exact"/>
        <w:jc w:val="center"/>
        <w:rPr>
          <w:sz w:val="44"/>
          <w:szCs w:val="44"/>
          <w:highlight w:val="none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一、总体情况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年，新华街道办事处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深入贯彻落实区委、区政府关于政务公开的工作要求，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中华人民共和国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和《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2022年政务公开工作要点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》（国办发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[2022]8号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相关规定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，加强组织领导，完善公开制度，深化公开内容，推进政务公开工作持续深入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将202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年信息公开工作情况报告如下：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组织领导情况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为加强对信息公开工作的组织领导，新华街道成立了由街道办事处副主任任组长、党政办负责人任副组长、机关相关工作人员任成员的政务信息公开工作领导小组，负责推进、指导、协调、监督政府信息公开工作开展,及时更新街道动态、文件通知、行政处罚结果等，并安排专人负责政府相关信息的公开。截至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年底，我街道政府信息公开工作运行正常。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主动公开情况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新华街道通过北京市通州区人民政府网站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291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，其中，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落实区政府工作部署，对外公布经批准的预算、决算共2篇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）依申请公开办理情况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年，新华街道收到挂号信依申请公开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已按相关工作要求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及时给予申请人答复，申请人收到并表示满意。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政府信息管理情况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一是更新时效化。针对公开事项的不同情况，确定公开时间，做到常规性工作定期公开，临时性工作随时公开，固定性工作长期公开。二是内容准确化特色化。参照相关文件要求，力求政务公开内容更加准确、更加规范。同时结合街道工作，坚持把群众最关心、最需要了解的事项公开作为政务公开的重点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政府信息公开平台建设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一是以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北京市通州区人民政府网站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为主要平台公布街道信息。二是加强政务新媒体建设和管理。通过“聚焦新华”微信公众号，新动态、新活动、新服务等栏目及时向公众公布街道最新工作进展及惠民事项，2022年发布信息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364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期，共计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1491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条（4.17未发文）。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）政府信息公开监督保障及教育培训情况</w:t>
      </w:r>
    </w:p>
    <w:p>
      <w:pPr>
        <w:widowControl/>
        <w:spacing w:line="560" w:lineRule="exact"/>
        <w:ind w:firstLine="672" w:firstLineChars="200"/>
        <w:jc w:val="both"/>
        <w:rPr>
          <w:rFonts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一是以纪律为抓手，将政务公开工作与意识形态、党风廉政建设等相结合，严把公开内容关。二是以整改为抓手，将整改工作作为推进政务公开工作的重要手段，按照问题清单对标达标。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三是在机关信息公开工作领导小组工作群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及时上传有关政务公开的政策文件及工作部署，针对各部门、各社区信息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报送工作人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员开展信息公开培训，切实提高政务公开队伍的业务素养和工作能力，扎实推进街道政府信息公开工作。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主动公开政府信息情况</w:t>
      </w:r>
    </w:p>
    <w:p>
      <w:pPr>
        <w:pStyle w:val="4"/>
        <w:rPr>
          <w:rFonts w:hint="eastAsia"/>
          <w:highlight w:val="none"/>
        </w:rPr>
      </w:pPr>
    </w:p>
    <w:p>
      <w:pPr>
        <w:pStyle w:val="4"/>
        <w:numPr>
          <w:ilvl w:val="0"/>
          <w:numId w:val="0"/>
        </w:numPr>
        <w:rPr>
          <w:rFonts w:hint="eastAsia"/>
          <w:highlight w:val="none"/>
        </w:rPr>
      </w:pPr>
    </w:p>
    <w:tbl>
      <w:tblPr>
        <w:tblStyle w:val="9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800" w:firstLineChars="40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/>
          <w:highlight w:val="none"/>
        </w:rPr>
      </w:pPr>
    </w:p>
    <w:p>
      <w:pPr>
        <w:pStyle w:val="4"/>
        <w:numPr>
          <w:ilvl w:val="0"/>
          <w:numId w:val="0"/>
        </w:numPr>
        <w:rPr>
          <w:rFonts w:hint="eastAsia"/>
          <w:highlight w:val="none"/>
        </w:rPr>
      </w:pPr>
    </w:p>
    <w:p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收到和处理政府信息公开申请情况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highlight w:val="none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highlight w:val="none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>
      <w:pPr>
        <w:pStyle w:val="4"/>
        <w:numPr>
          <w:ilvl w:val="0"/>
          <w:numId w:val="0"/>
        </w:numPr>
        <w:ind w:leftChars="200"/>
        <w:rPr>
          <w:rFonts w:hint="eastAsia"/>
          <w:highlight w:val="none"/>
        </w:rPr>
      </w:pPr>
    </w:p>
    <w:p>
      <w:pPr>
        <w:pStyle w:val="4"/>
        <w:numPr>
          <w:ilvl w:val="0"/>
          <w:numId w:val="0"/>
        </w:numPr>
        <w:ind w:leftChars="200"/>
        <w:rPr>
          <w:rFonts w:hint="eastAsia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highlight w:val="none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highlight w:val="none"/>
                <w:lang w:val="en-US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highlight w:val="none"/>
                <w:lang w:val="en-US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highlight w:val="none"/>
                <w:lang w:val="en-US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highlight w:val="none"/>
                <w:lang w:val="en-US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highlight w:val="none"/>
                <w:lang w:val="en-US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highlight w:val="none"/>
                <w:lang w:val="en-US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highlight w:val="none"/>
                <w:lang w:val="en-US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highlight w:val="none"/>
                <w:lang w:val="en-US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highlight w:val="none"/>
                <w:lang w:val="en-US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highlight w:val="none"/>
                <w:lang w:val="en-US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highlight w:val="none"/>
                <w:lang w:val="en-US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highlight w:val="none"/>
                <w:lang w:val="en-US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highlight w:val="none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年新华街道政府信息公开工作存在的问题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包括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方面，一是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依申请公开居民来信渠道需进一步畅通，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区级《政府公报》需及时在便民服务大厅进行公示，三是工作人员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业务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能力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需进一步加强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下一步改进的主要措施：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一是保持渠道畅通。加强对政府信息公开申请接收渠道的规范管理，建立健全内部管理制度，完善申请处理流程，尤其是收发室的管理工作，防止因遗漏、延误、内部衔接不畅等问题造成的行政复议及投诉。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规范《政府公报》使用管理，完善签收台账记录表，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将《政府公报》摆放在办事服务大厅显著位置，供社会公众查阅；同时，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加强对政府公报的宣传，使更多的基层群众了解公报、认识公报、运用公报。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both"/>
        <w:rPr>
          <w:rFonts w:hint="eastAsia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三是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加强信息发布管理。严格落实政务公开工作政治纪律及“三审三校”审核制度，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提升工作人员责任意识，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加强对工作人员的培训教育，切实增强政务公开工作能力和水平。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六、其他需要报告的事项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本单位依据《政府信息公开信息处理费管理办法》收取信息处理费，202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年发出收费通知的件数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件，总金额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元。实际收取的总金额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元。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北京市通州区人民政府网站网址为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u w:val="none"/>
        </w:rPr>
        <w:t>http://www.bjtzh.gov.cn/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/>
          <w:highlight w:val="none"/>
        </w:rPr>
      </w:pPr>
    </w:p>
    <w:p>
      <w:pPr>
        <w:pStyle w:val="4"/>
        <w:rPr>
          <w:rFonts w:hint="eastAsia"/>
          <w:highlight w:val="none"/>
        </w:rPr>
      </w:pPr>
    </w:p>
    <w:p>
      <w:pPr>
        <w:pStyle w:val="4"/>
        <w:rPr>
          <w:rFonts w:hint="eastAsia"/>
          <w:highlight w:val="none"/>
        </w:rPr>
      </w:pPr>
    </w:p>
    <w:p>
      <w:pPr>
        <w:pStyle w:val="4"/>
        <w:rPr>
          <w:rFonts w:hint="eastAsia"/>
          <w:highlight w:val="none"/>
        </w:rPr>
      </w:pPr>
    </w:p>
    <w:p>
      <w:pPr>
        <w:pStyle w:val="4"/>
        <w:rPr>
          <w:rFonts w:hint="eastAsia"/>
          <w:highlight w:val="none"/>
        </w:rPr>
      </w:pPr>
    </w:p>
    <w:p>
      <w:pPr>
        <w:pStyle w:val="4"/>
        <w:rPr>
          <w:rFonts w:hint="eastAsia"/>
          <w:highlight w:val="none"/>
        </w:rPr>
      </w:pPr>
    </w:p>
    <w:p>
      <w:pPr>
        <w:pStyle w:val="4"/>
        <w:rPr>
          <w:rFonts w:hint="eastAsia"/>
          <w:highlight w:val="none"/>
        </w:rPr>
      </w:pPr>
    </w:p>
    <w:p>
      <w:pPr>
        <w:pStyle w:val="4"/>
        <w:rPr>
          <w:rFonts w:hint="eastAsia"/>
          <w:highlight w:val="none"/>
        </w:rPr>
      </w:pPr>
    </w:p>
    <w:p>
      <w:pPr>
        <w:pStyle w:val="4"/>
        <w:rPr>
          <w:rFonts w:hint="eastAsia"/>
          <w:highlight w:val="none"/>
        </w:rPr>
      </w:pPr>
    </w:p>
    <w:p>
      <w:pPr>
        <w:pStyle w:val="4"/>
        <w:rPr>
          <w:rFonts w:hint="eastAsia"/>
          <w:highlight w:val="none"/>
        </w:rPr>
      </w:pPr>
    </w:p>
    <w:p>
      <w:pPr>
        <w:pStyle w:val="4"/>
        <w:rPr>
          <w:rFonts w:hint="eastAsia"/>
          <w:highlight w:val="none"/>
        </w:rPr>
      </w:pPr>
    </w:p>
    <w:p>
      <w:pPr>
        <w:pStyle w:val="4"/>
        <w:rPr>
          <w:rFonts w:hint="eastAsia"/>
          <w:highlight w:val="none"/>
        </w:rPr>
      </w:pPr>
    </w:p>
    <w:p>
      <w:pPr>
        <w:pStyle w:val="4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sectPr>
      <w:footerReference r:id="rId3" w:type="default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46AF7"/>
    <w:multiLevelType w:val="singleLevel"/>
    <w:tmpl w:val="C1346AF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mQyNjQ1YWY0YmM0MzNlZDBhM2NmYmRlOTU2NjIifQ=="/>
  </w:docVars>
  <w:rsids>
    <w:rsidRoot w:val="3D255B57"/>
    <w:rsid w:val="010F5CB0"/>
    <w:rsid w:val="0147153B"/>
    <w:rsid w:val="020E7372"/>
    <w:rsid w:val="037D5E10"/>
    <w:rsid w:val="0399071A"/>
    <w:rsid w:val="04D1276B"/>
    <w:rsid w:val="04E6106A"/>
    <w:rsid w:val="055661F0"/>
    <w:rsid w:val="07F813C7"/>
    <w:rsid w:val="0A826F96"/>
    <w:rsid w:val="0AEC6CAF"/>
    <w:rsid w:val="0BC9310A"/>
    <w:rsid w:val="0CBB1A54"/>
    <w:rsid w:val="0DA32390"/>
    <w:rsid w:val="0E7E0858"/>
    <w:rsid w:val="14470F9D"/>
    <w:rsid w:val="14A17984"/>
    <w:rsid w:val="157214B0"/>
    <w:rsid w:val="16A35C9C"/>
    <w:rsid w:val="17217E52"/>
    <w:rsid w:val="19D73DAC"/>
    <w:rsid w:val="1ACF0113"/>
    <w:rsid w:val="1E3F1448"/>
    <w:rsid w:val="1F3031B6"/>
    <w:rsid w:val="247B746E"/>
    <w:rsid w:val="249921BB"/>
    <w:rsid w:val="2519649B"/>
    <w:rsid w:val="25E742D8"/>
    <w:rsid w:val="26CC5EBA"/>
    <w:rsid w:val="27470A1C"/>
    <w:rsid w:val="29AE54B9"/>
    <w:rsid w:val="2CA6446F"/>
    <w:rsid w:val="2CEB6771"/>
    <w:rsid w:val="2EF6189F"/>
    <w:rsid w:val="2FC45FC6"/>
    <w:rsid w:val="30FB3D2A"/>
    <w:rsid w:val="32F87D28"/>
    <w:rsid w:val="37372B99"/>
    <w:rsid w:val="38780662"/>
    <w:rsid w:val="3C5C5193"/>
    <w:rsid w:val="3D255B57"/>
    <w:rsid w:val="425B2749"/>
    <w:rsid w:val="42B95650"/>
    <w:rsid w:val="43503578"/>
    <w:rsid w:val="47EE3067"/>
    <w:rsid w:val="480058DF"/>
    <w:rsid w:val="48391EED"/>
    <w:rsid w:val="4C074CEF"/>
    <w:rsid w:val="4C352402"/>
    <w:rsid w:val="5217598C"/>
    <w:rsid w:val="52BE04FE"/>
    <w:rsid w:val="55CC51C1"/>
    <w:rsid w:val="575437DF"/>
    <w:rsid w:val="5AFA3E4F"/>
    <w:rsid w:val="5BFFC95C"/>
    <w:rsid w:val="5DA9301B"/>
    <w:rsid w:val="5DED1905"/>
    <w:rsid w:val="5E282F0F"/>
    <w:rsid w:val="5E7231FE"/>
    <w:rsid w:val="62AD78B3"/>
    <w:rsid w:val="658904F7"/>
    <w:rsid w:val="6592FAC9"/>
    <w:rsid w:val="65A63F93"/>
    <w:rsid w:val="666138CB"/>
    <w:rsid w:val="68BF0F16"/>
    <w:rsid w:val="6C4E0649"/>
    <w:rsid w:val="6CEB6ECC"/>
    <w:rsid w:val="6D213F20"/>
    <w:rsid w:val="6E427DDD"/>
    <w:rsid w:val="6EFA2466"/>
    <w:rsid w:val="6F765F90"/>
    <w:rsid w:val="74064D96"/>
    <w:rsid w:val="77D73344"/>
    <w:rsid w:val="780218A6"/>
    <w:rsid w:val="784641F2"/>
    <w:rsid w:val="78DE42A2"/>
    <w:rsid w:val="7C6402AC"/>
    <w:rsid w:val="7DF47369"/>
    <w:rsid w:val="9F7A3989"/>
    <w:rsid w:val="B7ED6046"/>
    <w:rsid w:val="BE9932BA"/>
    <w:rsid w:val="BF5F0C53"/>
    <w:rsid w:val="E7CF0CF9"/>
    <w:rsid w:val="E7FA8C2A"/>
    <w:rsid w:val="EDDECC21"/>
    <w:rsid w:val="EE688093"/>
    <w:rsid w:val="EECFCB56"/>
    <w:rsid w:val="EEFF1F39"/>
    <w:rsid w:val="EF5CAED2"/>
    <w:rsid w:val="F7ABE3BC"/>
    <w:rsid w:val="F9FFA0D6"/>
    <w:rsid w:val="FF6D34E2"/>
    <w:rsid w:val="FFCFF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11">
    <w:name w:val="Hyperlink"/>
    <w:basedOn w:val="10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2328</Words>
  <Characters>2420</Characters>
  <Lines>0</Lines>
  <Paragraphs>0</Paragraphs>
  <TotalTime>3</TotalTime>
  <ScaleCrop>false</ScaleCrop>
  <LinksUpToDate>false</LinksUpToDate>
  <CharactersWithSpaces>2598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2019-12-10T20:53:00Z</dcterms:created>
  <dc:creator>一米阳光66</dc:creator>
  <cp:lastModifiedBy>善生1007</cp:lastModifiedBy>
  <cp:lastPrinted>2023-01-04T09:23:00Z</cp:lastPrinted>
  <dcterms:modified xsi:type="dcterms:W3CDTF">2023-01-09T07:35:22Z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EB70B67B540B41F192B8562634D10466</vt:lpwstr>
  </property>
</Properties>
</file>