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北京市通州</w:t>
      </w:r>
      <w:r>
        <w:rPr>
          <w:rFonts w:hint="eastAsia" w:ascii="方正小标宋简体" w:hAnsi="方正小标宋简体" w:eastAsia="方正小标宋简体" w:cs="方正小标宋简体"/>
          <w:sz w:val="44"/>
          <w:szCs w:val="44"/>
        </w:rPr>
        <w:t>区经济和信息化局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firstLineChars="200"/>
        <w:jc w:val="left"/>
        <w:rPr>
          <w:rFonts w:ascii="仿宋_GB2312" w:hAnsi="宋体" w:eastAsia="仿宋_GB2312" w:cs="宋体"/>
          <w:spacing w:val="8"/>
          <w:kern w:val="0"/>
          <w:sz w:val="32"/>
          <w:szCs w:val="32"/>
        </w:rPr>
      </w:pPr>
      <w:r>
        <w:rPr>
          <w:rFonts w:hint="eastAsia" w:ascii="仿宋_GB2312" w:hAnsi="宋体" w:eastAsia="仿宋_GB2312" w:cs="宋体"/>
          <w:b/>
          <w:bCs/>
          <w:spacing w:val="8"/>
          <w:kern w:val="0"/>
          <w:sz w:val="32"/>
          <w:szCs w:val="32"/>
        </w:rPr>
        <w:t>一是</w:t>
      </w:r>
      <w:r>
        <w:rPr>
          <w:rFonts w:hint="eastAsia" w:ascii="仿宋_GB2312" w:hAnsi="宋体" w:eastAsia="仿宋_GB2312" w:cs="宋体"/>
          <w:spacing w:val="8"/>
          <w:kern w:val="0"/>
          <w:sz w:val="32"/>
          <w:szCs w:val="32"/>
        </w:rPr>
        <w:t>我局高度重视政府信息公开工作，成立了政府信息公开工作领导小组，主要领导任领导小组组长，其他分管领导担任副组长，各科室负责人为成员。领导小组下设办公室，具体负责信息公开日常工作。</w:t>
      </w:r>
      <w:r>
        <w:rPr>
          <w:rFonts w:hint="eastAsia" w:ascii="仿宋_GB2312" w:hAnsi="宋体" w:eastAsia="仿宋_GB2312" w:cs="宋体"/>
          <w:b/>
          <w:bCs/>
          <w:spacing w:val="8"/>
          <w:kern w:val="0"/>
          <w:sz w:val="32"/>
          <w:szCs w:val="32"/>
        </w:rPr>
        <w:t>二是</w:t>
      </w:r>
      <w:r>
        <w:rPr>
          <w:rFonts w:hint="eastAsia" w:ascii="仿宋_GB2312" w:hAnsi="宋体" w:eastAsia="仿宋_GB2312" w:cs="宋体"/>
          <w:spacing w:val="8"/>
          <w:kern w:val="0"/>
          <w:sz w:val="32"/>
          <w:szCs w:val="32"/>
        </w:rPr>
        <w:t>严格落实主动公开，按照“应公开尽公开”原则，不断扩大信息公开广度和深度，及时公开全清单涉及内容，以方便群众查询。2022年我单位在区政府网站部门动态、预决算栏目等及时公开136条信息。</w:t>
      </w:r>
      <w:r>
        <w:rPr>
          <w:rFonts w:hint="eastAsia" w:ascii="仿宋_GB2312" w:hAnsi="宋体" w:eastAsia="仿宋_GB2312" w:cs="宋体"/>
          <w:b/>
          <w:bCs/>
          <w:spacing w:val="8"/>
          <w:kern w:val="0"/>
          <w:sz w:val="32"/>
          <w:szCs w:val="32"/>
        </w:rPr>
        <w:t>三是</w:t>
      </w:r>
      <w:r>
        <w:rPr>
          <w:rFonts w:hint="eastAsia" w:ascii="仿宋_GB2312" w:hAnsi="宋体" w:eastAsia="仿宋_GB2312" w:cs="宋体"/>
          <w:spacing w:val="8"/>
          <w:kern w:val="0"/>
          <w:sz w:val="32"/>
          <w:szCs w:val="32"/>
        </w:rPr>
        <w:t>规范依申请公开，严格规范信息公开申请接收、答复等环节，保障公民、法人和其他组织依法获取政府信息。2022年我局共受理8个政府信息公开申请，均已按时答复。</w:t>
      </w:r>
      <w:r>
        <w:rPr>
          <w:rFonts w:hint="eastAsia" w:ascii="仿宋_GB2312" w:hAnsi="宋体" w:eastAsia="仿宋_GB2312" w:cs="宋体"/>
          <w:b/>
          <w:bCs/>
          <w:spacing w:val="8"/>
          <w:kern w:val="0"/>
          <w:sz w:val="32"/>
          <w:szCs w:val="32"/>
        </w:rPr>
        <w:t>四是</w:t>
      </w:r>
      <w:r>
        <w:rPr>
          <w:rFonts w:hint="eastAsia" w:ascii="仿宋_GB2312" w:hAnsi="宋体" w:eastAsia="仿宋_GB2312" w:cs="宋体"/>
          <w:spacing w:val="8"/>
          <w:kern w:val="0"/>
          <w:sz w:val="32"/>
          <w:szCs w:val="32"/>
        </w:rPr>
        <w:t>加强政府信息公开管理，确保政府信息公开工作有序开展，不断完善信息公开指南、信息公开保密审查制度等。</w:t>
      </w:r>
      <w:r>
        <w:rPr>
          <w:rFonts w:hint="eastAsia" w:ascii="仿宋_GB2312" w:hAnsi="宋体" w:eastAsia="仿宋_GB2312" w:cs="宋体"/>
          <w:b/>
          <w:bCs/>
          <w:spacing w:val="8"/>
          <w:kern w:val="0"/>
          <w:sz w:val="32"/>
          <w:szCs w:val="32"/>
        </w:rPr>
        <w:t>五是</w:t>
      </w:r>
      <w:r>
        <w:rPr>
          <w:rFonts w:hint="eastAsia" w:ascii="仿宋_GB2312" w:hAnsi="宋体" w:eastAsia="仿宋_GB2312" w:cs="宋体"/>
          <w:spacing w:val="8"/>
          <w:kern w:val="0"/>
          <w:sz w:val="32"/>
          <w:szCs w:val="32"/>
        </w:rPr>
        <w:t>加强政府信息公开平台建设，通过政府网站及时做好信息公开，利用“三审三校”制度，规范平台管理。</w:t>
      </w:r>
      <w:r>
        <w:rPr>
          <w:rFonts w:hint="eastAsia" w:ascii="仿宋_GB2312" w:hAnsi="宋体" w:eastAsia="仿宋_GB2312" w:cs="宋体"/>
          <w:b/>
          <w:bCs/>
          <w:spacing w:val="8"/>
          <w:kern w:val="0"/>
          <w:sz w:val="32"/>
          <w:szCs w:val="32"/>
        </w:rPr>
        <w:t>六是</w:t>
      </w:r>
      <w:r>
        <w:rPr>
          <w:rFonts w:hint="eastAsia" w:ascii="仿宋_GB2312" w:hAnsi="宋体" w:eastAsia="仿宋_GB2312" w:cs="宋体"/>
          <w:spacing w:val="8"/>
          <w:kern w:val="0"/>
          <w:sz w:val="32"/>
          <w:szCs w:val="32"/>
        </w:rPr>
        <w:t>及时开展信息公开培训，加强对信息员的专项培训,不断提升政府信息公开的效率和数量。</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11"/>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2</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6</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hAnsi="宋体" w:cs="宋体"/>
                <w:color w:val="000000"/>
                <w:kern w:val="0"/>
                <w:sz w:val="20"/>
                <w:szCs w:val="20"/>
                <w:lang w:bidi="ar"/>
              </w:rPr>
              <w:t>0</w:t>
            </w:r>
          </w:p>
        </w:tc>
      </w:tr>
    </w:tbl>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9"/>
        <w:shd w:val="clear" w:color="auto" w:fill="FFFFFF"/>
        <w:spacing w:before="0" w:beforeAutospacing="0" w:after="0" w:afterAutospacing="0"/>
        <w:ind w:firstLine="420"/>
        <w:jc w:val="both"/>
        <w:rPr>
          <w:rFonts w:hint="default"/>
          <w:color w:val="333333"/>
        </w:rPr>
      </w:pPr>
    </w:p>
    <w:tbl>
      <w:tblPr>
        <w:tblStyle w:val="11"/>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8</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r>
    </w:tbl>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1"/>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黑体" w:hAnsi="宋体" w:eastAsia="黑体" w:cs="黑体"/>
                <w:kern w:val="0"/>
                <w:sz w:val="20"/>
                <w:szCs w:val="20"/>
                <w:lang w:bidi="ar"/>
              </w:rPr>
              <w:t>0</w:t>
            </w:r>
          </w:p>
        </w:tc>
      </w:tr>
    </w:tbl>
    <w:p>
      <w:pPr>
        <w:widowControl/>
        <w:spacing w:line="560" w:lineRule="exact"/>
        <w:ind w:firstLine="672" w:firstLineChars="200"/>
        <w:jc w:val="left"/>
        <w:rPr>
          <w:rFonts w:ascii="黑体" w:hAnsi="黑体" w:eastAsia="黑体" w:cs="宋体"/>
          <w:spacing w:val="8"/>
          <w:kern w:val="0"/>
          <w:sz w:val="32"/>
          <w:szCs w:val="32"/>
        </w:rPr>
      </w:pPr>
    </w:p>
    <w:p>
      <w:pPr>
        <w:widowControl/>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五、</w:t>
      </w:r>
      <w:r>
        <w:rPr>
          <w:rFonts w:ascii="黑体" w:hAnsi="黑体" w:eastAsia="黑体" w:cs="宋体"/>
          <w:spacing w:val="8"/>
          <w:kern w:val="0"/>
          <w:sz w:val="32"/>
          <w:szCs w:val="32"/>
        </w:rPr>
        <w:t>存在的主要问题及改进情况</w:t>
      </w:r>
    </w:p>
    <w:p>
      <w:pPr>
        <w:pStyle w:val="2"/>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2022年，我局在政府信息公开工作方面主要存在信息更新还不够及时，信息公开的范围和内容有待完善，依申请公开工作有待进一步提升等问题。针对这些问题，</w:t>
      </w: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进一步加强对政务信息公开工作的领导和监督，层层落实责任，确保把政府信息公开、办事公开工作落到实处。</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不断提升信息公开公开形式，充分利用好新媒体，增加与群众互动交流的机会，积极采取群众喜闻乐见的、多样化形式进行政策解读。</w:t>
      </w:r>
      <w:r>
        <w:rPr>
          <w:rFonts w:hint="eastAsia" w:ascii="仿宋_GB2312" w:hAnsi="仿宋_GB2312" w:eastAsia="仿宋_GB2312" w:cs="仿宋_GB2312"/>
          <w:b/>
          <w:bCs/>
          <w:color w:val="000000"/>
          <w:sz w:val="32"/>
          <w:szCs w:val="32"/>
          <w:shd w:val="clear" w:color="auto" w:fill="FFFFFF"/>
        </w:rPr>
        <w:t>三是</w:t>
      </w:r>
      <w:r>
        <w:rPr>
          <w:rFonts w:hint="eastAsia" w:ascii="仿宋_GB2312" w:hAnsi="仿宋_GB2312" w:eastAsia="仿宋_GB2312" w:cs="仿宋_GB2312"/>
          <w:color w:val="000000"/>
          <w:sz w:val="32"/>
          <w:szCs w:val="32"/>
          <w:shd w:val="clear" w:color="auto" w:fill="FFFFFF"/>
        </w:rPr>
        <w:t>规范政府信息公开申请接收、办理、审核等环节，保障公民、法人和其他组织依法获取政府信息。对于申请事项不属于政府信息公开工作范畴或无法按申请提供政府信息的，主动与申请人沟通，及时做好解释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8"/>
          <w:kern w:val="0"/>
          <w:sz w:val="32"/>
          <w:szCs w:val="32"/>
        </w:rPr>
      </w:pPr>
      <w:r>
        <w:rPr>
          <w:rFonts w:ascii="宋体" w:hAnsi="宋体" w:cs="宋体"/>
          <w:spacing w:val="8"/>
          <w:kern w:val="0"/>
          <w:sz w:val="32"/>
          <w:szCs w:val="32"/>
        </w:rPr>
        <w:t>　</w:t>
      </w:r>
      <w:r>
        <w:rPr>
          <w:rFonts w:hint="eastAsia" w:ascii="仿宋_GB2312" w:hAnsi="仿宋_GB2312" w:eastAsia="仿宋_GB2312" w:cs="仿宋_GB2312"/>
          <w:spacing w:val="8"/>
          <w:kern w:val="0"/>
          <w:sz w:val="32"/>
          <w:szCs w:val="32"/>
        </w:rPr>
        <w:t>　本单位依据《政府信息公开信息处理费管理办法》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bidi="ar"/>
        </w:rPr>
        <w:t>国办函〔2020〕109号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pacing w:val="8"/>
          <w:kern w:val="0"/>
          <w:sz w:val="32"/>
          <w:szCs w:val="32"/>
        </w:rPr>
        <w:t>收取信息处理费，2022年发出收费通知的件数0件，总金额0元。实际收取的总金额0元。</w:t>
      </w:r>
    </w:p>
    <w:p>
      <w:pPr>
        <w:pStyle w:val="4"/>
        <w:keepNext w:val="0"/>
        <w:keepLines w:val="0"/>
        <w:pageBreakBefore w:val="0"/>
        <w:widowControl w:val="0"/>
        <w:kinsoku/>
        <w:wordWrap w:val="0"/>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kern w:val="0"/>
          <w:sz w:val="32"/>
          <w:szCs w:val="32"/>
          <w:lang w:val="en-US" w:eastAsia="zh-CN" w:bidi="ar-SA"/>
        </w:rPr>
      </w:pPr>
      <w:r>
        <w:rPr>
          <w:rFonts w:hint="eastAsia" w:ascii="仿宋_GB2312" w:hAnsi="仿宋_GB2312" w:eastAsia="仿宋_GB2312" w:cs="仿宋_GB2312"/>
          <w:spacing w:val="8"/>
          <w:kern w:val="0"/>
          <w:sz w:val="32"/>
          <w:szCs w:val="32"/>
          <w:lang w:val="en-US" w:eastAsia="zh-CN" w:bidi="ar-SA"/>
        </w:rPr>
        <w:t>北京市通州区人民政府网站网址为http://www.bjtzh.gov.cn/，如需了解更多政府信息，请登录查询。</w:t>
      </w:r>
    </w:p>
    <w:p>
      <w:pPr>
        <w:rPr>
          <w:rFonts w:ascii="宋体" w:hAnsi="宋体" w:eastAsia="宋体" w:cs="宋体"/>
          <w:spacing w:val="8"/>
          <w:kern w:val="0"/>
          <w:sz w:val="32"/>
          <w:szCs w:val="32"/>
          <w:lang w:val="en-US" w:eastAsia="zh-CN" w:bidi="ar-SA"/>
        </w:rPr>
      </w:pPr>
      <w:bookmarkStart w:id="0" w:name="_GoBack"/>
      <w:bookmarkEnd w:id="0"/>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22A2B"/>
    <w:rsid w:val="002E263F"/>
    <w:rsid w:val="003B53FB"/>
    <w:rsid w:val="00A36964"/>
    <w:rsid w:val="09962F46"/>
    <w:rsid w:val="0AD65DE0"/>
    <w:rsid w:val="0C8E66D0"/>
    <w:rsid w:val="10627BEF"/>
    <w:rsid w:val="24F92508"/>
    <w:rsid w:val="29B85684"/>
    <w:rsid w:val="2B0E019F"/>
    <w:rsid w:val="2E614D27"/>
    <w:rsid w:val="33422A2B"/>
    <w:rsid w:val="34E22E45"/>
    <w:rsid w:val="38A10E8A"/>
    <w:rsid w:val="3EEE2D64"/>
    <w:rsid w:val="415D4FC8"/>
    <w:rsid w:val="41D138EC"/>
    <w:rsid w:val="494C1625"/>
    <w:rsid w:val="52F25DE5"/>
    <w:rsid w:val="57627224"/>
    <w:rsid w:val="5F502E44"/>
    <w:rsid w:val="65D55642"/>
    <w:rsid w:val="6B6C1412"/>
    <w:rsid w:val="72D359E6"/>
    <w:rsid w:val="743A560F"/>
    <w:rsid w:val="74B32081"/>
    <w:rsid w:val="74E065EC"/>
    <w:rsid w:val="7DE57A84"/>
    <w:rsid w:val="7FB0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方正小标宋简体"/>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link w:val="14"/>
    <w:uiPriority w:val="0"/>
    <w:pPr>
      <w:jc w:val="left"/>
    </w:pPr>
  </w:style>
  <w:style w:type="paragraph" w:styleId="5">
    <w:name w:val="toc 3"/>
    <w:basedOn w:val="1"/>
    <w:next w:val="1"/>
    <w:qFormat/>
    <w:uiPriority w:val="0"/>
    <w:pPr>
      <w:ind w:left="840" w:leftChars="400"/>
    </w:pPr>
  </w:style>
  <w:style w:type="paragraph" w:styleId="6">
    <w:name w:val="Balloon Text"/>
    <w:basedOn w:val="1"/>
    <w:link w:val="16"/>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10">
    <w:name w:val="annotation subject"/>
    <w:basedOn w:val="4"/>
    <w:next w:val="4"/>
    <w:link w:val="15"/>
    <w:uiPriority w:val="0"/>
    <w:rPr>
      <w:b/>
      <w:bCs/>
    </w:rPr>
  </w:style>
  <w:style w:type="character" w:styleId="13">
    <w:name w:val="annotation reference"/>
    <w:basedOn w:val="12"/>
    <w:uiPriority w:val="0"/>
    <w:rPr>
      <w:sz w:val="21"/>
      <w:szCs w:val="21"/>
    </w:rPr>
  </w:style>
  <w:style w:type="character" w:customStyle="1" w:styleId="14">
    <w:name w:val="批注文字 Char"/>
    <w:basedOn w:val="12"/>
    <w:link w:val="4"/>
    <w:uiPriority w:val="0"/>
    <w:rPr>
      <w:rFonts w:ascii="Calibri" w:hAnsi="Calibri"/>
      <w:kern w:val="2"/>
      <w:sz w:val="21"/>
      <w:szCs w:val="24"/>
    </w:rPr>
  </w:style>
  <w:style w:type="character" w:customStyle="1" w:styleId="15">
    <w:name w:val="批注主题 Char"/>
    <w:basedOn w:val="14"/>
    <w:link w:val="10"/>
    <w:uiPriority w:val="0"/>
    <w:rPr>
      <w:rFonts w:ascii="Calibri" w:hAnsi="Calibri"/>
      <w:b/>
      <w:bCs/>
      <w:kern w:val="2"/>
      <w:sz w:val="21"/>
      <w:szCs w:val="24"/>
    </w:rPr>
  </w:style>
  <w:style w:type="character" w:customStyle="1" w:styleId="16">
    <w:name w:val="批注框文本 Char"/>
    <w:basedOn w:val="12"/>
    <w:link w:val="6"/>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北京市通州区经济和信息化委员会</Company>
  <Pages>4</Pages>
  <Words>351</Words>
  <Characters>2006</Characters>
  <Lines>16</Lines>
  <Paragraphs>4</Paragraphs>
  <TotalTime>1</TotalTime>
  <ScaleCrop>false</ScaleCrop>
  <LinksUpToDate>false</LinksUpToDate>
  <CharactersWithSpaces>2353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2023-01-09T01:37:00Z</dcterms:created>
  <dc:creator>xixi☀</dc:creator>
  <cp:lastModifiedBy>dell</cp:lastModifiedBy>
  <dcterms:modified xsi:type="dcterms:W3CDTF">2023-01-11T05:57:52Z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