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北京市通州区科学技术委员</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pStyle w:val="3"/>
        <w:rPr>
          <w:rFonts w:hint="eastAsia" w:ascii="仿宋_GB2312" w:eastAsia="仿宋_GB2312" w:hAnsiTheme="minorHAnsi" w:cstheme="minorBidi"/>
          <w:kern w:val="2"/>
          <w:sz w:val="32"/>
          <w:szCs w:val="32"/>
          <w:lang w:val="en-US" w:eastAsia="zh-CN" w:bidi="ar-SA"/>
        </w:rPr>
      </w:pPr>
      <w:r>
        <w:rPr>
          <w:rFonts w:hint="default" w:ascii="仿宋_GB2312" w:eastAsia="仿宋_GB2312"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（一）组织领导情况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科委持续加强组织领导，健全工作机制。明确了政务公开工作责任分工，建立以主要领导为组长，分管领导为副组长，科室负责人为成员的政府信息与政务公开工作领导小组，安排人员专门负责信息公开工作的收集、审核和发布，逐步建立健全政府信息公开的制度体系。</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（二）主动公开政府信息情况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区科委按照《政府信息公开条例》要求，认真完成信息报送和信息公开工作。202</w:t>
      </w:r>
      <w:r>
        <w:rPr>
          <w:rFonts w:hint="eastAsia" w:ascii="仿宋_GB2312" w:eastAsia="仿宋_GB2312"/>
          <w:sz w:val="32"/>
          <w:szCs w:val="32"/>
          <w:lang w:val="en-US" w:eastAsia="zh-CN"/>
        </w:rPr>
        <w:t>3</w:t>
      </w:r>
      <w:r>
        <w:rPr>
          <w:rFonts w:hint="eastAsia" w:ascii="仿宋_GB2312" w:eastAsia="仿宋_GB2312"/>
          <w:sz w:val="32"/>
          <w:szCs w:val="32"/>
        </w:rPr>
        <w:t>年，北京市通州区人民政府网站要闻动态中共发布信息</w:t>
      </w:r>
      <w:r>
        <w:rPr>
          <w:rFonts w:hint="eastAsia" w:ascii="仿宋_GB2312" w:eastAsia="仿宋_GB2312"/>
          <w:sz w:val="32"/>
          <w:szCs w:val="32"/>
          <w:lang w:val="en-US" w:eastAsia="zh-CN"/>
        </w:rPr>
        <w:t>86</w:t>
      </w:r>
      <w:r>
        <w:rPr>
          <w:rFonts w:hint="eastAsia" w:ascii="仿宋_GB2312" w:eastAsia="仿宋_GB2312"/>
          <w:sz w:val="32"/>
          <w:szCs w:val="32"/>
        </w:rPr>
        <w:t>条，</w:t>
      </w:r>
      <w:r>
        <w:rPr>
          <w:rFonts w:hint="eastAsia" w:ascii="仿宋_GB2312" w:eastAsia="仿宋_GB2312"/>
          <w:sz w:val="32"/>
          <w:szCs w:val="32"/>
          <w:lang w:eastAsia="zh-CN"/>
        </w:rPr>
        <w:t>发布创新动态</w:t>
      </w:r>
      <w:r>
        <w:rPr>
          <w:rFonts w:hint="eastAsia" w:ascii="仿宋_GB2312" w:eastAsia="仿宋_GB2312"/>
          <w:sz w:val="32"/>
          <w:szCs w:val="32"/>
          <w:lang w:val="en-US" w:eastAsia="zh-CN"/>
        </w:rPr>
        <w:t>52条，</w:t>
      </w:r>
      <w:r>
        <w:rPr>
          <w:rFonts w:hint="eastAsia" w:ascii="仿宋_GB2312" w:eastAsia="仿宋_GB2312"/>
          <w:sz w:val="32"/>
          <w:szCs w:val="32"/>
        </w:rPr>
        <w:t>及时全面公开</w:t>
      </w:r>
      <w:r>
        <w:rPr>
          <w:rFonts w:hint="eastAsia" w:ascii="仿宋_GB2312" w:eastAsia="仿宋_GB2312"/>
          <w:sz w:val="32"/>
          <w:szCs w:val="32"/>
          <w:lang w:eastAsia="zh-CN"/>
        </w:rPr>
        <w:t>科技政策和工作动态</w:t>
      </w:r>
      <w:r>
        <w:rPr>
          <w:rFonts w:hint="eastAsia" w:ascii="仿宋_GB2312" w:eastAsia="仿宋_GB2312"/>
          <w:sz w:val="32"/>
          <w:szCs w:val="32"/>
        </w:rPr>
        <w:t>，提高政府工作透明度。</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（三）依申请公开处理情况</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年结转依申请公开</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件；受理202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年依申请公开</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件，办结</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件</w:t>
      </w:r>
      <w:r>
        <w:rPr>
          <w:rFonts w:hint="eastAsia" w:ascii="仿宋_GB2312" w:eastAsia="仿宋_GB2312"/>
          <w:sz w:val="32"/>
          <w:szCs w:val="32"/>
          <w:highlight w:val="none"/>
          <w:lang w:eastAsia="zh-CN"/>
        </w:rPr>
        <w:t>。</w:t>
      </w:r>
      <w:r>
        <w:rPr>
          <w:rFonts w:hint="eastAsia" w:ascii="仿宋_GB2312" w:eastAsia="仿宋_GB2312"/>
          <w:color w:val="auto"/>
          <w:spacing w:val="8"/>
          <w:sz w:val="32"/>
          <w:szCs w:val="32"/>
        </w:rPr>
        <w:t>其中个人申请</w:t>
      </w:r>
      <w:r>
        <w:rPr>
          <w:rFonts w:hint="eastAsia" w:ascii="仿宋_GB2312" w:eastAsia="仿宋_GB2312"/>
          <w:color w:val="auto"/>
          <w:spacing w:val="8"/>
          <w:sz w:val="32"/>
          <w:szCs w:val="32"/>
          <w:lang w:val="en-US" w:eastAsia="zh-CN"/>
        </w:rPr>
        <w:t>5</w:t>
      </w:r>
      <w:r>
        <w:rPr>
          <w:rFonts w:hint="eastAsia" w:ascii="仿宋_GB2312" w:eastAsia="仿宋_GB2312"/>
          <w:color w:val="auto"/>
          <w:spacing w:val="8"/>
          <w:sz w:val="32"/>
          <w:szCs w:val="32"/>
        </w:rPr>
        <w:t>件</w:t>
      </w:r>
      <w:r>
        <w:rPr>
          <w:rFonts w:hint="eastAsia" w:ascii="仿宋_GB2312" w:eastAsia="仿宋_GB2312"/>
          <w:sz w:val="32"/>
          <w:szCs w:val="32"/>
          <w:highlight w:val="none"/>
        </w:rPr>
        <w:t>，予以公开</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件。</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（四）政府信息管理情况</w:t>
      </w:r>
    </w:p>
    <w:p>
      <w:pPr>
        <w:pStyle w:val="2"/>
        <w:spacing w:line="560" w:lineRule="exact"/>
        <w:ind w:firstLine="672" w:firstLineChars="200"/>
        <w:rPr>
          <w:rFonts w:hint="eastAsia" w:ascii="仿宋_GB2312" w:eastAsia="仿宋_GB2312"/>
          <w:sz w:val="32"/>
          <w:szCs w:val="32"/>
          <w:lang w:eastAsia="zh-CN"/>
        </w:rPr>
      </w:pPr>
      <w:r>
        <w:rPr>
          <w:rFonts w:hint="eastAsia" w:ascii="仿宋_GB2312" w:hAnsi="宋体" w:eastAsia="仿宋_GB2312" w:cs="宋体"/>
          <w:spacing w:val="8"/>
          <w:kern w:val="0"/>
          <w:sz w:val="32"/>
          <w:szCs w:val="32"/>
        </w:rPr>
        <w:t>一是严格信息管理，按照区有关部门要求，区科委落实信息发布三级审核程序，确保内容的准确性、及时性。</w:t>
      </w:r>
      <w:r>
        <w:rPr>
          <w:rFonts w:hint="eastAsia" w:ascii="仿宋_GB2312" w:eastAsia="仿宋_GB2312"/>
          <w:sz w:val="32"/>
          <w:szCs w:val="32"/>
          <w:lang w:eastAsia="zh-CN"/>
        </w:rPr>
        <w:t>二</w:t>
      </w:r>
      <w:r>
        <w:rPr>
          <w:rFonts w:hint="eastAsia" w:ascii="仿宋_GB2312" w:eastAsia="仿宋_GB2312"/>
          <w:sz w:val="32"/>
          <w:szCs w:val="32"/>
        </w:rPr>
        <w:t>是更新完善政务公开内容。按时</w:t>
      </w:r>
      <w:r>
        <w:rPr>
          <w:rFonts w:hint="eastAsia" w:ascii="仿宋_GB2312" w:eastAsia="仿宋_GB2312"/>
          <w:sz w:val="32"/>
          <w:szCs w:val="32"/>
          <w:lang w:eastAsia="zh-CN"/>
        </w:rPr>
        <w:t>发布部门</w:t>
      </w:r>
      <w:r>
        <w:rPr>
          <w:rFonts w:hint="eastAsia" w:ascii="仿宋_GB2312" w:eastAsia="仿宋_GB2312"/>
          <w:sz w:val="32"/>
          <w:szCs w:val="32"/>
        </w:rPr>
        <w:t>工作动态，深入推进重要决策预公开，切实保障公众的知情权。</w:t>
      </w:r>
      <w:r>
        <w:rPr>
          <w:rFonts w:hint="eastAsia" w:ascii="仿宋_GB2312" w:eastAsia="仿宋_GB2312"/>
          <w:sz w:val="32"/>
          <w:szCs w:val="32"/>
          <w:lang w:eastAsia="zh-CN"/>
        </w:rPr>
        <w:t>三是积极做好自查工作，及时处理敏感词汇、信息表述不准确等问题，</w:t>
      </w:r>
      <w:r>
        <w:rPr>
          <w:rFonts w:hint="eastAsia" w:ascii="仿宋_GB2312" w:eastAsia="仿宋_GB2312"/>
          <w:sz w:val="32"/>
          <w:szCs w:val="32"/>
        </w:rPr>
        <w:t>进一步保障了政府信息公开工作</w:t>
      </w:r>
      <w:r>
        <w:rPr>
          <w:rFonts w:hint="eastAsia" w:ascii="仿宋_GB2312" w:eastAsia="仿宋_GB2312"/>
          <w:sz w:val="32"/>
          <w:szCs w:val="32"/>
          <w:lang w:eastAsia="zh-CN"/>
        </w:rPr>
        <w:t>的准确性。</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（五）政府信息公开平台建设、教育培训、监督保障</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一是区科委在政府网站中</w:t>
      </w:r>
      <w:r>
        <w:rPr>
          <w:rFonts w:hint="eastAsia" w:ascii="仿宋_GB2312" w:hAnsi="宋体" w:eastAsia="仿宋_GB2312" w:cs="宋体"/>
          <w:spacing w:val="8"/>
          <w:kern w:val="0"/>
          <w:sz w:val="32"/>
          <w:szCs w:val="32"/>
        </w:rPr>
        <w:t>不断加大和改进政府信息公开工作力度</w:t>
      </w:r>
      <w:r>
        <w:rPr>
          <w:rFonts w:hint="eastAsia" w:ascii="仿宋_GB2312" w:hAnsi="宋体" w:eastAsia="仿宋_GB2312" w:cs="宋体"/>
          <w:spacing w:val="8"/>
          <w:kern w:val="0"/>
          <w:sz w:val="32"/>
          <w:szCs w:val="32"/>
          <w:lang w:eastAsia="zh-CN"/>
        </w:rPr>
        <w:t>，</w:t>
      </w:r>
      <w:r>
        <w:rPr>
          <w:rFonts w:hint="eastAsia" w:ascii="仿宋_GB2312" w:eastAsia="仿宋_GB2312"/>
          <w:sz w:val="32"/>
          <w:szCs w:val="32"/>
        </w:rPr>
        <w:t>创新政</w:t>
      </w:r>
      <w:r>
        <w:rPr>
          <w:rFonts w:hint="eastAsia" w:ascii="仿宋_GB2312" w:hAnsi="宋体" w:eastAsia="仿宋_GB2312" w:cs="宋体"/>
          <w:spacing w:val="8"/>
          <w:kern w:val="0"/>
          <w:sz w:val="32"/>
          <w:szCs w:val="32"/>
        </w:rPr>
        <w:t>府</w:t>
      </w:r>
      <w:r>
        <w:rPr>
          <w:rFonts w:hint="eastAsia" w:ascii="仿宋_GB2312" w:eastAsia="仿宋_GB2312"/>
          <w:sz w:val="32"/>
          <w:szCs w:val="32"/>
        </w:rPr>
        <w:t>公开工作途径，加大政</w:t>
      </w:r>
      <w:r>
        <w:rPr>
          <w:rFonts w:hint="eastAsia" w:ascii="仿宋_GB2312" w:hAnsi="宋体" w:eastAsia="仿宋_GB2312" w:cs="宋体"/>
          <w:spacing w:val="8"/>
          <w:kern w:val="0"/>
          <w:sz w:val="32"/>
          <w:szCs w:val="32"/>
        </w:rPr>
        <w:t>府</w:t>
      </w:r>
      <w:r>
        <w:rPr>
          <w:rFonts w:hint="eastAsia" w:ascii="仿宋_GB2312" w:eastAsia="仿宋_GB2312"/>
          <w:sz w:val="32"/>
          <w:szCs w:val="32"/>
        </w:rPr>
        <w:t>信息公开范围、提升政务信息公开质量，持续做好政务公开数据统计等基础工作，确保政务公开工作常态化。二是</w:t>
      </w:r>
      <w:r>
        <w:rPr>
          <w:rFonts w:hint="eastAsia" w:ascii="仿宋_GB2312" w:eastAsia="仿宋_GB2312"/>
          <w:sz w:val="32"/>
          <w:szCs w:val="32"/>
          <w:lang w:eastAsia="zh-CN"/>
        </w:rPr>
        <w:t>积极参加信息公开</w:t>
      </w:r>
      <w:r>
        <w:rPr>
          <w:rFonts w:hint="eastAsia" w:ascii="仿宋_GB2312" w:eastAsia="仿宋_GB2312"/>
          <w:sz w:val="32"/>
          <w:szCs w:val="32"/>
        </w:rPr>
        <w:t>培训会议，</w:t>
      </w:r>
      <w:r>
        <w:rPr>
          <w:rFonts w:hint="eastAsia" w:ascii="仿宋_GB2312" w:eastAsia="仿宋_GB2312"/>
          <w:sz w:val="32"/>
          <w:szCs w:val="32"/>
          <w:lang w:eastAsia="zh-CN"/>
        </w:rPr>
        <w:t>学习信息公开的流程、信息发布平台的使用方法、文稿</w:t>
      </w:r>
      <w:r>
        <w:rPr>
          <w:rFonts w:hint="eastAsia" w:ascii="仿宋_GB2312" w:eastAsia="仿宋_GB2312"/>
          <w:sz w:val="32"/>
          <w:szCs w:val="32"/>
        </w:rPr>
        <w:t>内容的准确性</w:t>
      </w:r>
      <w:r>
        <w:rPr>
          <w:rFonts w:hint="eastAsia" w:ascii="仿宋_GB2312" w:eastAsia="仿宋_GB2312"/>
          <w:sz w:val="32"/>
          <w:szCs w:val="32"/>
          <w:lang w:eastAsia="zh-CN"/>
        </w:rPr>
        <w:t>和文稿的排版等内容</w:t>
      </w:r>
      <w:r>
        <w:rPr>
          <w:rFonts w:hint="eastAsia" w:ascii="仿宋_GB2312" w:eastAsia="仿宋_GB2312"/>
          <w:sz w:val="32"/>
          <w:szCs w:val="32"/>
        </w:rPr>
        <w:t>，有效保证了区科委政务公开队伍始终具备较强的业务素养和工作能力。</w:t>
      </w:r>
      <w:r>
        <w:rPr>
          <w:rFonts w:hint="eastAsia" w:ascii="仿宋_GB2312" w:eastAsia="仿宋_GB2312"/>
          <w:sz w:val="32"/>
          <w:szCs w:val="32"/>
          <w:lang w:eastAsia="zh-CN"/>
        </w:rPr>
        <w:t>三是</w:t>
      </w:r>
      <w:r>
        <w:rPr>
          <w:rFonts w:hint="eastAsia" w:ascii="仿宋_GB2312" w:hAnsi="宋体" w:eastAsia="仿宋_GB2312" w:cs="宋体"/>
          <w:spacing w:val="8"/>
          <w:kern w:val="0"/>
          <w:sz w:val="32"/>
          <w:szCs w:val="32"/>
        </w:rPr>
        <w:t>严格按照工作要求，开展内容自查</w:t>
      </w:r>
      <w:r>
        <w:rPr>
          <w:rFonts w:hint="eastAsia" w:ascii="仿宋_GB2312" w:hAnsi="宋体" w:eastAsia="仿宋_GB2312" w:cs="宋体"/>
          <w:spacing w:val="8"/>
          <w:kern w:val="0"/>
          <w:sz w:val="32"/>
          <w:szCs w:val="32"/>
          <w:lang w:eastAsia="zh-CN"/>
        </w:rPr>
        <w:t>工作</w:t>
      </w:r>
      <w:r>
        <w:rPr>
          <w:rFonts w:hint="eastAsia" w:ascii="仿宋_GB2312" w:hAnsi="宋体" w:eastAsia="仿宋_GB2312" w:cs="宋体"/>
          <w:spacing w:val="8"/>
          <w:kern w:val="0"/>
          <w:sz w:val="32"/>
          <w:szCs w:val="32"/>
        </w:rPr>
        <w:t>，对照管理制度，及时自查核实职责分工，监督督导立行立改。</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numPr>
          <w:ilvl w:val="0"/>
          <w:numId w:val="0"/>
        </w:numPr>
        <w:rPr>
          <w:rFonts w:hint="eastAsia"/>
        </w:rPr>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6</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theme="minorBidi"/>
                <w:kern w:val="2"/>
                <w:sz w:val="20"/>
                <w:szCs w:val="20"/>
                <w:lang w:val="en-US" w:eastAsia="zh-CN" w:bidi="ar-SA"/>
              </w:rPr>
            </w:pPr>
            <w:r>
              <w:rPr>
                <w:rFonts w:hint="eastAsia" w:ascii="宋体" w:hAnsi="宋体"/>
                <w:sz w:val="20"/>
                <w:szCs w:val="20"/>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theme="minorBidi"/>
                <w:kern w:val="2"/>
                <w:sz w:val="20"/>
                <w:szCs w:val="20"/>
                <w:lang w:val="en-US" w:eastAsia="zh-CN" w:bidi="ar-SA"/>
              </w:rPr>
            </w:pPr>
            <w:r>
              <w:rPr>
                <w:rFonts w:hint="eastAsia" w:ascii="宋体" w:hAnsi="宋体"/>
                <w:sz w:val="20"/>
                <w:szCs w:val="20"/>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ascii="宋体" w:hAnsi="宋体" w:eastAsia="宋体" w:cstheme="minorBidi"/>
                <w:kern w:val="2"/>
                <w:sz w:val="20"/>
                <w:szCs w:val="20"/>
                <w:lang w:val="en-US" w:eastAsia="zh-CN" w:bidi="ar-SA"/>
              </w:rPr>
            </w:pPr>
            <w:r>
              <w:rPr>
                <w:rFonts w:hint="eastAsia" w:ascii="宋体" w:hAnsi="宋体"/>
                <w:sz w:val="20"/>
                <w:szCs w:val="20"/>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宋体"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宋体" w:eastAsiaTheme="minorEastAsia" w:cstheme="minorBidi"/>
                <w:kern w:val="2"/>
                <w:sz w:val="20"/>
                <w:szCs w:val="20"/>
                <w:lang w:val="en-US" w:eastAsia="zh-CN" w:bidi="ar-SA"/>
              </w:rPr>
            </w:pPr>
            <w:r>
              <w:rPr>
                <w:rFonts w:hint="eastAsia" w:ascii="宋体" w:hAnsi="宋体" w:cs="Calibri"/>
                <w:kern w:val="0"/>
                <w:sz w:val="20"/>
                <w:szCs w:val="20"/>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cs="宋体"/>
                <w:sz w:val="24"/>
              </w:rP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年，区科委扎实开展政府信息公开工作，取得了一些成绩，但也存在</w:t>
      </w:r>
      <w:r>
        <w:rPr>
          <w:rFonts w:hint="eastAsia" w:ascii="仿宋_GB2312" w:eastAsia="仿宋_GB2312"/>
          <w:sz w:val="32"/>
          <w:szCs w:val="32"/>
          <w:lang w:eastAsia="zh-CN"/>
        </w:rPr>
        <w:t>一些</w:t>
      </w:r>
      <w:r>
        <w:rPr>
          <w:rFonts w:hint="eastAsia" w:ascii="仿宋_GB2312" w:eastAsia="仿宋_GB2312"/>
          <w:sz w:val="32"/>
          <w:szCs w:val="32"/>
        </w:rPr>
        <w:t>不足。一是</w:t>
      </w:r>
      <w:r>
        <w:rPr>
          <w:rFonts w:hint="eastAsia" w:ascii="仿宋_GB2312" w:eastAsia="仿宋_GB2312"/>
          <w:sz w:val="32"/>
          <w:szCs w:val="32"/>
          <w:lang w:val="en-US" w:eastAsia="zh-CN"/>
        </w:rPr>
        <w:t>信息公开的时效性有待进一步提高</w:t>
      </w:r>
      <w:r>
        <w:rPr>
          <w:rFonts w:hint="eastAsia" w:ascii="仿宋_GB2312" w:eastAsia="仿宋_GB2312"/>
          <w:sz w:val="32"/>
          <w:szCs w:val="32"/>
        </w:rPr>
        <w:t>。</w:t>
      </w:r>
      <w:r>
        <w:rPr>
          <w:rFonts w:hint="eastAsia" w:ascii="仿宋_GB2312" w:eastAsia="仿宋_GB2312"/>
          <w:sz w:val="32"/>
          <w:szCs w:val="32"/>
          <w:lang w:val="en-US" w:eastAsia="zh-CN"/>
        </w:rPr>
        <w:t>二是监督方面力度不足。</w:t>
      </w:r>
    </w:p>
    <w:p>
      <w:pPr>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针对以上问题，区科委将以下方面进行有效整改落实：</w:t>
      </w:r>
      <w:r>
        <w:rPr>
          <w:rFonts w:hint="eastAsia" w:ascii="仿宋_GB2312" w:eastAsia="仿宋_GB2312"/>
          <w:sz w:val="32"/>
          <w:szCs w:val="32"/>
          <w:lang w:val="en-US" w:eastAsia="zh-CN"/>
        </w:rPr>
        <w:t>一是进一步落实工作职责和各项制度。加强各科室之间的沟通协调工作，进一步提高依法公开政府信息的工作水平，确保完整、及时、准确地向社会公开政府信息。二是进一步规范政务信息公开行为。进一步完善相关制度和程序，加强政府信息公开内部审查、协调发布、监督检查力度，不断提高政府信息公开工作水平。</w:t>
      </w:r>
    </w:p>
    <w:p>
      <w:pPr>
        <w:widowControl/>
        <w:numPr>
          <w:ilvl w:val="0"/>
          <w:numId w:val="2"/>
        </w:numPr>
        <w:spacing w:line="560" w:lineRule="exact"/>
        <w:ind w:firstLine="675"/>
        <w:jc w:val="both"/>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bidi="ar"/>
        </w:rPr>
        <w:t>其他需要报告的事项</w:t>
      </w:r>
    </w:p>
    <w:p>
      <w:pPr>
        <w:widowControl/>
        <w:numPr>
          <w:ilvl w:val="0"/>
          <w:numId w:val="0"/>
        </w:numPr>
        <w:spacing w:line="560" w:lineRule="exact"/>
        <w:jc w:val="both"/>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lang w:val="en-US" w:eastAsia="zh-CN"/>
        </w:rPr>
        <w:t xml:space="preserve">    </w:t>
      </w:r>
      <w:r>
        <w:rPr>
          <w:rFonts w:hint="eastAsia" w:ascii="仿宋_GB2312" w:hAnsi="仿宋_GB2312" w:eastAsia="仿宋_GB2312" w:cs="仿宋_GB2312"/>
          <w:spacing w:val="8"/>
          <w:kern w:val="0"/>
          <w:sz w:val="32"/>
          <w:szCs w:val="32"/>
        </w:rPr>
        <w:t>根据《政府信息公开信息处理费管理办法》</w:t>
      </w:r>
      <w:r>
        <w:rPr>
          <w:rFonts w:hint="eastAsia" w:ascii="仿宋_GB2312" w:hAnsi="仿宋_GB2312" w:eastAsia="仿宋_GB2312" w:cs="仿宋_GB2312"/>
          <w:spacing w:val="8"/>
          <w:kern w:val="0"/>
          <w:sz w:val="32"/>
          <w:szCs w:val="32"/>
          <w:lang w:val="en-US" w:eastAsia="zh-CN"/>
        </w:rPr>
        <w:t>(</w:t>
      </w:r>
      <w:r>
        <w:rPr>
          <w:rFonts w:hint="eastAsia" w:ascii="仿宋_GB2312" w:hAnsi="仿宋_GB2312" w:eastAsia="仿宋_GB2312" w:cs="仿宋_GB2312"/>
          <w:spacing w:val="8"/>
          <w:kern w:val="0"/>
          <w:sz w:val="32"/>
          <w:szCs w:val="32"/>
        </w:rPr>
        <w:t>国办函〔2020〕109号)，202</w:t>
      </w:r>
      <w:r>
        <w:rPr>
          <w:rFonts w:hint="eastAsia" w:ascii="仿宋_GB2312" w:hAnsi="仿宋_GB2312" w:eastAsia="仿宋_GB2312" w:cs="仿宋_GB2312"/>
          <w:spacing w:val="8"/>
          <w:kern w:val="0"/>
          <w:sz w:val="32"/>
          <w:szCs w:val="32"/>
          <w:lang w:val="en-US" w:eastAsia="zh-CN"/>
        </w:rPr>
        <w:t>3</w:t>
      </w:r>
      <w:r>
        <w:rPr>
          <w:rFonts w:hint="eastAsia" w:ascii="仿宋_GB2312" w:hAnsi="仿宋_GB2312" w:eastAsia="仿宋_GB2312" w:cs="仿宋_GB2312"/>
          <w:spacing w:val="8"/>
          <w:kern w:val="0"/>
          <w:sz w:val="32"/>
          <w:szCs w:val="32"/>
        </w:rPr>
        <w:t>年度北京市通州区</w:t>
      </w:r>
      <w:r>
        <w:rPr>
          <w:rFonts w:hint="eastAsia" w:ascii="仿宋_GB2312" w:hAnsi="仿宋_GB2312" w:eastAsia="仿宋_GB2312" w:cs="仿宋_GB2312"/>
          <w:spacing w:val="8"/>
          <w:kern w:val="0"/>
          <w:sz w:val="32"/>
          <w:szCs w:val="32"/>
          <w:lang w:eastAsia="zh-CN"/>
        </w:rPr>
        <w:t>科学技术委员会</w:t>
      </w:r>
      <w:r>
        <w:rPr>
          <w:rFonts w:hint="eastAsia" w:ascii="仿宋_GB2312" w:hAnsi="仿宋_GB2312" w:eastAsia="仿宋_GB2312" w:cs="仿宋_GB2312"/>
          <w:spacing w:val="8"/>
          <w:kern w:val="0"/>
          <w:sz w:val="32"/>
          <w:szCs w:val="32"/>
        </w:rPr>
        <w:t>收取信息处理费情况为：发出收费通知的件数为0件，总金额为0元，实际收取的总金额为0元。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北京市通州区人民政府网站网址为http</w:t>
      </w:r>
      <w:r>
        <w:rPr>
          <w:rFonts w:hint="eastAsia" w:ascii="仿宋_GB2312" w:eastAsia="仿宋_GB2312"/>
          <w:sz w:val="32"/>
          <w:szCs w:val="32"/>
          <w:lang w:val="en-US" w:eastAsia="zh-CN"/>
        </w:rPr>
        <w:t>s</w:t>
      </w:r>
      <w:bookmarkStart w:id="0" w:name="_GoBack"/>
      <w:bookmarkEnd w:id="0"/>
      <w:r>
        <w:rPr>
          <w:rFonts w:hint="eastAsia" w:ascii="仿宋_GB2312" w:eastAsia="仿宋_GB2312"/>
          <w:sz w:val="32"/>
          <w:szCs w:val="32"/>
        </w:rPr>
        <w:t>://www.bjtzh.gov.cn/，如需了解更多政府信息，请登录查询。</w:t>
      </w:r>
    </w:p>
    <w:p>
      <w:pPr>
        <w:widowControl/>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BCA85F-F756-4B0D-8DB5-AF94B1B6CF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2E06D1-2BBE-452D-A9B3-764C87CBC50A}"/>
  </w:font>
  <w:font w:name="方正小标宋简体">
    <w:panose1 w:val="02000000000000000000"/>
    <w:charset w:val="86"/>
    <w:family w:val="auto"/>
    <w:pitch w:val="default"/>
    <w:sig w:usb0="00000001" w:usb1="08000000" w:usb2="00000000" w:usb3="00000000" w:csb0="00040000" w:csb1="00000000"/>
    <w:embedRegular r:id="rId3" w:fontKey="{9CE5A701-B3C0-4AB7-8884-6AFCBFFA14C3}"/>
  </w:font>
  <w:font w:name="仿宋_GB2312">
    <w:panose1 w:val="02010609030101010101"/>
    <w:charset w:val="86"/>
    <w:family w:val="auto"/>
    <w:pitch w:val="default"/>
    <w:sig w:usb0="00000001" w:usb1="080E0000" w:usb2="00000000" w:usb3="00000000" w:csb0="00040000" w:csb1="00000000"/>
    <w:embedRegular r:id="rId4" w:fontKey="{33D1C37B-4CCC-478E-829F-B22F71BB21F4}"/>
  </w:font>
  <w:font w:name="微软雅黑">
    <w:panose1 w:val="020B0503020204020204"/>
    <w:charset w:val="86"/>
    <w:family w:val="auto"/>
    <w:pitch w:val="default"/>
    <w:sig w:usb0="80000287" w:usb1="2ACF3C50" w:usb2="00000016" w:usb3="00000000" w:csb0="0004001F" w:csb1="00000000"/>
    <w:embedRegular r:id="rId5" w:fontKey="{F1CF3235-AF15-4A3F-A485-9E809DD580D7}"/>
  </w:font>
  <w:font w:name="楷体_GB2312">
    <w:panose1 w:val="02010609030101010101"/>
    <w:charset w:val="86"/>
    <w:family w:val="modern"/>
    <w:pitch w:val="default"/>
    <w:sig w:usb0="00000001" w:usb1="080E0000" w:usb2="00000000" w:usb3="00000000" w:csb0="00040000" w:csb1="00000000"/>
    <w:embedRegular r:id="rId6" w:fontKey="{EBDD928A-9F47-447E-BD06-3D61628D4C02}"/>
  </w:font>
  <w:font w:name="楷体">
    <w:panose1 w:val="02010609060101010101"/>
    <w:charset w:val="86"/>
    <w:family w:val="modern"/>
    <w:pitch w:val="default"/>
    <w:sig w:usb0="800002BF" w:usb1="38CF7CFA" w:usb2="00000016" w:usb3="00000000" w:csb0="00040001" w:csb1="00000000"/>
    <w:embedRegular r:id="rId7" w:fontKey="{ABB60FBE-F7EA-413A-81B9-5FF8F47A06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5D960CC0"/>
    <w:multiLevelType w:val="singleLevel"/>
    <w:tmpl w:val="5D960CC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NjJjYWRiZWYzY2ViZDcxMWU0YjhkNjE4ZmUzZjEifQ=="/>
  </w:docVars>
  <w:rsids>
    <w:rsidRoot w:val="30807B4B"/>
    <w:rsid w:val="00442DB0"/>
    <w:rsid w:val="03386417"/>
    <w:rsid w:val="036F24AE"/>
    <w:rsid w:val="05D85E3B"/>
    <w:rsid w:val="05E4647C"/>
    <w:rsid w:val="0ABA6173"/>
    <w:rsid w:val="0AE80091"/>
    <w:rsid w:val="0B9064BE"/>
    <w:rsid w:val="0C082AAD"/>
    <w:rsid w:val="0CC11C92"/>
    <w:rsid w:val="0E36675F"/>
    <w:rsid w:val="0F071AFE"/>
    <w:rsid w:val="11205883"/>
    <w:rsid w:val="13002EED"/>
    <w:rsid w:val="134E798B"/>
    <w:rsid w:val="14A80DA5"/>
    <w:rsid w:val="17D26A70"/>
    <w:rsid w:val="1A480B71"/>
    <w:rsid w:val="1A7D285E"/>
    <w:rsid w:val="1B2C1A76"/>
    <w:rsid w:val="1B543C65"/>
    <w:rsid w:val="1DBF0083"/>
    <w:rsid w:val="1FFB0140"/>
    <w:rsid w:val="24010760"/>
    <w:rsid w:val="25315F52"/>
    <w:rsid w:val="26913541"/>
    <w:rsid w:val="299920BB"/>
    <w:rsid w:val="2BEB3657"/>
    <w:rsid w:val="2CE40508"/>
    <w:rsid w:val="2D47153F"/>
    <w:rsid w:val="2D862FF9"/>
    <w:rsid w:val="2ED871E9"/>
    <w:rsid w:val="2EFE88CF"/>
    <w:rsid w:val="30807B4B"/>
    <w:rsid w:val="31413674"/>
    <w:rsid w:val="3221404A"/>
    <w:rsid w:val="332871CB"/>
    <w:rsid w:val="33BD4470"/>
    <w:rsid w:val="34817233"/>
    <w:rsid w:val="35FF4BBD"/>
    <w:rsid w:val="385E5017"/>
    <w:rsid w:val="3967423C"/>
    <w:rsid w:val="3B546DFA"/>
    <w:rsid w:val="3BE8322F"/>
    <w:rsid w:val="3BF015BF"/>
    <w:rsid w:val="3C246C86"/>
    <w:rsid w:val="3F177636"/>
    <w:rsid w:val="3FD15EAF"/>
    <w:rsid w:val="40DD0B8E"/>
    <w:rsid w:val="42C45E14"/>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E951F9D"/>
    <w:rsid w:val="5F0C50B4"/>
    <w:rsid w:val="628544F4"/>
    <w:rsid w:val="63941218"/>
    <w:rsid w:val="661750EF"/>
    <w:rsid w:val="67201D7D"/>
    <w:rsid w:val="67384093"/>
    <w:rsid w:val="691875C8"/>
    <w:rsid w:val="6C660F51"/>
    <w:rsid w:val="6C7926D4"/>
    <w:rsid w:val="6D677B57"/>
    <w:rsid w:val="6DE128CD"/>
    <w:rsid w:val="6EAD309C"/>
    <w:rsid w:val="6FE850EB"/>
    <w:rsid w:val="73A5538B"/>
    <w:rsid w:val="74550C88"/>
    <w:rsid w:val="75432B9D"/>
    <w:rsid w:val="782567A5"/>
    <w:rsid w:val="79333E39"/>
    <w:rsid w:val="7BDB1E9F"/>
    <w:rsid w:val="7C55591F"/>
    <w:rsid w:val="7E7582A0"/>
    <w:rsid w:val="7EFB2477"/>
    <w:rsid w:val="7FFA135B"/>
    <w:rsid w:val="BBDB8C48"/>
    <w:rsid w:val="D2EAA8C3"/>
    <w:rsid w:val="D3FF1968"/>
    <w:rsid w:val="DFEB0DEA"/>
    <w:rsid w:val="DFFD9780"/>
    <w:rsid w:val="E5FD60E4"/>
    <w:rsid w:val="EB0BB7E6"/>
    <w:rsid w:val="FBD7DEC9"/>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宋体"/>
      <w:bCs/>
      <w:color w:val="auto"/>
      <w:szCs w:val="24"/>
    </w:rPr>
  </w:style>
  <w:style w:type="paragraph" w:styleId="5">
    <w:name w:val="toc 3"/>
    <w:basedOn w:val="1"/>
    <w:next w:val="1"/>
    <w:autoRedefine/>
    <w:semiHidden/>
    <w:unhideWhenUsed/>
    <w:qFormat/>
    <w:uiPriority w:val="39"/>
    <w:pPr>
      <w:ind w:left="840" w:leftChars="4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43</TotalTime>
  <ScaleCrop>false</ScaleCrop>
  <LinksUpToDate>false</LinksUpToDate>
  <CharactersWithSpaces>6343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2020-12-17T07:14:00Z</dcterms:created>
  <dc:creator>HS</dc:creator>
  <cp:lastModifiedBy>slw</cp:lastModifiedBy>
  <cp:lastPrinted>2024-01-03T18:12:00Z</cp:lastPrinted>
  <dcterms:modified xsi:type="dcterms:W3CDTF">2024-01-23T08:59:25Z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168D1A4429DF49BE85FA219A32EA4B4E_13</vt:lpwstr>
  </property>
</Properties>
</file>