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北京市通州区张家湾镇人民政府2022年</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jc w:val="left"/>
        <w:rPr>
          <w:rFonts w:ascii="仿宋_GB2312" w:hAnsi="仿宋_GB2312" w:eastAsia="仿宋_GB2312" w:cs="仿宋_GB2312"/>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仿宋_GB2312" w:eastAsia="仿宋_GB2312" w:cs="仿宋_GB2312"/>
          <w:spacing w:val="8"/>
          <w:kern w:val="0"/>
          <w:sz w:val="32"/>
          <w:szCs w:val="32"/>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pStyle w:val="2"/>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2022年，我镇结合《通州区2022年政务公开工作要点》，认真贯彻落实区政府文件要求，从组织领导、机制构建、渠道拓展、方法创新等方面扎实推进主动公开和依申请公开等相关工作，充分保证依法公开政务活动及其信息，扩大公众参与。现向社会公布张家湾镇2022年度政府信息公开工作年度报告。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pStyle w:val="2"/>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（一）强化组织领导，健全信息公开工作机制</w:t>
      </w:r>
    </w:p>
    <w:p>
      <w:pPr>
        <w:pStyle w:val="2"/>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进一步做好政府信息公开工作，镇政府不断建立健全信息公开工作机制。完善主动公开逐级审核制度，通过“公开前审查+公开后监督”的闭环管理机制，充分保证政府信息的准确性。优化依申请公开的审批流程，由业务科室、业务分管领导、信息公开主管领导逐级审阅，对重点领域、敏感信息的依申请公开内容层层把关，严格审查。强化细节管理，针对依申请公开咨询电话常见问题，制定《答复指引》，便于公民、法人高效、便捷获取信息公开相关问题的答复。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（二）</w:t>
      </w:r>
      <w:r>
        <w:rPr>
          <w:rFonts w:hint="eastAsia" w:ascii="楷体" w:hAnsi="楷体" w:eastAsia="楷体" w:cs="楷体"/>
          <w:sz w:val="32"/>
          <w:szCs w:val="32"/>
        </w:rPr>
        <w:t>拓宽政务信息公开渠道，提升服务水平</w:t>
      </w:r>
    </w:p>
    <w:p>
      <w:pPr>
        <w:pStyle w:val="2"/>
        <w:spacing w:line="56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运用</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漕运古镇张家湾</w:t>
      </w:r>
      <w:r>
        <w:rPr>
          <w:rFonts w:ascii="仿宋_GB2312" w:hAnsi="宋体" w:eastAsia="仿宋_GB2312" w:cs="仿宋_GB2312"/>
          <w:color w:val="000000"/>
          <w:sz w:val="32"/>
          <w:szCs w:val="32"/>
          <w:shd w:val="clear" w:color="auto" w:fill="FFFFFF"/>
        </w:rPr>
        <w:t>”微信公众号，围绕中心工作发布政务信息，加强部门工作和政策法规宣传力度，</w:t>
      </w:r>
      <w:r>
        <w:rPr>
          <w:rFonts w:hint="eastAsia" w:ascii="仿宋_GB2312" w:hAnsi="宋体" w:eastAsia="仿宋_GB2312" w:cs="仿宋_GB2312"/>
          <w:color w:val="000000"/>
          <w:sz w:val="32"/>
          <w:szCs w:val="32"/>
          <w:shd w:val="clear" w:color="auto" w:fill="FFFFFF"/>
        </w:rPr>
        <w:t>充分保障群众的知情权。2022年，我镇开发上线“湾事通”小程序，设置“政务服务”模块，就群众所关心的社保、医疗卫生、住房保障等信息予以公示，方便群众了解各类政务公开事项。开展以“民有所需、我有所应”为主题的“政府开放日”活动，现场解答群众关注的热点问题，加强政民信息沟通。</w:t>
      </w:r>
    </w:p>
    <w:p>
      <w:pPr>
        <w:pStyle w:val="2"/>
        <w:spacing w:line="560" w:lineRule="exact"/>
        <w:ind w:firstLine="672" w:firstLineChars="200"/>
        <w:jc w:val="left"/>
        <w:rPr>
          <w:rFonts w:ascii="楷体" w:hAnsi="楷体" w:eastAsia="楷体" w:cs="楷体"/>
          <w:sz w:val="32"/>
          <w:szCs w:val="32"/>
        </w:rPr>
      </w:pPr>
      <w:r>
        <w:rPr>
          <w:rFonts w:hint="eastAsia" w:ascii="楷体" w:hAnsi="楷体" w:eastAsia="楷体" w:cs="楷体"/>
          <w:color w:val="222222"/>
          <w:spacing w:val="8"/>
          <w:sz w:val="32"/>
          <w:szCs w:val="32"/>
          <w:shd w:val="clear" w:color="auto" w:fill="FFFFFF"/>
        </w:rPr>
        <w:t>（三）创新工作方法，多元共治破解信息公开难题</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2022年，我镇成立一核多元共治中心，通过多部门、多主体联动方式解决基层治理难题。依托“联席会商工作机制”，信息公开办将依申请公开问题上报到共治中心，对该问题进行研判会商，由村委会、律师、相关业务科室等共同参与申请人“面对面”沟通，逐一明确申请事项涉及的政策及答复依据，避免了“信息不对称”导致的答复不满意。通过“多元参与”的方式，有效化解了4件依申请公开难题，从源头上避免依申请公开引发的诉讼或行政复议，大大提升了群众对依申请公开工作的满意度。</w:t>
      </w:r>
    </w:p>
    <w:p>
      <w:pPr>
        <w:spacing w:line="560" w:lineRule="exact"/>
        <w:ind w:left="840"/>
        <w:rPr>
          <w:rFonts w:ascii="黑体" w:hAnsi="黑体" w:eastAsia="黑体" w:cs="黑体"/>
        </w:rPr>
      </w:pPr>
      <w:r>
        <w:rPr>
          <w:rFonts w:hint="eastAsia" w:ascii="黑体" w:hAnsi="黑体" w:eastAsia="黑体" w:cs="黑体"/>
          <w:sz w:val="32"/>
          <w:szCs w:val="32"/>
        </w:rPr>
        <w:t>二、主动公开政府信息情况</w:t>
      </w:r>
    </w:p>
    <w:p>
      <w:pPr>
        <w:pStyle w:val="2"/>
        <w:spacing w:line="560" w:lineRule="exact"/>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1625</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spacing w:line="560" w:lineRule="exact"/>
              <w:jc w:val="center"/>
              <w:rPr>
                <w:rFonts w:ascii="宋体"/>
                <w:sz w:val="24"/>
              </w:rPr>
            </w:pPr>
            <w:r>
              <w:rPr>
                <w:rFonts w:hint="eastAsia" w:ascii="宋体"/>
                <w:sz w:val="24"/>
              </w:rPr>
              <w:t>0</w:t>
            </w:r>
          </w:p>
        </w:tc>
      </w:tr>
    </w:tbl>
    <w:p>
      <w:pPr>
        <w:pStyle w:val="2"/>
        <w:spacing w:line="560" w:lineRule="exact"/>
      </w:pPr>
    </w:p>
    <w:p>
      <w:pPr>
        <w:spacing w:line="560" w:lineRule="exact"/>
        <w:ind w:left="84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5"/>
        <w:shd w:val="clear" w:color="auto" w:fill="FFFFFF"/>
        <w:spacing w:before="0" w:beforeAutospacing="0" w:after="0" w:afterAutospacing="0" w:line="560" w:lineRule="exact"/>
        <w:ind w:firstLine="420"/>
        <w:jc w:val="both"/>
        <w:rPr>
          <w:rFonts w:hint="default"/>
          <w:color w:val="333333"/>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spacing w:line="560" w:lineRule="exact"/>
              <w:rPr>
                <w:rFonts w:ascii="宋体"/>
                <w:sz w:val="24"/>
              </w:rPr>
            </w:pPr>
          </w:p>
        </w:tc>
        <w:tc>
          <w:tcPr>
            <w:tcW w:w="691"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spacing w:line="560" w:lineRule="exact"/>
              <w:rPr>
                <w:rFonts w:ascii="宋体"/>
                <w:sz w:val="24"/>
              </w:rPr>
            </w:pPr>
          </w:p>
        </w:tc>
        <w:tc>
          <w:tcPr>
            <w:tcW w:w="691"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spacing w:line="560" w:lineRule="exact"/>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spacing w:line="56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30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12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14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pStyle w:val="2"/>
              <w:spacing w:line="560" w:lineRule="exact"/>
              <w:jc w:val="center"/>
            </w:pPr>
            <w:r>
              <w:rPr>
                <w:rFonts w:hint="eastAsia"/>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10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outset"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6"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spacing w:line="560" w:lineRule="exact"/>
              <w:rPr>
                <w:rFonts w:ascii="宋体"/>
                <w:sz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lang w:val="en-US" w:eastAsia="zh-CN"/>
              </w:rPr>
              <w:t>3</w:t>
            </w: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10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cs="Calibri"/>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spacing w:line="560" w:lineRule="exact"/>
              <w:jc w:val="center"/>
            </w:pPr>
            <w:r>
              <w:rPr>
                <w:rFonts w:hint="eastAsia"/>
              </w:rPr>
              <w:t>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2</w:t>
            </w:r>
          </w:p>
        </w:tc>
        <w:tc>
          <w:tcPr>
            <w:tcW w:w="688" w:type="dxa"/>
            <w:tcBorders>
              <w:top w:val="outset" w:color="auto" w:sz="6" w:space="0"/>
              <w:left w:val="nil"/>
              <w:bottom w:val="outset" w:color="auto" w:sz="6" w:space="0"/>
              <w:right w:val="outset" w:color="auto" w:sz="6" w:space="0"/>
            </w:tcBorders>
            <w:vAlign w:val="center"/>
          </w:tcPr>
          <w:p>
            <w:pPr>
              <w:spacing w:line="560" w:lineRule="exact"/>
              <w:ind w:firstLine="240" w:firstLineChars="100"/>
              <w:jc w:val="both"/>
              <w:rPr>
                <w:rFonts w:ascii="宋体"/>
                <w:sz w:val="24"/>
              </w:rPr>
            </w:pPr>
            <w:r>
              <w:rPr>
                <w:rFonts w:hint="eastAsia" w:ascii="宋体"/>
                <w:sz w:val="24"/>
              </w:rPr>
              <w:t>2</w:t>
            </w:r>
          </w:p>
        </w:tc>
        <w:tc>
          <w:tcPr>
            <w:tcW w:w="688" w:type="dxa"/>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spacing w:line="560" w:lineRule="exact"/>
              <w:jc w:val="center"/>
              <w:rPr>
                <w:rFonts w:ascii="宋体"/>
                <w:sz w:val="24"/>
              </w:rPr>
            </w:pPr>
            <w:r>
              <w:rPr>
                <w:rFonts w:hint="eastAsia" w:ascii="宋体"/>
                <w:sz w:val="24"/>
              </w:rPr>
              <w:t>4</w:t>
            </w:r>
          </w:p>
        </w:tc>
      </w:tr>
    </w:tbl>
    <w:p>
      <w:pPr>
        <w:pStyle w:val="2"/>
        <w:spacing w:line="560" w:lineRule="exact"/>
        <w:ind w:left="420" w:leftChars="200"/>
      </w:pPr>
    </w:p>
    <w:p>
      <w:pPr>
        <w:pStyle w:val="2"/>
        <w:spacing w:line="560" w:lineRule="exact"/>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7"/>
        <w:tblW w:w="93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0"/>
        <w:gridCol w:w="620"/>
        <w:gridCol w:w="620"/>
        <w:gridCol w:w="620"/>
        <w:gridCol w:w="622"/>
        <w:gridCol w:w="620"/>
        <w:gridCol w:w="620"/>
        <w:gridCol w:w="621"/>
        <w:gridCol w:w="621"/>
        <w:gridCol w:w="623"/>
        <w:gridCol w:w="622"/>
        <w:gridCol w:w="622"/>
        <w:gridCol w:w="622"/>
        <w:gridCol w:w="622"/>
        <w:gridCol w:w="6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3102"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217"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6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spacing w:line="560" w:lineRule="exact"/>
              <w:jc w:val="center"/>
            </w:pPr>
            <w:r>
              <w:rPr>
                <w:rFonts w:hint="eastAsia" w:ascii="宋体" w:hAnsi="宋体" w:cs="宋体"/>
                <w:kern w:val="0"/>
                <w:sz w:val="20"/>
                <w:szCs w:val="20"/>
                <w:lang w:bidi="ar"/>
              </w:rPr>
              <w:t>纠正</w:t>
            </w:r>
          </w:p>
        </w:tc>
        <w:tc>
          <w:tcPr>
            <w:tcW w:w="62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spacing w:line="560" w:lineRule="exact"/>
              <w:jc w:val="center"/>
            </w:pPr>
            <w:r>
              <w:rPr>
                <w:rFonts w:hint="eastAsia" w:ascii="宋体" w:hAnsi="宋体" w:cs="宋体"/>
                <w:kern w:val="0"/>
                <w:sz w:val="20"/>
                <w:szCs w:val="20"/>
                <w:lang w:bidi="ar"/>
              </w:rPr>
              <w:t>结果</w:t>
            </w:r>
          </w:p>
        </w:tc>
        <w:tc>
          <w:tcPr>
            <w:tcW w:w="62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spacing w:line="560" w:lineRule="exact"/>
              <w:jc w:val="center"/>
            </w:pPr>
            <w:r>
              <w:rPr>
                <w:rFonts w:hint="eastAsia" w:ascii="宋体" w:hAnsi="宋体" w:cs="宋体"/>
                <w:kern w:val="0"/>
                <w:sz w:val="20"/>
                <w:szCs w:val="20"/>
                <w:lang w:bidi="ar"/>
              </w:rPr>
              <w:t>审结</w:t>
            </w:r>
          </w:p>
        </w:tc>
        <w:tc>
          <w:tcPr>
            <w:tcW w:w="62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10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112"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9" w:hRule="atLeast"/>
          <w:jc w:val="center"/>
        </w:trPr>
        <w:tc>
          <w:tcPr>
            <w:tcW w:w="62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2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2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spacing w:line="560" w:lineRule="exact"/>
              <w:jc w:val="center"/>
            </w:pPr>
            <w:r>
              <w:rPr>
                <w:rFonts w:hint="eastAsia" w:ascii="宋体" w:hAnsi="宋体" w:cs="宋体"/>
                <w:kern w:val="0"/>
                <w:sz w:val="20"/>
                <w:szCs w:val="20"/>
                <w:lang w:bidi="ar"/>
              </w:rPr>
              <w:t>维持</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spacing w:line="560" w:lineRule="exact"/>
              <w:jc w:val="center"/>
            </w:pPr>
            <w:r>
              <w:rPr>
                <w:rFonts w:hint="eastAsia" w:ascii="宋体" w:hAnsi="宋体" w:cs="宋体"/>
                <w:kern w:val="0"/>
                <w:sz w:val="20"/>
                <w:szCs w:val="20"/>
                <w:lang w:bidi="ar"/>
              </w:rPr>
              <w:t>纠正</w:t>
            </w:r>
          </w:p>
        </w:tc>
        <w:tc>
          <w:tcPr>
            <w:tcW w:w="62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其他</w:t>
            </w:r>
          </w:p>
          <w:p>
            <w:pPr>
              <w:widowControl/>
              <w:spacing w:line="560" w:lineRule="exact"/>
              <w:jc w:val="center"/>
            </w:pPr>
            <w:r>
              <w:rPr>
                <w:rFonts w:hint="eastAsia" w:ascii="宋体" w:hAnsi="宋体" w:cs="宋体"/>
                <w:kern w:val="0"/>
                <w:sz w:val="20"/>
                <w:szCs w:val="20"/>
                <w:lang w:bidi="ar"/>
              </w:rPr>
              <w:t>结果</w:t>
            </w:r>
          </w:p>
        </w:tc>
        <w:tc>
          <w:tcPr>
            <w:tcW w:w="62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spacing w:line="560" w:lineRule="exact"/>
              <w:jc w:val="center"/>
            </w:pPr>
            <w:r>
              <w:rPr>
                <w:rFonts w:hint="eastAsia" w:ascii="宋体" w:hAnsi="宋体" w:cs="宋体"/>
                <w:kern w:val="0"/>
                <w:sz w:val="20"/>
                <w:szCs w:val="20"/>
                <w:lang w:bidi="ar"/>
              </w:rPr>
              <w:t>审结</w:t>
            </w:r>
          </w:p>
        </w:tc>
        <w:tc>
          <w:tcPr>
            <w:tcW w:w="62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2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spacing w:line="560" w:lineRule="exact"/>
              <w:jc w:val="center"/>
            </w:pPr>
            <w:r>
              <w:rPr>
                <w:rFonts w:hint="eastAsia" w:ascii="宋体" w:hAnsi="宋体" w:cs="宋体"/>
                <w:kern w:val="0"/>
                <w:sz w:val="20"/>
                <w:szCs w:val="20"/>
                <w:lang w:bidi="ar"/>
              </w:rPr>
              <w:t>维持</w:t>
            </w:r>
          </w:p>
        </w:tc>
        <w:tc>
          <w:tcPr>
            <w:tcW w:w="62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结果</w:t>
            </w:r>
          </w:p>
          <w:p>
            <w:pPr>
              <w:widowControl/>
              <w:spacing w:line="560" w:lineRule="exact"/>
              <w:jc w:val="center"/>
            </w:pPr>
            <w:r>
              <w:rPr>
                <w:rFonts w:hint="eastAsia" w:ascii="宋体" w:hAnsi="宋体" w:cs="宋体"/>
                <w:kern w:val="0"/>
                <w:sz w:val="20"/>
                <w:szCs w:val="20"/>
                <w:lang w:bidi="ar"/>
              </w:rPr>
              <w:t>纠正</w:t>
            </w:r>
          </w:p>
        </w:tc>
        <w:tc>
          <w:tcPr>
            <w:tcW w:w="62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spacing w:line="560" w:lineRule="exact"/>
              <w:jc w:val="center"/>
            </w:pPr>
            <w:r>
              <w:rPr>
                <w:rFonts w:hint="eastAsia" w:ascii="宋体" w:hAnsi="宋体" w:cs="宋体"/>
                <w:color w:val="000000"/>
                <w:kern w:val="0"/>
                <w:sz w:val="20"/>
                <w:szCs w:val="20"/>
                <w:lang w:bidi="ar"/>
              </w:rPr>
              <w:t>结果</w:t>
            </w:r>
          </w:p>
        </w:tc>
        <w:tc>
          <w:tcPr>
            <w:tcW w:w="62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尚未</w:t>
            </w:r>
          </w:p>
          <w:p>
            <w:pPr>
              <w:widowControl/>
              <w:spacing w:line="560" w:lineRule="exact"/>
              <w:jc w:val="center"/>
            </w:pPr>
            <w:r>
              <w:rPr>
                <w:rFonts w:hint="eastAsia" w:ascii="宋体" w:hAnsi="宋体" w:cs="宋体"/>
                <w:kern w:val="0"/>
                <w:sz w:val="20"/>
                <w:szCs w:val="20"/>
                <w:lang w:bidi="ar"/>
              </w:rPr>
              <w:t>审结</w:t>
            </w:r>
          </w:p>
        </w:tc>
        <w:tc>
          <w:tcPr>
            <w:tcW w:w="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atLeast"/>
          <w:jc w:val="center"/>
        </w:trPr>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2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r>
              <w:rPr>
                <w:rFonts w:ascii="黑体" w:hAnsi="宋体" w:eastAsia="黑体" w:cs="黑体"/>
                <w:kern w:val="0"/>
                <w:sz w:val="20"/>
                <w:szCs w:val="20"/>
                <w:lang w:bidi="ar"/>
              </w:rPr>
              <w:t> </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eastAsia="黑体"/>
              </w:rP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rPr>
                <w:rFonts w:eastAsia="黑体"/>
              </w:rP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hint="eastAsia"/>
              </w:rPr>
              <w:t>1</w:t>
            </w:r>
          </w:p>
        </w:tc>
        <w:tc>
          <w:tcPr>
            <w:tcW w:w="62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560" w:lineRule="exact"/>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24" w:type="dxa"/>
            <w:tcBorders>
              <w:top w:val="nil"/>
              <w:left w:val="single" w:color="auto" w:sz="8" w:space="0"/>
              <w:bottom w:val="single" w:color="auto" w:sz="8" w:space="0"/>
              <w:right w:val="single" w:color="auto" w:sz="8" w:space="0"/>
            </w:tcBorders>
            <w:tcMar>
              <w:left w:w="108" w:type="dxa"/>
              <w:right w:w="108" w:type="dxa"/>
            </w:tcMar>
            <w:vAlign w:val="center"/>
          </w:tcPr>
          <w:p>
            <w:pPr>
              <w:spacing w:line="560" w:lineRule="exact"/>
              <w:rPr>
                <w:rFonts w:ascii="宋体"/>
                <w:sz w:val="24"/>
              </w:rPr>
            </w:pPr>
            <w:r>
              <w:rPr>
                <w:rFonts w:hint="eastAsia" w:ascii="宋体"/>
                <w:sz w:val="24"/>
              </w:rPr>
              <w:t>0</w:t>
            </w:r>
          </w:p>
        </w:tc>
      </w:tr>
    </w:tbl>
    <w:p>
      <w:pPr>
        <w:widowControl/>
        <w:spacing w:line="560" w:lineRule="exact"/>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pStyle w:val="2"/>
        <w:spacing w:line="560" w:lineRule="exact"/>
        <w:ind w:firstLine="210" w:firstLineChars="100"/>
        <w:jc w:val="left"/>
        <w:rPr>
          <w:rFonts w:ascii="仿宋_GB2312" w:hAnsi="仿宋_GB2312" w:eastAsia="楷体" w:cs="仿宋_GB2312"/>
          <w:sz w:val="32"/>
          <w:szCs w:val="32"/>
        </w:rPr>
      </w:pPr>
      <w:r>
        <w:t xml:space="preserve"> </w:t>
      </w:r>
      <w:r>
        <w:rPr>
          <w:rFonts w:hint="eastAsia" w:ascii="楷体" w:hAnsi="楷体" w:eastAsia="楷体" w:cs="楷体"/>
          <w:sz w:val="32"/>
          <w:szCs w:val="32"/>
        </w:rPr>
        <w:t>（一）存在的主要问题</w:t>
      </w:r>
    </w:p>
    <w:p>
      <w:pPr>
        <w:pStyle w:val="5"/>
        <w:shd w:val="clear" w:color="auto" w:fill="FFFFFF"/>
        <w:spacing w:before="0" w:beforeAutospacing="0" w:after="0" w:afterAutospacing="0" w:line="560" w:lineRule="exact"/>
        <w:ind w:firstLine="640"/>
        <w:jc w:val="both"/>
        <w:rPr>
          <w:rFonts w:hint="default" w:ascii="仿宋_GB2312" w:hAnsi="微软雅黑" w:eastAsia="仿宋_GB2312" w:cs="仿宋_GB2312"/>
          <w:sz w:val="32"/>
          <w:szCs w:val="32"/>
          <w:shd w:val="clear" w:color="auto" w:fill="FFFFFF"/>
          <w:lang w:bidi="ar"/>
        </w:rPr>
      </w:pPr>
      <w:r>
        <w:rPr>
          <w:rFonts w:ascii="仿宋_GB2312" w:hAnsi="仿宋_GB2312" w:eastAsia="仿宋_GB2312" w:cs="仿宋_GB2312"/>
          <w:sz w:val="32"/>
          <w:szCs w:val="32"/>
        </w:rPr>
        <w:t>2022年政府信息公开申请呈现出数量多、内容繁杂、历史遗留问题多等特点，依申请公开的数量和特点一定程度上反映出镇政府作出行政行为的过程中对于相关信息的公开内容不够全面、及时。一是</w:t>
      </w:r>
      <w:r>
        <w:rPr>
          <w:rFonts w:ascii="仿宋_GB2312" w:hAnsi="微软雅黑" w:eastAsia="仿宋_GB2312" w:cs="仿宋_GB2312"/>
          <w:sz w:val="32"/>
          <w:szCs w:val="32"/>
          <w:shd w:val="clear" w:color="auto" w:fill="FFFFFF"/>
          <w:lang w:bidi="ar"/>
        </w:rPr>
        <w:t>对重点领域政府信息公开深度有待进一步加强。二是政府信息公开工作队伍能力建设有待进一步提升。</w:t>
      </w:r>
    </w:p>
    <w:p>
      <w:pPr>
        <w:pStyle w:val="2"/>
        <w:spacing w:line="560" w:lineRule="exact"/>
        <w:ind w:firstLine="640" w:firstLineChars="200"/>
        <w:jc w:val="left"/>
        <w:rPr>
          <w:rFonts w:ascii="仿宋_GB2312" w:hAnsi="仿宋_GB2312" w:eastAsia="楷体" w:cs="仿宋_GB2312"/>
          <w:sz w:val="32"/>
          <w:szCs w:val="32"/>
        </w:rPr>
      </w:pPr>
      <w:r>
        <w:rPr>
          <w:rFonts w:hint="eastAsia" w:ascii="楷体" w:hAnsi="楷体" w:eastAsia="楷体" w:cs="楷体"/>
          <w:sz w:val="32"/>
          <w:szCs w:val="32"/>
        </w:rPr>
        <w:t>（二）改进措施</w:t>
      </w:r>
    </w:p>
    <w:p>
      <w:pPr>
        <w:pStyle w:val="5"/>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2023年我镇将继续推进政府信息公开工作有序开展，从以下几个方面进行改进：</w:t>
      </w:r>
    </w:p>
    <w:p>
      <w:pPr>
        <w:pStyle w:val="5"/>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一是加大推进权责清单、就业创业、社会救助等重点领域信息公开力度，通过政府网站、公众号平台等进行发布，切实提升公开质量和实效，更好地服务经济社会发展和民生改善。</w:t>
      </w:r>
    </w:p>
    <w:p>
      <w:pPr>
        <w:pStyle w:val="5"/>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二是增加政府信息公开工作人员数量，加强队伍建设。通过法律顾问的专业指导，提高政府信息公开队伍的专业化、法治化水平。</w:t>
      </w:r>
    </w:p>
    <w:p>
      <w:pPr>
        <w:pStyle w:val="5"/>
        <w:shd w:val="clear" w:color="auto" w:fill="FFFFFF"/>
        <w:spacing w:before="0" w:beforeAutospacing="0" w:after="0" w:afterAutospacing="0" w:line="560" w:lineRule="exact"/>
        <w:ind w:firstLine="64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三是强化政府信息公开理念，加强信息公开人员业务培训。政府信息的检索工作以完备的档案管理为基础，通过档案管理培训、政府信息公开工作流程培训等，提高政府信息公开工作的能力和水平。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根据《政府信息公开信息处理费管理办法》（国办函〔2020〕109号），2022年度本单位收取信息处理费情况为：发出收费通知的件数为0件，总金额为0元，实际收取的总金额为0元。</w:t>
      </w:r>
    </w:p>
    <w:p>
      <w:pPr>
        <w:widowControl/>
        <w:spacing w:line="560" w:lineRule="exact"/>
        <w:ind w:firstLine="67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0"/>
          <w:sz w:val="32"/>
          <w:szCs w:val="32"/>
          <w:lang w:val="en-US" w:eastAsia="zh-CN"/>
        </w:rPr>
        <w:t>北京市通州区人民政府网站网址为</w:t>
      </w:r>
      <w:r>
        <w:rPr>
          <w:rFonts w:hint="eastAsia" w:ascii="仿宋_GB2312" w:hAnsi="仿宋_GB2312" w:eastAsia="仿宋_GB2312" w:cs="仿宋_GB2312"/>
          <w:spacing w:val="-23"/>
          <w:sz w:val="32"/>
          <w:szCs w:val="32"/>
          <w:lang w:val="en-US" w:eastAsia="zh-CN"/>
        </w:rPr>
        <w:t>http://www.bjtzh.gov.cn/</w:t>
      </w:r>
      <w:r>
        <w:rPr>
          <w:rFonts w:hint="eastAsia" w:ascii="仿宋_GB2312" w:hAnsi="仿宋_GB2312" w:eastAsia="仿宋_GB2312" w:cs="仿宋_GB2312"/>
          <w:sz w:val="32"/>
          <w:szCs w:val="32"/>
          <w:lang w:val="en-US" w:eastAsia="zh-CN"/>
        </w:rPr>
        <w:t>，如需了解更多政府信息，请登录查询。</w:t>
      </w:r>
      <w:bookmarkStart w:id="0" w:name="_GoBack"/>
      <w:bookmarkEnd w:id="0"/>
    </w:p>
    <w:p>
      <w:pPr>
        <w:pStyle w:val="2"/>
        <w:spacing w:line="560" w:lineRule="exact"/>
        <w:ind w:firstLine="672"/>
      </w:pPr>
    </w:p>
    <w:p>
      <w:pPr>
        <w:pStyle w:val="2"/>
        <w:spacing w:line="560" w:lineRule="exact"/>
        <w:ind w:firstLine="672"/>
      </w:pPr>
    </w:p>
    <w:p>
      <w:pPr>
        <w:pStyle w:val="2"/>
        <w:spacing w:line="560" w:lineRule="exact"/>
        <w:ind w:firstLine="672"/>
      </w:pPr>
      <w:r>
        <w:rPr>
          <w:rFonts w:hint="eastAsia"/>
        </w:rPr>
        <w:t xml:space="preserve">                                      </w:t>
      </w:r>
    </w:p>
    <w:p>
      <w:pPr>
        <w:pStyle w:val="2"/>
        <w:spacing w:line="560" w:lineRule="exact"/>
        <w:ind w:firstLine="672"/>
      </w:pPr>
    </w:p>
    <w:p>
      <w:pPr>
        <w:pStyle w:val="2"/>
        <w:spacing w:line="560" w:lineRule="exact"/>
        <w:ind w:firstLine="672"/>
      </w:pPr>
    </w:p>
    <w:p>
      <w:pPr>
        <w:pStyle w:val="2"/>
        <w:spacing w:line="560" w:lineRule="exact"/>
        <w:ind w:firstLine="672"/>
      </w:pPr>
    </w:p>
    <w:p>
      <w:pPr>
        <w:pStyle w:val="2"/>
        <w:spacing w:line="560" w:lineRule="exact"/>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820B"/>
    <w:multiLevelType w:val="singleLevel"/>
    <w:tmpl w:val="D93E82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 w:name="KSO_WPS_MARK_KEY" w:val="9ee568d3-c9b1-4bd0-a7e6-0f66a8f17020"/>
  </w:docVars>
  <w:rsids>
    <w:rsidRoot w:val="3883458E"/>
    <w:rsid w:val="00263458"/>
    <w:rsid w:val="003F417C"/>
    <w:rsid w:val="006936AD"/>
    <w:rsid w:val="006B1C2E"/>
    <w:rsid w:val="00A52B08"/>
    <w:rsid w:val="00EE5370"/>
    <w:rsid w:val="00EE598B"/>
    <w:rsid w:val="027F6AB2"/>
    <w:rsid w:val="03457CFC"/>
    <w:rsid w:val="038F71C9"/>
    <w:rsid w:val="042C2C6A"/>
    <w:rsid w:val="0486237A"/>
    <w:rsid w:val="049D2206"/>
    <w:rsid w:val="054F6C10"/>
    <w:rsid w:val="06767977"/>
    <w:rsid w:val="068E19BA"/>
    <w:rsid w:val="06915006"/>
    <w:rsid w:val="06A82D0D"/>
    <w:rsid w:val="071C0D73"/>
    <w:rsid w:val="074B78AB"/>
    <w:rsid w:val="07B23486"/>
    <w:rsid w:val="07D94EB6"/>
    <w:rsid w:val="07FB307F"/>
    <w:rsid w:val="08C07E24"/>
    <w:rsid w:val="09502CA9"/>
    <w:rsid w:val="09E638BB"/>
    <w:rsid w:val="0B6C7DF0"/>
    <w:rsid w:val="0CC80BC8"/>
    <w:rsid w:val="0CF734F8"/>
    <w:rsid w:val="0D2941EA"/>
    <w:rsid w:val="0DCB704F"/>
    <w:rsid w:val="0E0D7668"/>
    <w:rsid w:val="0ED32660"/>
    <w:rsid w:val="10AC3EE9"/>
    <w:rsid w:val="1283439D"/>
    <w:rsid w:val="12D9220E"/>
    <w:rsid w:val="13D749A0"/>
    <w:rsid w:val="14854EEF"/>
    <w:rsid w:val="154047C7"/>
    <w:rsid w:val="15875F52"/>
    <w:rsid w:val="16157A01"/>
    <w:rsid w:val="17795D6E"/>
    <w:rsid w:val="190D676E"/>
    <w:rsid w:val="192D5062"/>
    <w:rsid w:val="1A8E38DF"/>
    <w:rsid w:val="1ACE017F"/>
    <w:rsid w:val="1ACE4623"/>
    <w:rsid w:val="1B344993"/>
    <w:rsid w:val="1B860A5A"/>
    <w:rsid w:val="1DFB572F"/>
    <w:rsid w:val="1EB71856"/>
    <w:rsid w:val="1F6966C8"/>
    <w:rsid w:val="21374CD0"/>
    <w:rsid w:val="229E2B2D"/>
    <w:rsid w:val="262010F0"/>
    <w:rsid w:val="27257164"/>
    <w:rsid w:val="27D17500"/>
    <w:rsid w:val="27F60D15"/>
    <w:rsid w:val="294F4B81"/>
    <w:rsid w:val="296A19BB"/>
    <w:rsid w:val="29D532D8"/>
    <w:rsid w:val="2B255B99"/>
    <w:rsid w:val="2CA3146B"/>
    <w:rsid w:val="2DA07759"/>
    <w:rsid w:val="2ED50566"/>
    <w:rsid w:val="322A618B"/>
    <w:rsid w:val="32737144"/>
    <w:rsid w:val="32957AA8"/>
    <w:rsid w:val="34A915E9"/>
    <w:rsid w:val="367774C5"/>
    <w:rsid w:val="3693384A"/>
    <w:rsid w:val="37E961A0"/>
    <w:rsid w:val="385C4BC4"/>
    <w:rsid w:val="387D67DD"/>
    <w:rsid w:val="3883458E"/>
    <w:rsid w:val="38BD5663"/>
    <w:rsid w:val="393D67A4"/>
    <w:rsid w:val="396C0E37"/>
    <w:rsid w:val="3B1D063B"/>
    <w:rsid w:val="3B842468"/>
    <w:rsid w:val="3CDC62D4"/>
    <w:rsid w:val="3D2D6B2F"/>
    <w:rsid w:val="3E5C400E"/>
    <w:rsid w:val="3FDB0AC5"/>
    <w:rsid w:val="406960D0"/>
    <w:rsid w:val="41636FC4"/>
    <w:rsid w:val="42644DA1"/>
    <w:rsid w:val="42C35F6C"/>
    <w:rsid w:val="43664B49"/>
    <w:rsid w:val="44004F9E"/>
    <w:rsid w:val="448C05DF"/>
    <w:rsid w:val="46B4509D"/>
    <w:rsid w:val="483B47F6"/>
    <w:rsid w:val="498B2DA7"/>
    <w:rsid w:val="49D811EA"/>
    <w:rsid w:val="4A9D71DB"/>
    <w:rsid w:val="4AFF5FAF"/>
    <w:rsid w:val="4C2A0E0A"/>
    <w:rsid w:val="4C2C2DD4"/>
    <w:rsid w:val="4CE97906"/>
    <w:rsid w:val="4E21448E"/>
    <w:rsid w:val="4E9D7156"/>
    <w:rsid w:val="4FB31784"/>
    <w:rsid w:val="4FCE41A2"/>
    <w:rsid w:val="502913D8"/>
    <w:rsid w:val="503C110B"/>
    <w:rsid w:val="510734C7"/>
    <w:rsid w:val="525A7F6F"/>
    <w:rsid w:val="530D4FE1"/>
    <w:rsid w:val="539248CB"/>
    <w:rsid w:val="548A2DB9"/>
    <w:rsid w:val="54C6369A"/>
    <w:rsid w:val="55621614"/>
    <w:rsid w:val="564E3947"/>
    <w:rsid w:val="575A7E01"/>
    <w:rsid w:val="576F0018"/>
    <w:rsid w:val="59C02DAD"/>
    <w:rsid w:val="59CF2FF0"/>
    <w:rsid w:val="5ACD5782"/>
    <w:rsid w:val="5BA34735"/>
    <w:rsid w:val="5C1178F0"/>
    <w:rsid w:val="5C78796F"/>
    <w:rsid w:val="5C8A31FF"/>
    <w:rsid w:val="5CD5585F"/>
    <w:rsid w:val="5D211DB5"/>
    <w:rsid w:val="5D746599"/>
    <w:rsid w:val="5DCD7847"/>
    <w:rsid w:val="5EC338CC"/>
    <w:rsid w:val="5FCC29E1"/>
    <w:rsid w:val="60F670B5"/>
    <w:rsid w:val="62B611F1"/>
    <w:rsid w:val="63A96660"/>
    <w:rsid w:val="63EE6769"/>
    <w:rsid w:val="646A1549"/>
    <w:rsid w:val="64722EF6"/>
    <w:rsid w:val="652939D2"/>
    <w:rsid w:val="66124991"/>
    <w:rsid w:val="670E33AA"/>
    <w:rsid w:val="67A07D7A"/>
    <w:rsid w:val="67EC45A0"/>
    <w:rsid w:val="68AA4611"/>
    <w:rsid w:val="6A674B7F"/>
    <w:rsid w:val="6B4D0219"/>
    <w:rsid w:val="6B945E48"/>
    <w:rsid w:val="6C8E0AE9"/>
    <w:rsid w:val="6E2A65EF"/>
    <w:rsid w:val="6F9E7295"/>
    <w:rsid w:val="718304F0"/>
    <w:rsid w:val="71E33685"/>
    <w:rsid w:val="743135BD"/>
    <w:rsid w:val="746C7962"/>
    <w:rsid w:val="74E92D60"/>
    <w:rsid w:val="75E83018"/>
    <w:rsid w:val="76CA0970"/>
    <w:rsid w:val="76E00193"/>
    <w:rsid w:val="771147F0"/>
    <w:rsid w:val="773504DF"/>
    <w:rsid w:val="79004B1D"/>
    <w:rsid w:val="7A7237F8"/>
    <w:rsid w:val="7AB14320"/>
    <w:rsid w:val="7C330D65"/>
    <w:rsid w:val="7C352D2F"/>
    <w:rsid w:val="7D807F9D"/>
    <w:rsid w:val="7FF9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0"/>
    <w:qFormat/>
    <w:uiPriority w:val="0"/>
    <w:pPr>
      <w:jc w:val="left"/>
    </w:pPr>
  </w:style>
  <w:style w:type="paragraph" w:styleId="4">
    <w:name w:val="Balloon Text"/>
    <w:basedOn w:val="1"/>
    <w:link w:val="12"/>
    <w:uiPriority w:val="0"/>
    <w:rPr>
      <w:sz w:val="18"/>
      <w:szCs w:val="18"/>
    </w:rPr>
  </w:style>
  <w:style w:type="paragraph" w:styleId="5">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6">
    <w:name w:val="annotation subject"/>
    <w:basedOn w:val="3"/>
    <w:next w:val="3"/>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3"/>
    <w:qFormat/>
    <w:uiPriority w:val="0"/>
    <w:rPr>
      <w:rFonts w:ascii="Calibri" w:hAnsi="Calibri" w:eastAsia="宋体" w:cs="Times New Roman"/>
      <w:kern w:val="2"/>
      <w:sz w:val="21"/>
      <w:szCs w:val="24"/>
    </w:rPr>
  </w:style>
  <w:style w:type="character" w:customStyle="1" w:styleId="11">
    <w:name w:val="批注主题 Char"/>
    <w:basedOn w:val="10"/>
    <w:link w:val="6"/>
    <w:qFormat/>
    <w:uiPriority w:val="0"/>
    <w:rPr>
      <w:rFonts w:ascii="Calibri" w:hAnsi="Calibri" w:eastAsia="宋体" w:cs="Times New Roman"/>
      <w:b/>
      <w:bCs/>
      <w:kern w:val="2"/>
      <w:sz w:val="21"/>
      <w:szCs w:val="24"/>
    </w:rPr>
  </w:style>
  <w:style w:type="character" w:customStyle="1" w:styleId="12">
    <w:name w:val="批注框文本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442</Words>
  <Characters>2522</Characters>
  <Lines>21</Lines>
  <Paragraphs>5</Paragraphs>
  <TotalTime>10</TotalTime>
  <ScaleCrop>false</ScaleCrop>
  <LinksUpToDate>false</LinksUpToDate>
  <CharactersWithSpaces>2959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2022-01-06T01:51:00Z</dcterms:created>
  <dc:creator>Administrator</dc:creator>
  <cp:lastModifiedBy>peng</cp:lastModifiedBy>
  <dcterms:modified xsi:type="dcterms:W3CDTF">2023-01-09T09:45:38Z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C1F1854A5244468092C0BA705305E894</vt:lpwstr>
  </property>
</Properties>
</file>