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520" w:lineRule="exact"/>
        <w:jc w:val="center"/>
        <w:rPr>
          <w:rFonts w:ascii="方正小标宋简体" w:hAnsi="华文中宋" w:eastAsia="方正小标宋简体" w:cs="黑体"/>
          <w:b/>
          <w:sz w:val="44"/>
          <w:szCs w:val="44"/>
          <w:lang w:val="en-US"/>
        </w:rPr>
      </w:pPr>
      <w:r>
        <w:rPr>
          <w:rFonts w:hint="eastAsia" w:ascii="方正小标宋简体" w:hAnsi="华文中宋" w:eastAsia="方正小标宋简体" w:cs="黑体"/>
          <w:b/>
          <w:sz w:val="44"/>
          <w:szCs w:val="44"/>
          <w:lang w:val="en-US"/>
        </w:rPr>
        <w:t>中关村科技园区通州园管理委员会2022年</w:t>
      </w:r>
    </w:p>
    <w:p>
      <w:pPr>
        <w:pStyle w:val="16"/>
        <w:spacing w:line="520" w:lineRule="exact"/>
        <w:jc w:val="center"/>
        <w:rPr>
          <w:rFonts w:ascii="方正小标宋简体" w:hAnsi="华文中宋" w:eastAsia="方正小标宋简体" w:cs="黑体"/>
          <w:b/>
          <w:sz w:val="44"/>
          <w:szCs w:val="44"/>
          <w:lang w:val="en-US"/>
        </w:rPr>
      </w:pPr>
      <w:r>
        <w:rPr>
          <w:rFonts w:hint="eastAsia" w:ascii="方正小标宋简体" w:hAnsi="华文中宋" w:eastAsia="方正小标宋简体" w:cs="黑体"/>
          <w:b/>
          <w:sz w:val="44"/>
          <w:szCs w:val="44"/>
          <w:lang w:val="en-US"/>
        </w:rPr>
        <w:t>政府信息公开工作年度报告</w:t>
      </w:r>
    </w:p>
    <w:p>
      <w:pPr>
        <w:spacing w:line="560" w:lineRule="exact"/>
        <w:jc w:val="center"/>
        <w:rPr>
          <w:sz w:val="44"/>
          <w:szCs w:val="44"/>
        </w:rPr>
      </w:pPr>
    </w:p>
    <w:p>
      <w:pPr>
        <w:widowControl/>
        <w:spacing w:line="560" w:lineRule="exact"/>
        <w:jc w:val="left"/>
        <w:rPr>
          <w:rFonts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hint="eastAsia" w:ascii="黑体" w:hAnsi="黑体" w:eastAsia="黑体" w:cs="宋体"/>
          <w:spacing w:val="8"/>
          <w:kern w:val="0"/>
          <w:sz w:val="32"/>
          <w:szCs w:val="32"/>
          <w:lang w:eastAsia="zh-CN"/>
        </w:rPr>
      </w:pPr>
      <w:r>
        <w:rPr>
          <w:rFonts w:ascii="黑体" w:hAnsi="黑体" w:eastAsia="黑体" w:cs="宋体"/>
          <w:spacing w:val="8"/>
          <w:kern w:val="0"/>
          <w:sz w:val="32"/>
          <w:szCs w:val="32"/>
        </w:rPr>
        <w:t>一、</w:t>
      </w:r>
      <w:r>
        <w:rPr>
          <w:rFonts w:hint="eastAsia" w:ascii="黑体" w:hAnsi="黑体" w:eastAsia="黑体" w:cs="宋体"/>
          <w:spacing w:val="8"/>
          <w:kern w:val="0"/>
          <w:sz w:val="32"/>
          <w:szCs w:val="32"/>
          <w:lang w:val="en-US" w:eastAsia="zh-CN"/>
        </w:rPr>
        <w:t>总体情况</w:t>
      </w:r>
    </w:p>
    <w:p>
      <w:pPr>
        <w:pStyle w:val="11"/>
        <w:adjustRightInd w:val="0"/>
        <w:snapToGrid w:val="0"/>
        <w:spacing w:before="0" w:beforeAutospacing="0" w:after="0" w:afterAutospacing="0" w:line="560" w:lineRule="exact"/>
        <w:ind w:firstLine="672" w:firstLineChars="200"/>
        <w:jc w:val="both"/>
        <w:rPr>
          <w:rFonts w:ascii="仿宋_GB2312" w:hAnsi="仿宋_GB2312" w:eastAsia="仿宋_GB2312" w:cs="仿宋_GB2312"/>
          <w:spacing w:val="8"/>
          <w:sz w:val="32"/>
          <w:szCs w:val="32"/>
        </w:rPr>
      </w:pPr>
      <w:r>
        <w:rPr>
          <w:rFonts w:ascii="仿宋_GB2312" w:hAnsi="仿宋_GB2312" w:eastAsia="仿宋_GB2312" w:cs="仿宋_GB2312"/>
          <w:spacing w:val="8"/>
          <w:sz w:val="32"/>
          <w:szCs w:val="32"/>
        </w:rPr>
        <w:t>作为政府信息公开的重要窗口，2022年我单位高度重视政府信息公开工作，严格按照通州区政务公开工作要点的工作要求，坚持正确、准确、及时，临时性工作随时公开，固定性工作长期公开。在年初制定年度工作目标时把政府信息公开工作纳入年度工作考核</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制定</w:t>
      </w:r>
      <w:r>
        <w:rPr>
          <w:rFonts w:ascii="仿宋_GB2312" w:hAnsi="仿宋_GB2312" w:eastAsia="仿宋_GB2312" w:cs="仿宋_GB2312"/>
          <w:spacing w:val="8"/>
          <w:sz w:val="32"/>
          <w:szCs w:val="32"/>
        </w:rPr>
        <w:t>工作计划，每月对政府信息公开工作的情况进行自查，及时对发现的问题进行整改，工作开展中，一是加强组织领导，把做好政务信息公开工作列入单位工作议事日程。健全领导机制，确保政府信息工作顺利开展；二是健全工作制度，进一步规范政府信息公开工作，注重完善政府信息公开制度建设工作，根据《中华人民共和国政府信息公开条例》要求，结合工作实际，制定了相关制度并认真执行；三是提高工作质量，为进一步规范政府信息公开内容，我单位主要是对政务信息公开的范围、政务信息公开的内容、政务信息公开的形式、政务信息公开的制度等作了进一步明确。做到常规性工作定期公开，临时性工作随时公开，固定性工作长期公开。</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640" w:leftChars="0" w:right="0" w:rightChars="0"/>
        <w:jc w:val="both"/>
        <w:textAlignment w:val="auto"/>
        <w:rPr>
          <w:rFonts w:hint="default" w:ascii="楷体_GB2312" w:hAnsi="楷体_GB2312" w:eastAsia="楷体_GB2312" w:cs="楷体_GB2312"/>
          <w:color w:val="auto"/>
          <w:spacing w:val="8"/>
          <w:sz w:val="32"/>
          <w:szCs w:val="32"/>
        </w:rPr>
      </w:pPr>
      <w:r>
        <w:rPr>
          <w:rFonts w:ascii="楷体_GB2312" w:hAnsi="楷体_GB2312" w:eastAsia="楷体_GB2312" w:cs="楷体_GB2312"/>
          <w:color w:val="auto"/>
          <w:spacing w:val="8"/>
          <w:sz w:val="32"/>
          <w:szCs w:val="32"/>
        </w:rPr>
        <w:t>（</w:t>
      </w:r>
      <w:r>
        <w:rPr>
          <w:rFonts w:hint="eastAsia" w:ascii="楷体_GB2312" w:hAnsi="楷体_GB2312" w:eastAsia="楷体_GB2312" w:cs="楷体_GB2312"/>
          <w:color w:val="auto"/>
          <w:spacing w:val="8"/>
          <w:sz w:val="32"/>
          <w:szCs w:val="32"/>
          <w:lang w:val="en-US" w:eastAsia="zh-CN"/>
        </w:rPr>
        <w:t>一</w:t>
      </w:r>
      <w:r>
        <w:rPr>
          <w:rFonts w:ascii="楷体_GB2312" w:hAnsi="楷体_GB2312" w:eastAsia="楷体_GB2312" w:cs="楷体_GB2312"/>
          <w:color w:val="auto"/>
          <w:spacing w:val="8"/>
          <w:sz w:val="32"/>
          <w:szCs w:val="32"/>
        </w:rPr>
        <w:t>）主动公开政府信息情况</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1"/>
        <w:jc w:val="both"/>
        <w:textAlignment w:val="auto"/>
        <w:rPr>
          <w:rFonts w:hint="eastAsia" w:ascii="仿宋_GB2312" w:eastAsia="仿宋_GB2312"/>
          <w:color w:val="auto"/>
          <w:spacing w:val="8"/>
          <w:sz w:val="32"/>
          <w:szCs w:val="32"/>
          <w:lang w:val="en-US" w:eastAsia="zh-CN"/>
        </w:rPr>
      </w:pPr>
      <w:r>
        <w:rPr>
          <w:rFonts w:hint="eastAsia" w:ascii="仿宋_GB2312" w:eastAsia="仿宋_GB2312"/>
          <w:color w:val="auto"/>
          <w:spacing w:val="8"/>
          <w:sz w:val="32"/>
          <w:szCs w:val="32"/>
          <w:lang w:val="en-US" w:eastAsia="zh-CN"/>
        </w:rPr>
        <w:t>按照《政府信息公开条例》要求，我单位认真完成信息报送工作。2022年，在北京市通州区人民政府网站要闻动态中共发布信息4条。</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1"/>
        <w:jc w:val="both"/>
        <w:textAlignment w:val="auto"/>
        <w:rPr>
          <w:rFonts w:hint="default" w:ascii="楷体_GB2312" w:hAnsi="楷体_GB2312" w:eastAsia="楷体_GB2312" w:cs="楷体_GB2312"/>
          <w:color w:val="auto"/>
          <w:spacing w:val="8"/>
          <w:sz w:val="32"/>
          <w:szCs w:val="32"/>
        </w:rPr>
      </w:pPr>
      <w:r>
        <w:rPr>
          <w:rFonts w:ascii="楷体_GB2312" w:hAnsi="楷体_GB2312" w:eastAsia="楷体_GB2312" w:cs="楷体_GB2312"/>
          <w:color w:val="auto"/>
          <w:spacing w:val="8"/>
          <w:sz w:val="32"/>
          <w:szCs w:val="32"/>
        </w:rPr>
        <w:t>（</w:t>
      </w:r>
      <w:r>
        <w:rPr>
          <w:rFonts w:hint="eastAsia" w:ascii="楷体_GB2312" w:hAnsi="楷体_GB2312" w:eastAsia="楷体_GB2312" w:cs="楷体_GB2312"/>
          <w:color w:val="auto"/>
          <w:spacing w:val="8"/>
          <w:sz w:val="32"/>
          <w:szCs w:val="32"/>
          <w:lang w:val="en-US" w:eastAsia="zh-CN"/>
        </w:rPr>
        <w:t>二</w:t>
      </w:r>
      <w:r>
        <w:rPr>
          <w:rFonts w:ascii="楷体_GB2312" w:hAnsi="楷体_GB2312" w:eastAsia="楷体_GB2312" w:cs="楷体_GB2312"/>
          <w:color w:val="auto"/>
          <w:spacing w:val="8"/>
          <w:sz w:val="32"/>
          <w:szCs w:val="32"/>
        </w:rPr>
        <w:t>）依申请公开处理情况</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eastAsia="仿宋_GB2312"/>
          <w:color w:val="auto"/>
          <w:spacing w:val="8"/>
          <w:sz w:val="32"/>
          <w:szCs w:val="32"/>
          <w:lang w:eastAsia="zh-CN"/>
        </w:rPr>
      </w:pPr>
      <w:r>
        <w:rPr>
          <w:rFonts w:hint="eastAsia" w:ascii="仿宋_GB2312" w:eastAsia="仿宋_GB2312"/>
          <w:color w:val="auto"/>
          <w:spacing w:val="8"/>
          <w:sz w:val="32"/>
          <w:szCs w:val="32"/>
        </w:rPr>
        <w:t>2022年，受理依申请公开</w:t>
      </w:r>
      <w:r>
        <w:rPr>
          <w:rFonts w:hint="eastAsia" w:ascii="仿宋_GB2312" w:eastAsia="仿宋_GB2312"/>
          <w:color w:val="auto"/>
          <w:spacing w:val="8"/>
          <w:sz w:val="32"/>
          <w:szCs w:val="32"/>
          <w:lang w:val="en-US" w:eastAsia="zh-CN"/>
        </w:rPr>
        <w:t>5</w:t>
      </w:r>
      <w:r>
        <w:rPr>
          <w:rFonts w:hint="eastAsia" w:ascii="仿宋_GB2312" w:eastAsia="仿宋_GB2312"/>
          <w:color w:val="auto"/>
          <w:spacing w:val="8"/>
          <w:sz w:val="32"/>
          <w:szCs w:val="32"/>
        </w:rPr>
        <w:t>件，办结</w:t>
      </w:r>
      <w:r>
        <w:rPr>
          <w:rFonts w:hint="eastAsia" w:ascii="仿宋_GB2312" w:eastAsia="仿宋_GB2312"/>
          <w:color w:val="auto"/>
          <w:spacing w:val="8"/>
          <w:sz w:val="32"/>
          <w:szCs w:val="32"/>
          <w:lang w:val="en-US" w:eastAsia="zh-CN"/>
        </w:rPr>
        <w:t>5</w:t>
      </w:r>
      <w:r>
        <w:rPr>
          <w:rFonts w:hint="eastAsia" w:ascii="仿宋_GB2312" w:eastAsia="仿宋_GB2312"/>
          <w:color w:val="auto"/>
          <w:spacing w:val="8"/>
          <w:sz w:val="32"/>
          <w:szCs w:val="32"/>
        </w:rPr>
        <w:t>件。其中个人申请</w:t>
      </w:r>
      <w:r>
        <w:rPr>
          <w:rFonts w:hint="eastAsia" w:ascii="仿宋_GB2312" w:eastAsia="仿宋_GB2312"/>
          <w:color w:val="auto"/>
          <w:spacing w:val="8"/>
          <w:sz w:val="32"/>
          <w:szCs w:val="32"/>
          <w:lang w:val="en-US" w:eastAsia="zh-CN"/>
        </w:rPr>
        <w:t>5</w:t>
      </w:r>
      <w:r>
        <w:rPr>
          <w:rFonts w:hint="eastAsia" w:ascii="仿宋_GB2312" w:eastAsia="仿宋_GB2312"/>
          <w:color w:val="auto"/>
          <w:spacing w:val="8"/>
          <w:sz w:val="32"/>
          <w:szCs w:val="32"/>
        </w:rPr>
        <w:t>件，予以公开</w:t>
      </w:r>
      <w:r>
        <w:rPr>
          <w:rFonts w:hint="eastAsia" w:ascii="仿宋_GB2312" w:eastAsia="仿宋_GB2312"/>
          <w:color w:val="auto"/>
          <w:spacing w:val="8"/>
          <w:sz w:val="32"/>
          <w:szCs w:val="32"/>
          <w:lang w:val="en-US" w:eastAsia="zh-CN"/>
        </w:rPr>
        <w:t>5</w:t>
      </w:r>
      <w:r>
        <w:rPr>
          <w:rFonts w:hint="eastAsia" w:ascii="仿宋_GB2312" w:eastAsia="仿宋_GB2312"/>
          <w:color w:val="auto"/>
          <w:spacing w:val="8"/>
          <w:sz w:val="32"/>
          <w:szCs w:val="32"/>
        </w:rPr>
        <w:t>件</w:t>
      </w:r>
      <w:r>
        <w:rPr>
          <w:rFonts w:hint="eastAsia" w:ascii="仿宋_GB2312" w:eastAsia="仿宋_GB2312"/>
          <w:color w:val="auto"/>
          <w:spacing w:val="8"/>
          <w:sz w:val="32"/>
          <w:szCs w:val="32"/>
          <w:lang w:eastAsia="zh-CN"/>
        </w:rPr>
        <w:t>。</w:t>
      </w:r>
    </w:p>
    <w:p>
      <w:pPr>
        <w:pStyle w:val="11"/>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_GB2312" w:hAnsi="楷体_GB2312" w:eastAsia="楷体_GB2312" w:cs="楷体_GB2312"/>
          <w:color w:val="000000"/>
          <w:sz w:val="32"/>
          <w:szCs w:val="32"/>
          <w:lang w:val="en-US" w:eastAsia="zh-CN"/>
        </w:rPr>
      </w:pPr>
      <w:bookmarkStart w:id="0" w:name="_GoBack"/>
      <w:bookmarkEnd w:id="0"/>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三</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平台建设</w:t>
      </w:r>
      <w:r>
        <w:rPr>
          <w:rFonts w:hint="eastAsia" w:ascii="楷体_GB2312" w:hAnsi="楷体_GB2312" w:eastAsia="楷体_GB2312" w:cs="楷体_GB2312"/>
          <w:color w:val="000000"/>
          <w:sz w:val="32"/>
          <w:szCs w:val="32"/>
          <w:lang w:val="en-US" w:eastAsia="zh-CN"/>
        </w:rPr>
        <w:t>情况</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1"/>
        <w:jc w:val="both"/>
        <w:textAlignment w:val="auto"/>
        <w:rPr>
          <w:rFonts w:hint="eastAsia" w:ascii="仿宋_GB2312" w:eastAsia="仿宋_GB2312"/>
          <w:color w:val="auto"/>
          <w:spacing w:val="8"/>
          <w:sz w:val="32"/>
          <w:szCs w:val="32"/>
          <w:lang w:eastAsia="zh-CN"/>
        </w:rPr>
      </w:pPr>
      <w:r>
        <w:rPr>
          <w:rFonts w:hint="eastAsia" w:ascii="仿宋_GB2312" w:eastAsia="仿宋_GB2312"/>
          <w:b/>
          <w:bCs/>
          <w:color w:val="auto"/>
          <w:spacing w:val="8"/>
          <w:sz w:val="32"/>
          <w:szCs w:val="32"/>
          <w:lang w:val="en-US" w:eastAsia="zh-CN"/>
        </w:rPr>
        <w:t>一是</w:t>
      </w:r>
      <w:r>
        <w:rPr>
          <w:rFonts w:hint="eastAsia" w:ascii="仿宋_GB2312" w:hAnsi="仿宋_GB2312" w:eastAsia="仿宋_GB2312" w:cs="仿宋_GB2312"/>
          <w:spacing w:val="8"/>
          <w:kern w:val="0"/>
          <w:sz w:val="32"/>
          <w:szCs w:val="32"/>
        </w:rPr>
        <w:t>加强队伍建设。加强政府信息公开专门机构建设，充实人员力量</w:t>
      </w:r>
      <w:r>
        <w:rPr>
          <w:rFonts w:hint="eastAsia" w:ascii="仿宋_GB2312" w:eastAsia="仿宋_GB2312"/>
          <w:color w:val="auto"/>
          <w:spacing w:val="8"/>
          <w:sz w:val="32"/>
          <w:szCs w:val="32"/>
        </w:rPr>
        <w:t>。</w:t>
      </w:r>
      <w:r>
        <w:rPr>
          <w:rFonts w:hint="eastAsia" w:ascii="仿宋_GB2312" w:eastAsia="仿宋_GB2312"/>
          <w:b/>
          <w:bCs/>
          <w:color w:val="auto"/>
          <w:spacing w:val="8"/>
          <w:sz w:val="32"/>
          <w:szCs w:val="32"/>
          <w:lang w:val="en-US" w:eastAsia="zh-CN"/>
        </w:rPr>
        <w:t>二是</w:t>
      </w:r>
      <w:r>
        <w:rPr>
          <w:rFonts w:hint="eastAsia" w:ascii="仿宋_GB2312" w:eastAsia="仿宋_GB2312"/>
          <w:color w:val="auto"/>
          <w:spacing w:val="8"/>
          <w:sz w:val="32"/>
          <w:szCs w:val="32"/>
          <w:lang w:val="en-US" w:eastAsia="zh-CN"/>
        </w:rPr>
        <w:t>强化平台建设。不断</w:t>
      </w:r>
      <w:r>
        <w:rPr>
          <w:rFonts w:hint="eastAsia" w:ascii="仿宋_GB2312" w:eastAsia="仿宋_GB2312"/>
          <w:color w:val="auto"/>
          <w:spacing w:val="8"/>
          <w:sz w:val="32"/>
          <w:szCs w:val="32"/>
        </w:rPr>
        <w:t>规范信息发布内容，不断改进</w:t>
      </w:r>
      <w:r>
        <w:rPr>
          <w:rFonts w:hint="eastAsia" w:ascii="仿宋_GB2312" w:eastAsia="仿宋_GB2312"/>
          <w:color w:val="auto"/>
          <w:spacing w:val="8"/>
          <w:sz w:val="32"/>
          <w:szCs w:val="32"/>
          <w:lang w:val="en-US" w:eastAsia="zh-CN"/>
        </w:rPr>
        <w:t>政府网站</w:t>
      </w:r>
      <w:r>
        <w:rPr>
          <w:rFonts w:hint="eastAsia" w:ascii="仿宋_GB2312" w:eastAsia="仿宋_GB2312"/>
          <w:color w:val="auto"/>
          <w:spacing w:val="8"/>
          <w:sz w:val="32"/>
          <w:szCs w:val="32"/>
        </w:rPr>
        <w:t>内容管理</w:t>
      </w:r>
      <w:r>
        <w:rPr>
          <w:rFonts w:hint="eastAsia" w:ascii="仿宋_GB2312" w:eastAsia="仿宋_GB2312"/>
          <w:color w:val="auto"/>
          <w:spacing w:val="8"/>
          <w:sz w:val="32"/>
          <w:szCs w:val="32"/>
          <w:lang w:val="en-US" w:eastAsia="zh-CN"/>
        </w:rPr>
        <w:t>。</w:t>
      </w:r>
      <w:r>
        <w:rPr>
          <w:rFonts w:hint="eastAsia" w:ascii="仿宋_GB2312" w:eastAsia="仿宋_GB2312"/>
          <w:b/>
          <w:bCs/>
          <w:color w:val="auto"/>
          <w:spacing w:val="8"/>
          <w:sz w:val="32"/>
          <w:szCs w:val="32"/>
          <w:lang w:val="en-US" w:eastAsia="zh-CN"/>
        </w:rPr>
        <w:t>三是</w:t>
      </w:r>
      <w:r>
        <w:rPr>
          <w:rFonts w:hint="eastAsia" w:ascii="仿宋_GB2312" w:eastAsia="仿宋_GB2312"/>
          <w:color w:val="auto"/>
          <w:spacing w:val="8"/>
          <w:sz w:val="32"/>
          <w:szCs w:val="32"/>
        </w:rPr>
        <w:t>加强监督保障。积极主动履行政府信息公开工作职责，切实强化内部监督</w:t>
      </w:r>
      <w:r>
        <w:rPr>
          <w:rFonts w:hint="eastAsia" w:ascii="仿宋_GB2312" w:eastAsia="仿宋_GB2312"/>
          <w:color w:val="auto"/>
          <w:spacing w:val="8"/>
          <w:sz w:val="32"/>
          <w:szCs w:val="32"/>
          <w:lang w:eastAsia="zh-CN"/>
        </w:rPr>
        <w:t>。</w:t>
      </w:r>
    </w:p>
    <w:p>
      <w:pPr>
        <w:pStyle w:val="11"/>
        <w:adjustRightInd w:val="0"/>
        <w:snapToGrid w:val="0"/>
        <w:spacing w:before="0" w:beforeAutospacing="0" w:after="0" w:afterAutospacing="0" w:line="560" w:lineRule="exact"/>
        <w:ind w:firstLine="672" w:firstLineChars="200"/>
        <w:jc w:val="both"/>
        <w:rPr>
          <w:rFonts w:hint="default" w:ascii="仿宋_GB2312" w:hAnsi="仿宋_GB2312" w:eastAsia="仿宋_GB2312" w:cs="仿宋_GB2312"/>
          <w:spacing w:val="8"/>
          <w:sz w:val="32"/>
          <w:szCs w:val="32"/>
        </w:rPr>
      </w:pP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主动公开政府信息情况</w:t>
      </w:r>
    </w:p>
    <w:p>
      <w:pPr>
        <w:pStyle w:val="2"/>
      </w:pPr>
    </w:p>
    <w:tbl>
      <w:tblPr>
        <w:tblStyle w:val="15"/>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ind w:firstLine="800" w:firstLineChars="400"/>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ascii="宋体"/>
                <w:sz w:val="24"/>
              </w:rPr>
            </w:pPr>
            <w:r>
              <w:rPr>
                <w:rFonts w:hint="eastAsia" w:ascii="宋体"/>
                <w:sz w:val="24"/>
              </w:rPr>
              <w:t>0</w:t>
            </w:r>
          </w:p>
        </w:tc>
      </w:tr>
    </w:tbl>
    <w:p>
      <w:pPr>
        <w:pStyle w:val="2"/>
      </w:pPr>
    </w:p>
    <w:p>
      <w:pPr>
        <w:pStyle w:val="2"/>
      </w:pP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收到和处理政府信息公开申请情况</w:t>
      </w:r>
    </w:p>
    <w:p>
      <w:pPr>
        <w:pStyle w:val="11"/>
        <w:shd w:val="clear" w:color="auto" w:fill="FFFFFF"/>
        <w:spacing w:before="0" w:beforeAutospacing="0" w:after="0" w:afterAutospacing="0"/>
        <w:ind w:firstLine="420"/>
        <w:jc w:val="both"/>
        <w:rPr>
          <w:rFonts w:hint="default"/>
          <w:color w:val="333333"/>
        </w:rPr>
      </w:pPr>
    </w:p>
    <w:tbl>
      <w:tblPr>
        <w:tblStyle w:val="15"/>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ascii="宋体"/>
                <w:sz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5</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5</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outset"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87"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5</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5</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cs="Calibri"/>
                <w:kern w:val="0"/>
                <w:sz w:val="20"/>
                <w:szCs w:val="20"/>
                <w:lang w:bidi="ar"/>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cs="Calibri"/>
                <w:kern w:val="0"/>
                <w:sz w:val="20"/>
                <w:szCs w:val="20"/>
                <w:lang w:bidi="ar"/>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cs="Calibri"/>
                <w:kern w:val="0"/>
                <w:sz w:val="20"/>
                <w:szCs w:val="20"/>
                <w:lang w:bidi="ar"/>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cs="Calibri"/>
                <w:kern w:val="0"/>
                <w:sz w:val="20"/>
                <w:szCs w:val="20"/>
                <w:lang w:bidi="ar"/>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cs="Calibri"/>
                <w:kern w:val="0"/>
                <w:sz w:val="20"/>
                <w:szCs w:val="20"/>
                <w:lang w:bidi="ar"/>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cs="Calibri"/>
                <w:kern w:val="0"/>
                <w:sz w:val="20"/>
                <w:szCs w:val="20"/>
                <w:lang w:bidi="ar"/>
              </w:rPr>
              <w:t>0</w:t>
            </w:r>
          </w:p>
        </w:tc>
        <w:tc>
          <w:tcPr>
            <w:tcW w:w="689"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cs="Calibri"/>
                <w:kern w:val="0"/>
                <w:sz w:val="20"/>
                <w:szCs w:val="20"/>
                <w:lang w:bidi="ar"/>
              </w:rPr>
              <w:t>0</w:t>
            </w:r>
          </w:p>
        </w:tc>
      </w:tr>
    </w:tbl>
    <w:p>
      <w:pPr>
        <w:pStyle w:val="2"/>
        <w:ind w:left="420" w:leftChars="200"/>
      </w:pPr>
    </w:p>
    <w:p>
      <w:pPr>
        <w:pStyle w:val="2"/>
        <w:ind w:left="420" w:leftChars="200"/>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jc w:val="center"/>
      </w:pPr>
    </w:p>
    <w:tbl>
      <w:tblPr>
        <w:tblStyle w:val="15"/>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r>
    </w:tbl>
    <w:p>
      <w:pPr>
        <w:widowControl/>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pStyle w:val="11"/>
        <w:adjustRightInd w:val="0"/>
        <w:snapToGrid w:val="0"/>
        <w:spacing w:before="0" w:beforeAutospacing="0" w:after="0" w:afterAutospacing="0" w:line="560" w:lineRule="exact"/>
        <w:ind w:firstLine="640" w:firstLineChars="200"/>
        <w:jc w:val="both"/>
        <w:rPr>
          <w:rFonts w:hint="default" w:ascii="楷体_GB2312" w:hAnsi="楷体" w:eastAsia="楷体_GB2312" w:cs="楷体"/>
          <w:bCs/>
          <w:sz w:val="32"/>
          <w:szCs w:val="32"/>
        </w:rPr>
      </w:pPr>
      <w:r>
        <w:rPr>
          <w:rFonts w:ascii="楷体_GB2312" w:hAnsi="楷体" w:eastAsia="楷体_GB2312" w:cs="楷体"/>
          <w:bCs/>
          <w:color w:val="333333"/>
          <w:sz w:val="32"/>
          <w:szCs w:val="32"/>
          <w:shd w:val="clear" w:color="auto" w:fill="FFFFFF"/>
        </w:rPr>
        <w:t>（一）存在的主要问题</w:t>
      </w:r>
    </w:p>
    <w:p>
      <w:pPr>
        <w:pStyle w:val="11"/>
        <w:adjustRightInd w:val="0"/>
        <w:snapToGrid w:val="0"/>
        <w:spacing w:before="0" w:beforeAutospacing="0" w:after="0" w:afterAutospacing="0" w:line="560" w:lineRule="exact"/>
        <w:ind w:firstLine="672" w:firstLineChars="200"/>
        <w:jc w:val="both"/>
        <w:rPr>
          <w:rFonts w:hint="default" w:ascii="仿宋_GB2312" w:hAnsi="仿宋_GB2312" w:eastAsia="仿宋_GB2312" w:cs="仿宋_GB2312"/>
          <w:spacing w:val="8"/>
          <w:sz w:val="32"/>
          <w:szCs w:val="32"/>
        </w:rPr>
      </w:pPr>
      <w:r>
        <w:rPr>
          <w:rFonts w:ascii="仿宋_GB2312" w:hAnsi="仿宋_GB2312" w:eastAsia="仿宋_GB2312" w:cs="仿宋_GB2312"/>
          <w:spacing w:val="8"/>
          <w:sz w:val="32"/>
          <w:szCs w:val="32"/>
        </w:rPr>
        <w:t>2022年以来，我单位政府信息公开工作总体运行较好，主要存问题是相关制度建设不完善。由于机制改革原因，岗位流动性较大，建立完善主动公开、依申请公开信息等制度规范不够完善，推进公开工作的标准化建设不够完善。</w:t>
      </w:r>
    </w:p>
    <w:p>
      <w:pPr>
        <w:pStyle w:val="11"/>
        <w:adjustRightInd w:val="0"/>
        <w:snapToGrid w:val="0"/>
        <w:spacing w:before="0" w:beforeAutospacing="0" w:after="0" w:afterAutospacing="0" w:line="560" w:lineRule="exact"/>
        <w:ind w:firstLine="640" w:firstLineChars="200"/>
        <w:jc w:val="both"/>
        <w:rPr>
          <w:rFonts w:hint="default" w:ascii="楷体_GB2312" w:hAnsi="楷体" w:eastAsia="楷体_GB2312" w:cs="楷体"/>
          <w:bCs/>
          <w:color w:val="333333"/>
          <w:sz w:val="32"/>
          <w:szCs w:val="32"/>
          <w:shd w:val="clear" w:color="auto" w:fill="FFFFFF"/>
        </w:rPr>
      </w:pPr>
      <w:r>
        <w:rPr>
          <w:rFonts w:ascii="楷体_GB2312" w:hAnsi="楷体" w:eastAsia="楷体_GB2312" w:cs="楷体"/>
          <w:bCs/>
          <w:color w:val="333333"/>
          <w:sz w:val="32"/>
          <w:szCs w:val="32"/>
          <w:shd w:val="clear" w:color="auto" w:fill="FFFFFF"/>
        </w:rPr>
        <w:t>（二）解决问题的措施</w:t>
      </w:r>
    </w:p>
    <w:p>
      <w:pPr>
        <w:widowControl/>
        <w:spacing w:line="560" w:lineRule="exact"/>
        <w:ind w:firstLine="672" w:firstLineChars="200"/>
        <w:jc w:val="left"/>
        <w:rPr>
          <w:rFonts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一是继续强化认识，提高政府信息公开涉及单位对互联网环境下做好政务公开工作的重大意义，将政务公开工作纳入重要议事日程。二是加强队伍建设。加强政府信息公开专门机构建设，充实人员力量。推动将信息公开列入培训计划，制定业务培训计划，分级分层组织实施，切实提高人员队伍的综合素质和业务能力。</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ind w:firstLine="672" w:firstLineChars="200"/>
        <w:jc w:val="left"/>
        <w:rPr>
          <w:rFonts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根据《政府信息公开信息处理费管理办法》(国办函〔2020〕109号)，2022年度中关村科技园区通州园区管委会收取信息处理费情况为：发出收费通知的件数为0件，总金额为0元，实际收取的总金额为0元。</w:t>
      </w:r>
    </w:p>
    <w:p>
      <w:pPr>
        <w:widowControl/>
        <w:spacing w:line="560" w:lineRule="exact"/>
        <w:ind w:firstLine="560" w:firstLineChars="200"/>
        <w:jc w:val="left"/>
        <w:rPr>
          <w:rFonts w:ascii="仿宋_GB2312" w:hAnsi="仿宋_GB2312" w:eastAsia="仿宋_GB2312" w:cs="仿宋_GB2312"/>
          <w:spacing w:val="8"/>
          <w:kern w:val="0"/>
          <w:sz w:val="32"/>
          <w:szCs w:val="32"/>
        </w:rPr>
      </w:pPr>
      <w:r>
        <w:rPr>
          <w:rFonts w:hint="eastAsia" w:ascii="仿宋_GB2312" w:hAnsi="仿宋_GB2312" w:eastAsia="仿宋_GB2312" w:cs="仿宋_GB2312"/>
          <w:spacing w:val="-20"/>
          <w:kern w:val="0"/>
          <w:sz w:val="32"/>
          <w:szCs w:val="32"/>
        </w:rPr>
        <w:t>北京市通州区人民政府网站网址为http://www.bjtzh.gov.cn/，</w:t>
      </w:r>
      <w:r>
        <w:rPr>
          <w:rFonts w:hint="eastAsia" w:ascii="仿宋_GB2312" w:hAnsi="仿宋_GB2312" w:eastAsia="仿宋_GB2312" w:cs="仿宋_GB2312"/>
          <w:spacing w:val="8"/>
          <w:kern w:val="0"/>
          <w:sz w:val="32"/>
          <w:szCs w:val="32"/>
        </w:rPr>
        <w:t>如需了解更多政府信息，请登录查询。</w:t>
      </w:r>
    </w:p>
    <w:p>
      <w:pPr>
        <w:widowControl/>
        <w:spacing w:line="560" w:lineRule="exact"/>
        <w:jc w:val="left"/>
        <w:rPr>
          <w:rFonts w:ascii="华文中宋" w:hAnsi="华文中宋" w:eastAsia="华文中宋" w:cs="华文中宋"/>
          <w:color w:val="000000"/>
          <w:sz w:val="44"/>
          <w:szCs w:val="44"/>
        </w:rPr>
      </w:pPr>
    </w:p>
    <w:sectPr>
      <w:footerReference r:id="rId3" w:type="default"/>
      <w:pgSz w:w="11906" w:h="16838"/>
      <w:pgMar w:top="2154"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dobe 宋体 Std L">
    <w:altName w:val="宋体"/>
    <w:panose1 w:val="00000000000000000000"/>
    <w:charset w:val="86"/>
    <w:family w:val="roman"/>
    <w:pitch w:val="default"/>
    <w:sig w:usb0="00000000" w:usb1="00000000" w:usb2="00000016" w:usb3="00000000" w:csb0="00060007"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55B57"/>
    <w:rsid w:val="00231DE2"/>
    <w:rsid w:val="00DD6DD5"/>
    <w:rsid w:val="00F12A70"/>
    <w:rsid w:val="010F5CB0"/>
    <w:rsid w:val="020E7372"/>
    <w:rsid w:val="037D5E10"/>
    <w:rsid w:val="04D1276B"/>
    <w:rsid w:val="07F813C7"/>
    <w:rsid w:val="0A826F96"/>
    <w:rsid w:val="0CBB1A54"/>
    <w:rsid w:val="0E7E0858"/>
    <w:rsid w:val="14470F9D"/>
    <w:rsid w:val="14A17984"/>
    <w:rsid w:val="157214B0"/>
    <w:rsid w:val="17217E52"/>
    <w:rsid w:val="19D73DAC"/>
    <w:rsid w:val="1ACF0113"/>
    <w:rsid w:val="1E3F1448"/>
    <w:rsid w:val="247B746E"/>
    <w:rsid w:val="27470A1C"/>
    <w:rsid w:val="289C7AC6"/>
    <w:rsid w:val="29AE54B9"/>
    <w:rsid w:val="2CA6446F"/>
    <w:rsid w:val="2CEB6771"/>
    <w:rsid w:val="2EF6189F"/>
    <w:rsid w:val="30FB3D2A"/>
    <w:rsid w:val="32F87D28"/>
    <w:rsid w:val="38780662"/>
    <w:rsid w:val="3D255B57"/>
    <w:rsid w:val="3EF32092"/>
    <w:rsid w:val="425B2749"/>
    <w:rsid w:val="4C074CEF"/>
    <w:rsid w:val="4EF918D7"/>
    <w:rsid w:val="55CC51C1"/>
    <w:rsid w:val="575437DF"/>
    <w:rsid w:val="586B4E00"/>
    <w:rsid w:val="5889251F"/>
    <w:rsid w:val="5A624675"/>
    <w:rsid w:val="5AFA3E4F"/>
    <w:rsid w:val="5BFFC95C"/>
    <w:rsid w:val="5DA9301B"/>
    <w:rsid w:val="5DED1905"/>
    <w:rsid w:val="5E266FB5"/>
    <w:rsid w:val="5E282F0F"/>
    <w:rsid w:val="5E7231FE"/>
    <w:rsid w:val="62AD78B3"/>
    <w:rsid w:val="635841FE"/>
    <w:rsid w:val="6592FAC9"/>
    <w:rsid w:val="65A63F93"/>
    <w:rsid w:val="666138CB"/>
    <w:rsid w:val="6CEB6ECC"/>
    <w:rsid w:val="74064D96"/>
    <w:rsid w:val="780218A6"/>
    <w:rsid w:val="7C6402AC"/>
    <w:rsid w:val="7DF47369"/>
    <w:rsid w:val="9F7A3989"/>
    <w:rsid w:val="B7ED6046"/>
    <w:rsid w:val="BE9932BA"/>
    <w:rsid w:val="BF5F0C53"/>
    <w:rsid w:val="E7CF0CF9"/>
    <w:rsid w:val="E7FA8C2A"/>
    <w:rsid w:val="EDDECC21"/>
    <w:rsid w:val="EE688093"/>
    <w:rsid w:val="EECFCB56"/>
    <w:rsid w:val="EEFF1F39"/>
    <w:rsid w:val="EF5CAED2"/>
    <w:rsid w:val="F7ABE3BC"/>
    <w:rsid w:val="F9FFA0D6"/>
    <w:rsid w:val="FF6D34E2"/>
    <w:rsid w:val="FFCFF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subject"/>
    <w:basedOn w:val="4"/>
    <w:next w:val="4"/>
    <w:link w:val="18"/>
    <w:uiPriority w:val="0"/>
    <w:rPr>
      <w:b/>
      <w:bCs/>
    </w:rPr>
  </w:style>
  <w:style w:type="paragraph" w:styleId="4">
    <w:name w:val="annotation text"/>
    <w:basedOn w:val="1"/>
    <w:link w:val="17"/>
    <w:uiPriority w:val="0"/>
    <w:pPr>
      <w:jc w:val="left"/>
    </w:pPr>
  </w:style>
  <w:style w:type="paragraph" w:styleId="5">
    <w:name w:val="Body Text"/>
    <w:basedOn w:val="1"/>
    <w:qFormat/>
    <w:uiPriority w:val="0"/>
    <w:rPr>
      <w:bCs/>
    </w:rPr>
  </w:style>
  <w:style w:type="paragraph" w:styleId="6">
    <w:name w:val="toc 3"/>
    <w:basedOn w:val="1"/>
    <w:next w:val="1"/>
    <w:semiHidden/>
    <w:unhideWhenUsed/>
    <w:qFormat/>
    <w:uiPriority w:val="39"/>
    <w:pPr>
      <w:ind w:left="840" w:leftChars="400"/>
    </w:pPr>
  </w:style>
  <w:style w:type="paragraph" w:styleId="7">
    <w:name w:val="Balloon Text"/>
    <w:basedOn w:val="1"/>
    <w:link w:val="19"/>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1">
    <w:name w:val="Normal (Web)"/>
    <w:basedOn w:val="1"/>
    <w:unhideWhenUsed/>
    <w:qFormat/>
    <w:uiPriority w:val="99"/>
    <w:pPr>
      <w:widowControl/>
      <w:spacing w:before="100" w:beforeAutospacing="1" w:after="100" w:afterAutospacing="1"/>
      <w:jc w:val="left"/>
    </w:pPr>
    <w:rPr>
      <w:rFonts w:hint="eastAsia" w:ascii="宋体" w:hAnsi="宋体" w:cs="宋体"/>
      <w:color w:val="000000"/>
      <w:kern w:val="0"/>
      <w:sz w:val="24"/>
    </w:rPr>
  </w:style>
  <w:style w:type="character" w:styleId="13">
    <w:name w:val="Hyperlink"/>
    <w:basedOn w:val="12"/>
    <w:qFormat/>
    <w:uiPriority w:val="0"/>
    <w:rPr>
      <w:color w:val="000000"/>
      <w:u w:val="none"/>
    </w:rPr>
  </w:style>
  <w:style w:type="character" w:styleId="14">
    <w:name w:val="annotation reference"/>
    <w:basedOn w:val="12"/>
    <w:qFormat/>
    <w:uiPriority w:val="0"/>
    <w:rPr>
      <w:sz w:val="21"/>
      <w:szCs w:val="21"/>
    </w:rPr>
  </w:style>
  <w:style w:type="paragraph" w:customStyle="1" w:styleId="16">
    <w:name w:val="[基本段落]"/>
    <w:basedOn w:val="1"/>
    <w:qFormat/>
    <w:uiPriority w:val="99"/>
    <w:pPr>
      <w:autoSpaceDE w:val="0"/>
      <w:autoSpaceDN w:val="0"/>
      <w:adjustRightInd w:val="0"/>
      <w:spacing w:line="288" w:lineRule="auto"/>
      <w:textAlignment w:val="center"/>
    </w:pPr>
    <w:rPr>
      <w:rFonts w:ascii="Adobe 宋体 Std L" w:eastAsia="Adobe 宋体 Std L" w:cs="Adobe 宋体 Std L"/>
      <w:color w:val="000000"/>
      <w:kern w:val="0"/>
      <w:sz w:val="24"/>
      <w:lang w:val="zh-CN"/>
    </w:rPr>
  </w:style>
  <w:style w:type="character" w:customStyle="1" w:styleId="17">
    <w:name w:val="批注文字 Char"/>
    <w:basedOn w:val="12"/>
    <w:link w:val="4"/>
    <w:uiPriority w:val="0"/>
    <w:rPr>
      <w:rFonts w:ascii="Calibri" w:hAnsi="Calibri"/>
      <w:kern w:val="2"/>
      <w:sz w:val="21"/>
      <w:szCs w:val="24"/>
    </w:rPr>
  </w:style>
  <w:style w:type="character" w:customStyle="1" w:styleId="18">
    <w:name w:val="批注主题 Char"/>
    <w:basedOn w:val="17"/>
    <w:link w:val="3"/>
    <w:uiPriority w:val="0"/>
    <w:rPr>
      <w:rFonts w:ascii="Calibri" w:hAnsi="Calibri"/>
      <w:b/>
      <w:bCs/>
      <w:kern w:val="2"/>
      <w:sz w:val="21"/>
      <w:szCs w:val="24"/>
    </w:rPr>
  </w:style>
  <w:style w:type="character" w:customStyle="1" w:styleId="19">
    <w:name w:val="批注框文本 Char"/>
    <w:basedOn w:val="12"/>
    <w:link w:val="7"/>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350</Words>
  <Characters>1996</Characters>
  <Lines>16</Lines>
  <Paragraphs>4</Paragraphs>
  <TotalTime>4</TotalTime>
  <ScaleCrop>false</ScaleCrop>
  <LinksUpToDate>false</LinksUpToDate>
  <CharactersWithSpaces>2342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2019-12-10T20:53:00Z</dcterms:created>
  <dc:creator>一米阳光66</dc:creator>
  <cp:lastModifiedBy>风行阳光</cp:lastModifiedBy>
  <cp:lastPrinted>2019-12-13T16:52:00Z</cp:lastPrinted>
  <dcterms:modified xsi:type="dcterms:W3CDTF">2023-01-06T06:59:52Z</dcterms:modified>
  <dc:title>通州园管委会2022年政府信息公开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