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北京市通州区财政局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2023年政府信息公开工作年度报告</w:t>
      </w:r>
    </w:p>
    <w:p>
      <w:pPr>
        <w:spacing w:line="560" w:lineRule="exact"/>
        <w:rPr>
          <w:sz w:val="44"/>
          <w:szCs w:val="44"/>
        </w:rPr>
      </w:pP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32" w:firstLineChars="200"/>
        <w:rPr>
          <w:rFonts w:ascii="黑体" w:hAnsi="黑体" w:eastAsia="黑体" w:cs="宋体"/>
          <w:kern w:val="0"/>
          <w:szCs w:val="32"/>
        </w:rPr>
      </w:pPr>
      <w:r>
        <w:rPr>
          <w:rFonts w:ascii="黑体" w:hAnsi="黑体" w:eastAsia="黑体" w:cs="宋体"/>
          <w:kern w:val="0"/>
          <w:szCs w:val="32"/>
        </w:rPr>
        <w:t>一、总体情况</w:t>
      </w:r>
    </w:p>
    <w:p>
      <w:pPr>
        <w:widowControl/>
        <w:spacing w:line="560" w:lineRule="exact"/>
        <w:ind w:firstLine="675"/>
        <w:rPr>
          <w:rFonts w:ascii="楷体_GB2312" w:hAnsi="华文楷体" w:eastAsia="楷体_GB2312" w:cs="仿宋_GB2312"/>
          <w:color w:val="000000"/>
          <w:szCs w:val="32"/>
        </w:rPr>
      </w:pPr>
      <w:r>
        <w:rPr>
          <w:rFonts w:hint="eastAsia" w:ascii="楷体_GB2312" w:hAnsi="华文楷体" w:eastAsia="楷体_GB2312" w:cs="仿宋_GB2312"/>
          <w:color w:val="000000"/>
          <w:szCs w:val="32"/>
        </w:rPr>
        <w:t>（一）持续强化组织领导</w:t>
      </w:r>
    </w:p>
    <w:p>
      <w:pPr>
        <w:widowControl/>
        <w:spacing w:line="560" w:lineRule="exact"/>
        <w:ind w:firstLine="675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及时调整充实局信息公开工作领导小组，持续</w:t>
      </w:r>
      <w:r>
        <w:rPr>
          <w:rFonts w:ascii="仿宋_GB2312" w:hAnsi="仿宋_GB2312" w:cs="仿宋_GB2312"/>
          <w:color w:val="000000"/>
          <w:szCs w:val="32"/>
        </w:rPr>
        <w:t>健全完善办公室牵头</w:t>
      </w:r>
      <w:r>
        <w:rPr>
          <w:rFonts w:hint="eastAsia" w:ascii="仿宋_GB2312" w:hAnsi="仿宋_GB2312" w:cs="仿宋_GB2312"/>
          <w:color w:val="000000"/>
          <w:szCs w:val="32"/>
        </w:rPr>
        <w:t>抓</w:t>
      </w:r>
      <w:r>
        <w:rPr>
          <w:rFonts w:ascii="仿宋_GB2312" w:hAnsi="仿宋_GB2312" w:cs="仿宋_GB2312"/>
          <w:color w:val="000000"/>
          <w:szCs w:val="32"/>
        </w:rPr>
        <w:t>、</w:t>
      </w:r>
      <w:r>
        <w:rPr>
          <w:rFonts w:hint="eastAsia" w:ascii="仿宋_GB2312" w:hAnsi="仿宋_GB2312" w:cs="仿宋_GB2312"/>
          <w:color w:val="000000"/>
          <w:szCs w:val="32"/>
        </w:rPr>
        <w:t>相关业务部门具体抓</w:t>
      </w:r>
      <w:r>
        <w:rPr>
          <w:rFonts w:ascii="仿宋_GB2312" w:hAnsi="仿宋_GB2312" w:cs="仿宋_GB2312"/>
          <w:color w:val="000000"/>
          <w:szCs w:val="32"/>
        </w:rPr>
        <w:t>的工作</w:t>
      </w:r>
      <w:r>
        <w:rPr>
          <w:rFonts w:hint="eastAsia" w:ascii="仿宋_GB2312" w:hAnsi="仿宋_GB2312" w:cs="仿宋_GB2312"/>
          <w:color w:val="000000"/>
          <w:szCs w:val="32"/>
        </w:rPr>
        <w:t>运行</w:t>
      </w:r>
      <w:r>
        <w:rPr>
          <w:rFonts w:ascii="仿宋_GB2312" w:hAnsi="仿宋_GB2312" w:cs="仿宋_GB2312"/>
          <w:color w:val="000000"/>
          <w:szCs w:val="32"/>
        </w:rPr>
        <w:t>机制</w:t>
      </w:r>
      <w:r>
        <w:rPr>
          <w:rFonts w:hint="eastAsia" w:ascii="仿宋_GB2312" w:hAnsi="仿宋_GB2312" w:cs="仿宋_GB2312"/>
          <w:color w:val="000000"/>
          <w:szCs w:val="32"/>
        </w:rPr>
        <w:t>，始终保持信息公开工作组织健全、领导坚强、运行高效</w:t>
      </w:r>
      <w:r>
        <w:rPr>
          <w:rFonts w:ascii="仿宋_GB2312" w:hAnsi="仿宋_GB2312" w:cs="仿宋_GB2312"/>
          <w:color w:val="000000"/>
          <w:szCs w:val="32"/>
        </w:rPr>
        <w:t>。</w:t>
      </w:r>
    </w:p>
    <w:p>
      <w:pPr>
        <w:widowControl/>
        <w:spacing w:line="560" w:lineRule="exact"/>
        <w:ind w:firstLine="675"/>
        <w:rPr>
          <w:rFonts w:ascii="楷体_GB2312" w:hAnsi="华文楷体" w:eastAsia="楷体_GB2312" w:cs="仿宋_GB2312"/>
          <w:color w:val="000000"/>
          <w:szCs w:val="32"/>
        </w:rPr>
      </w:pPr>
      <w:r>
        <w:rPr>
          <w:rFonts w:ascii="楷体_GB2312" w:hAnsi="华文楷体" w:eastAsia="楷体_GB2312" w:cs="仿宋_GB2312"/>
          <w:color w:val="000000"/>
          <w:szCs w:val="32"/>
        </w:rPr>
        <w:t>（二）</w:t>
      </w:r>
      <w:r>
        <w:rPr>
          <w:rFonts w:hint="eastAsia" w:ascii="楷体_GB2312" w:hAnsi="华文楷体" w:eastAsia="楷体_GB2312" w:cs="仿宋_GB2312"/>
          <w:color w:val="000000"/>
          <w:szCs w:val="32"/>
        </w:rPr>
        <w:t>深入</w:t>
      </w:r>
      <w:r>
        <w:rPr>
          <w:rFonts w:ascii="楷体_GB2312" w:hAnsi="华文楷体" w:eastAsia="楷体_GB2312" w:cs="仿宋_GB2312"/>
          <w:color w:val="000000"/>
          <w:szCs w:val="32"/>
        </w:rPr>
        <w:t>推</w:t>
      </w:r>
      <w:r>
        <w:rPr>
          <w:rFonts w:hint="eastAsia" w:ascii="楷体_GB2312" w:hAnsi="华文楷体" w:eastAsia="楷体_GB2312" w:cs="仿宋_GB2312"/>
          <w:color w:val="000000"/>
          <w:szCs w:val="32"/>
        </w:rPr>
        <w:t>进</w:t>
      </w:r>
      <w:r>
        <w:rPr>
          <w:rFonts w:ascii="楷体_GB2312" w:hAnsi="华文楷体" w:eastAsia="楷体_GB2312" w:cs="仿宋_GB2312"/>
          <w:color w:val="000000"/>
          <w:szCs w:val="32"/>
        </w:rPr>
        <w:t>主动公开</w:t>
      </w:r>
    </w:p>
    <w:p>
      <w:pPr>
        <w:widowControl/>
        <w:spacing w:line="560" w:lineRule="exact"/>
        <w:ind w:firstLine="675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坚持“以公开为常态，不公开为例外”的原则，认真</w:t>
      </w:r>
      <w:r>
        <w:rPr>
          <w:rFonts w:ascii="仿宋_GB2312" w:hAnsi="仿宋_GB2312" w:cs="仿宋_GB2312"/>
          <w:color w:val="000000"/>
          <w:szCs w:val="32"/>
        </w:rPr>
        <w:t>落实《北京市</w:t>
      </w:r>
      <w:r>
        <w:rPr>
          <w:rFonts w:hint="eastAsia" w:ascii="仿宋_GB2312" w:hAnsi="仿宋_GB2312" w:cs="仿宋_GB2312"/>
          <w:color w:val="000000"/>
          <w:szCs w:val="32"/>
        </w:rPr>
        <w:t>通州区</w:t>
      </w:r>
      <w:r>
        <w:rPr>
          <w:rFonts w:ascii="仿宋_GB2312" w:hAnsi="仿宋_GB2312" w:cs="仿宋_GB2312"/>
          <w:color w:val="000000"/>
          <w:szCs w:val="32"/>
        </w:rPr>
        <w:t>202</w:t>
      </w:r>
      <w:r>
        <w:rPr>
          <w:rFonts w:hint="eastAsia" w:ascii="仿宋_GB2312" w:hAnsi="仿宋_GB2312" w:cs="仿宋_GB2312"/>
          <w:color w:val="000000"/>
          <w:szCs w:val="32"/>
        </w:rPr>
        <w:t>3</w:t>
      </w:r>
      <w:r>
        <w:rPr>
          <w:rFonts w:ascii="仿宋_GB2312" w:hAnsi="仿宋_GB2312" w:cs="仿宋_GB2312"/>
          <w:color w:val="000000"/>
          <w:szCs w:val="32"/>
        </w:rPr>
        <w:t>年政务公开工作要点》，</w:t>
      </w:r>
      <w:r>
        <w:rPr>
          <w:rFonts w:hint="eastAsia" w:ascii="仿宋_GB2312" w:hAnsi="仿宋_GB2312" w:cs="仿宋_GB2312"/>
          <w:color w:val="000000"/>
          <w:szCs w:val="32"/>
        </w:rPr>
        <w:t>纵</w:t>
      </w:r>
      <w:r>
        <w:rPr>
          <w:rFonts w:ascii="仿宋_GB2312" w:hAnsi="仿宋_GB2312" w:cs="仿宋_GB2312"/>
          <w:color w:val="000000"/>
          <w:szCs w:val="32"/>
        </w:rPr>
        <w:t>深推进</w:t>
      </w:r>
      <w:r>
        <w:rPr>
          <w:rFonts w:hint="eastAsia" w:ascii="仿宋_GB2312" w:hAnsi="仿宋_GB2312" w:cs="仿宋_GB2312"/>
          <w:color w:val="000000"/>
          <w:szCs w:val="32"/>
        </w:rPr>
        <w:t>财政</w:t>
      </w:r>
      <w:r>
        <w:rPr>
          <w:rFonts w:ascii="仿宋_GB2312" w:hAnsi="仿宋_GB2312" w:cs="仿宋_GB2312"/>
          <w:color w:val="000000"/>
          <w:szCs w:val="32"/>
        </w:rPr>
        <w:t>预决算</w:t>
      </w:r>
      <w:r>
        <w:rPr>
          <w:rFonts w:hint="eastAsia" w:ascii="仿宋_GB2312" w:hAnsi="仿宋_GB2312" w:cs="仿宋_GB2312"/>
          <w:color w:val="000000"/>
          <w:szCs w:val="32"/>
        </w:rPr>
        <w:t>、地方政府债务、政府采购领域、直达资金执行</w:t>
      </w:r>
      <w:r>
        <w:rPr>
          <w:rFonts w:ascii="仿宋_GB2312" w:hAnsi="仿宋_GB2312" w:cs="仿宋_GB2312"/>
          <w:color w:val="000000"/>
          <w:szCs w:val="32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方面</w:t>
      </w:r>
      <w:r>
        <w:rPr>
          <w:rFonts w:ascii="仿宋_GB2312" w:hAnsi="仿宋_GB2312" w:cs="仿宋_GB2312"/>
          <w:color w:val="000000"/>
          <w:szCs w:val="32"/>
        </w:rPr>
        <w:t>信息公开</w:t>
      </w:r>
      <w:r>
        <w:rPr>
          <w:rFonts w:hint="eastAsia" w:ascii="仿宋_GB2312" w:hAnsi="仿宋_GB2312" w:cs="仿宋_GB2312"/>
          <w:color w:val="000000"/>
          <w:szCs w:val="32"/>
        </w:rPr>
        <w:t>。2023年，通过区政府门户网站主动公开信息82条。</w:t>
      </w:r>
    </w:p>
    <w:p>
      <w:pPr>
        <w:widowControl/>
        <w:spacing w:line="560" w:lineRule="exact"/>
        <w:ind w:firstLine="675"/>
        <w:rPr>
          <w:rFonts w:ascii="楷体_GB2312" w:hAnsi="华文楷体" w:eastAsia="楷体_GB2312" w:cs="仿宋_GB2312"/>
          <w:color w:val="000000"/>
          <w:szCs w:val="32"/>
        </w:rPr>
      </w:pPr>
      <w:r>
        <w:rPr>
          <w:rFonts w:ascii="楷体_GB2312" w:hAnsi="华文楷体" w:eastAsia="楷体_GB2312" w:cs="仿宋_GB2312"/>
          <w:color w:val="000000"/>
          <w:szCs w:val="32"/>
        </w:rPr>
        <w:t>（三）严格办理依申请公开</w:t>
      </w:r>
    </w:p>
    <w:p>
      <w:pPr>
        <w:widowControl/>
        <w:spacing w:line="560" w:lineRule="exact"/>
        <w:ind w:firstLine="675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从严规范依申请公开工作规程，完善依申请公开接收、登记、办理、答复流程，确保</w:t>
      </w:r>
      <w:r>
        <w:rPr>
          <w:rFonts w:ascii="仿宋_GB2312" w:hAnsi="仿宋_GB2312" w:cs="仿宋_GB2312"/>
          <w:color w:val="000000"/>
          <w:szCs w:val="32"/>
        </w:rPr>
        <w:t>申请受理渠道</w:t>
      </w:r>
      <w:r>
        <w:rPr>
          <w:rFonts w:hint="eastAsia" w:ascii="仿宋_GB2312" w:hAnsi="仿宋_GB2312" w:cs="仿宋_GB2312"/>
          <w:color w:val="000000"/>
          <w:szCs w:val="32"/>
        </w:rPr>
        <w:t>畅通。全年收到政府信息公开申请16件，已到答复期的14件全部按期答复，2件未到答复期的按照时限规定在2024年进行答复。</w:t>
      </w:r>
    </w:p>
    <w:p>
      <w:pPr>
        <w:widowControl/>
        <w:spacing w:line="560" w:lineRule="exact"/>
        <w:ind w:firstLine="675"/>
        <w:rPr>
          <w:rFonts w:ascii="楷体_GB2312" w:hAnsi="华文楷体" w:eastAsia="楷体_GB2312" w:cs="仿宋_GB2312"/>
          <w:color w:val="000000"/>
          <w:szCs w:val="32"/>
        </w:rPr>
      </w:pPr>
      <w:r>
        <w:rPr>
          <w:rFonts w:ascii="楷体_GB2312" w:hAnsi="华文楷体" w:eastAsia="楷体_GB2312" w:cs="仿宋_GB2312"/>
          <w:color w:val="000000"/>
          <w:szCs w:val="32"/>
        </w:rPr>
        <w:t>（四）规范政府信息管理</w:t>
      </w:r>
    </w:p>
    <w:p>
      <w:pPr>
        <w:widowControl/>
        <w:spacing w:line="560" w:lineRule="exact"/>
        <w:ind w:firstLine="675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进一步完善制度、细化措施，加力推进信息公开制度化、规范化和程序化。从严落实政府网站信息发布“三审三校”制度，从严坚持“先审查后公开”原则，严把政治关、法律关、政策关、保密关、文字关。</w:t>
      </w:r>
    </w:p>
    <w:p>
      <w:pPr>
        <w:widowControl/>
        <w:spacing w:line="560" w:lineRule="exact"/>
        <w:ind w:firstLine="675"/>
        <w:rPr>
          <w:rFonts w:ascii="楷体_GB2312" w:hAnsi="华文楷体" w:eastAsia="楷体_GB2312" w:cs="仿宋_GB2312"/>
          <w:color w:val="000000"/>
          <w:szCs w:val="32"/>
        </w:rPr>
      </w:pPr>
      <w:r>
        <w:rPr>
          <w:rFonts w:ascii="楷体_GB2312" w:hAnsi="华文楷体" w:eastAsia="楷体_GB2312" w:cs="仿宋_GB2312"/>
          <w:color w:val="000000"/>
          <w:szCs w:val="32"/>
        </w:rPr>
        <w:t>（</w:t>
      </w:r>
      <w:r>
        <w:rPr>
          <w:rFonts w:hint="eastAsia" w:ascii="楷体_GB2312" w:hAnsi="华文楷体" w:eastAsia="楷体_GB2312" w:cs="仿宋_GB2312"/>
          <w:color w:val="000000"/>
          <w:szCs w:val="32"/>
        </w:rPr>
        <w:t>五</w:t>
      </w:r>
      <w:r>
        <w:rPr>
          <w:rFonts w:ascii="楷体_GB2312" w:hAnsi="华文楷体" w:eastAsia="楷体_GB2312" w:cs="仿宋_GB2312"/>
          <w:color w:val="000000"/>
          <w:szCs w:val="32"/>
        </w:rPr>
        <w:t>）</w:t>
      </w:r>
      <w:r>
        <w:rPr>
          <w:rFonts w:hint="eastAsia" w:ascii="楷体_GB2312" w:hAnsi="华文楷体" w:eastAsia="楷体_GB2312" w:cs="仿宋_GB2312"/>
          <w:color w:val="000000"/>
          <w:szCs w:val="32"/>
        </w:rPr>
        <w:t>强化</w:t>
      </w:r>
      <w:r>
        <w:rPr>
          <w:rFonts w:ascii="楷体_GB2312" w:hAnsi="华文楷体" w:eastAsia="楷体_GB2312" w:cs="仿宋_GB2312"/>
          <w:color w:val="000000"/>
          <w:szCs w:val="32"/>
        </w:rPr>
        <w:t>教育培训与监督保障</w:t>
      </w: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认真及时传达学习上级关于做好信息公开工作的会议及文件精神，积极安排信息公开工作人员参加上级组织的业务学习和培训，深入开展对信息公开人员的专门培训，着力加强实践锻炼和业务训练，有效提升了信息公开人员的业务能力和素质。大力</w:t>
      </w:r>
      <w:r>
        <w:rPr>
          <w:rFonts w:hint="eastAsia" w:ascii="仿宋_GB2312"/>
          <w:color w:val="000000"/>
          <w:szCs w:val="32"/>
          <w:shd w:val="clear" w:color="auto" w:fill="FFFFFF"/>
        </w:rPr>
        <w:t>加强对局内信息公开工作的监督、检查和指导，</w:t>
      </w:r>
      <w:r>
        <w:rPr>
          <w:rFonts w:hint="eastAsia" w:ascii="仿宋_GB2312" w:hAnsi="宋体" w:cs="宋体"/>
          <w:kern w:val="0"/>
          <w:szCs w:val="32"/>
        </w:rPr>
        <w:t>加大工作提醒、督促和检查的力度，确保了信息公开工作按时限、按标准、高质量的落实。</w:t>
      </w:r>
    </w:p>
    <w:p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  <w:szCs w:val="32"/>
        </w:rPr>
        <w:t>二、主动公开政府信息情况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172.5</w:t>
            </w:r>
          </w:p>
        </w:tc>
      </w:tr>
    </w:tbl>
    <w:p>
      <w:pPr>
        <w:spacing w:line="560" w:lineRule="exact"/>
        <w:ind w:left="630"/>
        <w:rPr>
          <w:rFonts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</w:rPr>
        <w:t>三、收到和处理政府信息公开申请情况</w:t>
      </w:r>
    </w:p>
    <w:tbl>
      <w:tblPr>
        <w:tblStyle w:val="6"/>
        <w:tblW w:w="9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959"/>
        <w:gridCol w:w="3406"/>
        <w:gridCol w:w="714"/>
        <w:gridCol w:w="714"/>
        <w:gridCol w:w="714"/>
        <w:gridCol w:w="714"/>
        <w:gridCol w:w="714"/>
        <w:gridCol w:w="714"/>
        <w:gridCol w:w="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06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0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57" w:type="dxa"/>
              <w:right w:w="57" w:type="dxa"/>
            </w:tcMar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65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2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  <w:tc>
          <w:tcPr>
            <w:tcW w:w="5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2</w:t>
            </w:r>
          </w:p>
        </w:tc>
      </w:tr>
    </w:tbl>
    <w:p>
      <w:pPr>
        <w:spacing w:line="560" w:lineRule="exact"/>
        <w:ind w:firstLine="632" w:firstLineChars="200"/>
        <w:rPr>
          <w:rFonts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Times New Roman" w:cs="宋体"/>
                <w:sz w:val="24"/>
              </w:rPr>
            </w:pPr>
            <w:r>
              <w:rPr>
                <w:rFonts w:hint="eastAsia" w:ascii="宋体" w:hAnsi="Times New Roman" w:cs="宋体"/>
                <w:sz w:val="24"/>
              </w:rPr>
              <w:t>0</w:t>
            </w:r>
          </w:p>
        </w:tc>
      </w:tr>
    </w:tbl>
    <w:p>
      <w:pPr>
        <w:spacing w:line="560" w:lineRule="exact"/>
        <w:ind w:firstLine="632" w:firstLineChars="200"/>
        <w:rPr>
          <w:rFonts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</w:pPr>
      <w:r>
        <w:rPr>
          <w:rFonts w:hint="eastAsia" w:ascii="仿宋_GB2312"/>
          <w:color w:val="000000"/>
          <w:szCs w:val="32"/>
          <w:shd w:val="clear" w:color="auto" w:fill="FFFFFF"/>
        </w:rPr>
        <w:t>2023年，我局信息公开工作虽然取得了一定成绩成效，但还存在</w:t>
      </w:r>
      <w:r>
        <w:rPr>
          <w:rFonts w:ascii="仿宋_GB2312"/>
          <w:color w:val="000000"/>
          <w:szCs w:val="32"/>
          <w:shd w:val="clear" w:color="auto" w:fill="FFFFFF"/>
        </w:rPr>
        <w:t>信息公开面有待拓宽</w:t>
      </w:r>
      <w:r>
        <w:rPr>
          <w:rFonts w:hint="eastAsia" w:ascii="仿宋_GB2312"/>
          <w:color w:val="000000"/>
          <w:szCs w:val="32"/>
          <w:shd w:val="clear" w:color="auto" w:fill="FFFFFF"/>
        </w:rPr>
        <w:t>、依申请公开办理能力有待提高等问题。改进措施：一是</w:t>
      </w:r>
      <w:r>
        <w:rPr>
          <w:rFonts w:ascii="仿宋_GB2312"/>
          <w:color w:val="000000"/>
          <w:szCs w:val="32"/>
          <w:shd w:val="clear" w:color="auto" w:fill="FFFFFF"/>
        </w:rPr>
        <w:t>牢牢把握</w:t>
      </w:r>
      <w:r>
        <w:rPr>
          <w:rFonts w:hint="eastAsia" w:ascii="仿宋_GB2312"/>
          <w:color w:val="000000"/>
          <w:szCs w:val="32"/>
          <w:shd w:val="clear" w:color="auto" w:fill="FFFFFF"/>
        </w:rPr>
        <w:t>“</w:t>
      </w:r>
      <w:r>
        <w:rPr>
          <w:rFonts w:ascii="仿宋_GB2312"/>
          <w:color w:val="000000"/>
          <w:szCs w:val="32"/>
          <w:shd w:val="clear" w:color="auto" w:fill="FFFFFF"/>
        </w:rPr>
        <w:t>以公开为原则，不公开为例外</w:t>
      </w:r>
      <w:r>
        <w:rPr>
          <w:rFonts w:hint="eastAsia" w:ascii="仿宋_GB2312"/>
          <w:color w:val="000000"/>
          <w:szCs w:val="32"/>
          <w:shd w:val="clear" w:color="auto" w:fill="FFFFFF"/>
        </w:rPr>
        <w:t>”</w:t>
      </w:r>
      <w:r>
        <w:rPr>
          <w:rFonts w:ascii="仿宋_GB2312"/>
          <w:color w:val="000000"/>
          <w:szCs w:val="32"/>
          <w:shd w:val="clear" w:color="auto" w:fill="FFFFFF"/>
        </w:rPr>
        <w:t>的原则，准确把握公开范围和公开时限，不断丰富公开内容</w:t>
      </w:r>
      <w:r>
        <w:rPr>
          <w:rFonts w:hint="eastAsia" w:ascii="仿宋_GB2312"/>
          <w:color w:val="000000"/>
          <w:szCs w:val="32"/>
          <w:shd w:val="clear" w:color="auto" w:fill="FFFFFF"/>
        </w:rPr>
        <w:t>，</w:t>
      </w:r>
      <w:r>
        <w:rPr>
          <w:rFonts w:ascii="仿宋_GB2312"/>
          <w:color w:val="000000"/>
          <w:szCs w:val="32"/>
          <w:shd w:val="clear" w:color="auto" w:fill="FFFFFF"/>
        </w:rPr>
        <w:t>提高公开质量。</w:t>
      </w:r>
      <w:r>
        <w:rPr>
          <w:rFonts w:hint="eastAsia" w:ascii="仿宋_GB2312"/>
          <w:color w:val="000000"/>
          <w:szCs w:val="32"/>
          <w:shd w:val="clear" w:color="auto" w:fill="FFFFFF"/>
        </w:rPr>
        <w:t>二是积极开展针对性、专业化培训，努力提升信息公开人员的业务能力和水平。三是持续</w:t>
      </w:r>
      <w:r>
        <w:rPr>
          <w:rFonts w:ascii="仿宋_GB2312"/>
          <w:color w:val="000000"/>
          <w:szCs w:val="32"/>
          <w:shd w:val="clear" w:color="auto" w:fill="FFFFFF"/>
        </w:rPr>
        <w:t>优化</w:t>
      </w:r>
      <w:r>
        <w:rPr>
          <w:rFonts w:hint="eastAsia" w:ascii="仿宋_GB2312"/>
          <w:color w:val="000000"/>
          <w:szCs w:val="32"/>
          <w:shd w:val="clear" w:color="auto" w:fill="FFFFFF"/>
        </w:rPr>
        <w:t>信息公开</w:t>
      </w:r>
      <w:r>
        <w:rPr>
          <w:rFonts w:ascii="仿宋_GB2312"/>
          <w:color w:val="000000"/>
          <w:szCs w:val="32"/>
          <w:shd w:val="clear" w:color="auto" w:fill="FFFFFF"/>
        </w:rPr>
        <w:t>工作流程，</w:t>
      </w:r>
      <w:r>
        <w:rPr>
          <w:rFonts w:hint="eastAsia" w:ascii="仿宋_GB2312"/>
          <w:color w:val="000000"/>
          <w:szCs w:val="32"/>
          <w:shd w:val="clear" w:color="auto" w:fill="FFFFFF"/>
        </w:rPr>
        <w:t>提高工作标准，不断推动信息公开工作上台阶、上水平</w:t>
      </w:r>
      <w:r>
        <w:rPr>
          <w:rFonts w:hint="eastAsia" w:ascii="仿宋_GB2312" w:hAnsi="宋体" w:cs="宋体"/>
          <w:kern w:val="0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kern w:val="0"/>
          <w:szCs w:val="32"/>
        </w:rPr>
      </w:pPr>
      <w:r>
        <w:rPr>
          <w:rFonts w:ascii="黑体" w:hAnsi="黑体" w:eastAsia="黑体" w:cs="宋体"/>
          <w:kern w:val="0"/>
          <w:szCs w:val="32"/>
        </w:rPr>
        <w:t>六、其他需要报告的事项</w:t>
      </w: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根据《政府信息公开信息处理费管理办法》(国办函〔2020〕109号)，2023年度我局收取信息处理费情况为：发出收费通知的件数为0件，总金额为0元，实际收取的总金额为0元。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北京市通州区人民政府网站网址为http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宋体" w:cs="宋体"/>
          <w:kern w:val="0"/>
          <w:szCs w:val="32"/>
        </w:rPr>
        <w:t>://www.bjtzh.gov.cn/，如需了解更多政府信息，请登录查询。</w:t>
      </w:r>
    </w:p>
    <w:sectPr>
      <w:pgSz w:w="11906" w:h="16838"/>
      <w:pgMar w:top="2098" w:right="1474" w:bottom="1985" w:left="1588" w:header="0" w:footer="1304" w:gutter="0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644C7-C02B-4E31-A327-07DF84C7D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68D144-74BA-4FB7-8162-EABE747F89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F477F2-5B87-48B4-9063-6607B2F81D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72D67D-9213-4A8B-8213-F3B53EE6512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CA969C7-85C4-4E09-ABBD-924D518CFDE3}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97767B89-0C78-40C6-BDC1-0002B62FAFE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5C1C30B-B401-4FCB-8807-80B02B7ED8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002E740C"/>
    <w:rsid w:val="00014336"/>
    <w:rsid w:val="00112707"/>
    <w:rsid w:val="002E740C"/>
    <w:rsid w:val="00336065"/>
    <w:rsid w:val="0035440F"/>
    <w:rsid w:val="0037505C"/>
    <w:rsid w:val="00385BFC"/>
    <w:rsid w:val="00397498"/>
    <w:rsid w:val="0040607B"/>
    <w:rsid w:val="005D434A"/>
    <w:rsid w:val="00780878"/>
    <w:rsid w:val="00940810"/>
    <w:rsid w:val="00981715"/>
    <w:rsid w:val="00A64CF5"/>
    <w:rsid w:val="00BB478B"/>
    <w:rsid w:val="00D55E7B"/>
    <w:rsid w:val="00D56856"/>
    <w:rsid w:val="00F16A5D"/>
    <w:rsid w:val="247977B5"/>
    <w:rsid w:val="3D9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uiPriority w:val="39"/>
    <w:pPr>
      <w:ind w:left="840" w:leftChars="400"/>
    </w:pPr>
  </w:style>
  <w:style w:type="paragraph" w:styleId="3">
    <w:name w:val="Plain Text"/>
    <w:basedOn w:val="1"/>
    <w:link w:val="8"/>
    <w:qFormat/>
    <w:uiPriority w:val="0"/>
    <w:rPr>
      <w:rFonts w:ascii="宋体" w:hAnsi="Courier New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3"/>
    <w:uiPriority w:val="0"/>
    <w:rPr>
      <w:rFonts w:ascii="宋体" w:hAnsi="Courier New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</Words>
  <Characters>2014</Characters>
  <Lines>16</Lines>
  <Paragraphs>4</Paragraphs>
  <TotalTime>81</TotalTime>
  <ScaleCrop>false</ScaleCrop>
  <LinksUpToDate>false</LinksUpToDate>
  <CharactersWithSpaces>2363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2024-01-12T06:14:00Z</dcterms:created>
  <dc:creator>CZJBGS-001A</dc:creator>
  <cp:lastModifiedBy>slw</cp:lastModifiedBy>
  <dcterms:modified xsi:type="dcterms:W3CDTF">2024-01-23T08:51:08Z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D42AE750AA664409B6D818472D839CE5_13</vt:lpwstr>
  </property>
</Properties>
</file>