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8D" w:rsidRPr="00A05AC9" w:rsidRDefault="00F4358D" w:rsidP="00F4358D">
      <w:pPr>
        <w:autoSpaceDE w:val="0"/>
        <w:autoSpaceDN w:val="0"/>
        <w:adjustRightInd w:val="0"/>
        <w:jc w:val="center"/>
        <w:outlineLvl w:val="0"/>
        <w:rPr>
          <w:rFonts w:ascii="方正小标宋简体" w:eastAsia="方正小标宋简体" w:cs="宋体" w:hint="eastAsia"/>
          <w:bCs/>
          <w:sz w:val="36"/>
          <w:szCs w:val="36"/>
          <w:lang w:val="zh-CN"/>
        </w:rPr>
      </w:pPr>
      <w:r w:rsidRPr="00A05AC9">
        <w:rPr>
          <w:rFonts w:ascii="方正小标宋简体" w:eastAsia="方正小标宋简体" w:hAnsi="宋体" w:cs="宋体" w:hint="eastAsia"/>
          <w:bCs/>
          <w:sz w:val="36"/>
          <w:szCs w:val="36"/>
        </w:rPr>
        <w:t>2017</w:t>
      </w:r>
      <w:r w:rsidRPr="00A05AC9">
        <w:rPr>
          <w:rFonts w:ascii="方正小标宋简体" w:eastAsia="方正小标宋简体" w:hAnsi="宋体" w:cs="仿宋_GB2312" w:hint="eastAsia"/>
          <w:bCs/>
          <w:sz w:val="36"/>
          <w:szCs w:val="36"/>
        </w:rPr>
        <w:t>年度</w:t>
      </w:r>
      <w:r w:rsidRPr="00A05AC9">
        <w:rPr>
          <w:rFonts w:ascii="方正小标宋简体" w:eastAsia="方正小标宋简体" w:hAnsi="宋体" w:cs="仿宋_GB2312" w:hint="eastAsia"/>
          <w:bCs/>
          <w:sz w:val="36"/>
          <w:szCs w:val="36"/>
          <w:lang w:val="zh-CN"/>
        </w:rPr>
        <w:t>通州区科学技术奖评审结果汇总表</w:t>
      </w:r>
    </w:p>
    <w:tbl>
      <w:tblPr>
        <w:tblW w:w="0" w:type="auto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6"/>
        <w:gridCol w:w="1542"/>
        <w:gridCol w:w="1986"/>
        <w:gridCol w:w="1982"/>
        <w:gridCol w:w="1957"/>
        <w:gridCol w:w="1305"/>
      </w:tblGrid>
      <w:tr w:rsidR="00F4358D" w:rsidTr="008A09C1">
        <w:trPr>
          <w:trHeight w:val="1258"/>
          <w:tblHeader/>
        </w:trPr>
        <w:tc>
          <w:tcPr>
            <w:tcW w:w="52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项目</w:t>
            </w:r>
          </w:p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完成单位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主要完成人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获奖</w:t>
            </w:r>
          </w:p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sz w:val="28"/>
                <w:szCs w:val="28"/>
              </w:rPr>
              <w:t>等级</w:t>
            </w:r>
          </w:p>
        </w:tc>
      </w:tr>
      <w:tr w:rsidR="00F4358D" w:rsidTr="008A09C1">
        <w:trPr>
          <w:trHeight w:val="1833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2017-1-01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自膨式支架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联合远端血栓保护装置治疗症状性椎动脉起始段狭窄的研究及应用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耿晓坤、杜会山</w:t>
            </w:r>
          </w:p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哲、高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洁</w:t>
            </w:r>
          </w:p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朱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猛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2200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2017-1-02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京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津冀果蔬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生物合理性药剂减量施用关键技术与应用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北京达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丰生物科技有限公司、中国农业大学植物保护学院、北京绿色农华作物科技有限公司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高希武、徐万涛张雄鹏、林梅根李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鹏、耿存瑞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成、刘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晓岚张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云华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1937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2017-1-03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锦纶一步法分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纤母丝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产业化成套设备及工艺技术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中丽制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机工程技术有限公司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沈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、张丙红赵雨涛、崔景琳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樊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华、孔维嘉李秀宾、侯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伯唐志萍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2253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2017-1-04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distribute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胰岛素样生长因子结合蛋白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IGFBP-3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）、肿瘤转移相关基因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MTA1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）与食管鳞癌临床及预后</w:t>
            </w:r>
          </w:p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的相关性研究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杨海平、吴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骏</w:t>
            </w:r>
            <w:proofErr w:type="gramEnd"/>
          </w:p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许丽娟、王艳瑜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1837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2017-1-05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柔性配送中心技术研究与应用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北京物资学院、北京伍强科技有限公司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王成林、尹军琪王欣旭、渠晓通张旭凤、孙卫华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姚志英、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贾美慧王小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1846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3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2017-1-06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经灌注球囊冠状动脉注射维拉帕米处理介入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术中慢血流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与无复流的疗效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郭金成、李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静李东宝、王德昭华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琦、徐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荣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王国忠、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陈文明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1805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3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2017-1-07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distribute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北京地区献血人群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Duffy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血型表型筛查及稀有血型库的建立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普</w:t>
            </w:r>
          </w:p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及应用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北京市通州区中心血站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张燕华、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陈兰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兰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张嘉洪、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车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进李美霖、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PersonName">
              <w:smartTagPr>
                <w:attr w:name="ProductID" w:val="李天"/>
              </w:smartTagPr>
              <w:r>
                <w:rPr>
                  <w:rFonts w:ascii="仿宋_GB2312" w:hAnsi="仿宋_GB2312" w:cs="仿宋_GB2312" w:hint="eastAsia"/>
                  <w:color w:val="000000"/>
                  <w:sz w:val="24"/>
                  <w:szCs w:val="24"/>
                </w:rPr>
                <w:t>李</w:t>
              </w:r>
              <w:proofErr w:type="gramStart"/>
              <w:r>
                <w:rPr>
                  <w:rFonts w:ascii="仿宋_GB2312" w:hAnsi="仿宋_GB2312" w:cs="仿宋_GB2312" w:hint="eastAsia"/>
                  <w:color w:val="000000"/>
                  <w:sz w:val="24"/>
                  <w:szCs w:val="24"/>
                </w:rPr>
                <w:t>天</w:t>
              </w:r>
            </w:smartTag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君麻静敏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李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凤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莹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1756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3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2017-1-08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distribute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血清全段成纤维细胞生长因子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-23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型糖尿病肾病不同分期</w:t>
            </w:r>
          </w:p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中的变化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张宝玉、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赵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冬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一等奖</w:t>
            </w:r>
          </w:p>
        </w:tc>
      </w:tr>
      <w:tr w:rsidR="00F4358D" w:rsidTr="008A09C1">
        <w:trPr>
          <w:trHeight w:val="1709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3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2017-2-01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基于仿生学表面湿化原理的氧疗产品的研发与应用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北京万生人和科技有限公司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黄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河、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董东生</w:t>
            </w:r>
            <w:proofErr w:type="gramEnd"/>
          </w:p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张月梅、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刘雪睿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2042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3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2017-2-02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大剂量甲氨蝶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及左旋门冬酰胺酶在成人高危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Ph-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急性淋巴细胞白血病长期生存的应用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周合冰、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越张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曾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惠</w:t>
            </w:r>
          </w:p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傅晨晓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847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3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2017-2-03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梨小食心虫迷向散发器的生产和推广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北京中捷四方生物科技股份有限公司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崔艮中、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杨树生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李拥虎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琳解晓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军、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贾玉迪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3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675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8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2017-2-04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核辐射实时跟踪定位可视化成像监控系统的开发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北京永新医疗设备有限公司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陈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思、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刘亚强高丽蕾、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波邝凯毅、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江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年铭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侯岩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松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732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8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2017-2-05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64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排螺旋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CT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冠状动脉造影诊断支架内再狭窄的价值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彭峰河、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彭如臣张雪梅、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高焕锋马国武、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张殿平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2322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8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2017-2-06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 w:rsidRPr="008F0BE7">
              <w:rPr>
                <w:rFonts w:ascii="仿宋_GB2312" w:hAnsi="仿宋_GB2312" w:cs="仿宋_GB2312"/>
                <w:color w:val="000000"/>
                <w:spacing w:val="-20"/>
                <w:sz w:val="24"/>
                <w:szCs w:val="24"/>
              </w:rPr>
              <w:t>MicroRNA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0"/>
                <w:attr w:name="UnitName" w:val="a"/>
              </w:smartTagPr>
              <w:r w:rsidRPr="008F0BE7">
                <w:rPr>
                  <w:rFonts w:ascii="仿宋_GB2312" w:hAnsi="仿宋_GB2312" w:cs="仿宋_GB2312"/>
                  <w:color w:val="000000"/>
                  <w:spacing w:val="-20"/>
                  <w:sz w:val="24"/>
                  <w:szCs w:val="24"/>
                </w:rPr>
                <w:t>-10a</w:t>
              </w:r>
            </w:smartTag>
            <w:r w:rsidRPr="008F0BE7">
              <w:rPr>
                <w:rFonts w:ascii="仿宋_GB2312" w:hAnsi="仿宋_GB2312" w:cs="仿宋_GB2312"/>
                <w:color w:val="000000"/>
                <w:spacing w:val="-20"/>
                <w:sz w:val="24"/>
                <w:szCs w:val="24"/>
              </w:rPr>
              <w:t>-5p</w:t>
            </w:r>
            <w:r w:rsidRPr="008F0BE7"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与</w:t>
            </w:r>
            <w:r w:rsidRPr="008F0BE7">
              <w:rPr>
                <w:rFonts w:ascii="仿宋_GB2312" w:hAnsi="仿宋_GB2312" w:cs="仿宋_GB2312"/>
                <w:color w:val="000000"/>
                <w:spacing w:val="-20"/>
                <w:sz w:val="24"/>
                <w:szCs w:val="24"/>
              </w:rPr>
              <w:t>M</w:t>
            </w:r>
            <w:r w:rsidRPr="008F0BE7">
              <w:rPr>
                <w:rFonts w:ascii="仿宋_GB2312" w:hAnsi="仿宋_GB2312" w:cs="仿宋_GB2312"/>
                <w:color w:val="000000"/>
                <w:spacing w:val="-12"/>
                <w:sz w:val="24"/>
                <w:szCs w:val="24"/>
              </w:rPr>
              <w:t>icroRNA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4"/>
                <w:attr w:name="UnitName" w:val="C"/>
              </w:smartTagPr>
              <w:r w:rsidRPr="008F0BE7">
                <w:rPr>
                  <w:rFonts w:ascii="仿宋_GB2312" w:hAnsi="仿宋_GB2312" w:cs="仿宋_GB2312"/>
                  <w:color w:val="000000"/>
                  <w:spacing w:val="-12"/>
                  <w:sz w:val="24"/>
                  <w:szCs w:val="24"/>
                </w:rPr>
                <w:t>-34c</w:t>
              </w:r>
            </w:smartTag>
            <w:r w:rsidRPr="008F0BE7">
              <w:rPr>
                <w:rFonts w:ascii="仿宋_GB2312" w:hAnsi="仿宋_GB2312" w:cs="仿宋_GB2312"/>
                <w:color w:val="000000"/>
                <w:spacing w:val="-12"/>
                <w:sz w:val="24"/>
                <w:szCs w:val="24"/>
              </w:rPr>
              <w:t>-5p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在喉癌前病变组织中的差异表达及临床病理分析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胡艳萍、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刘红刚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617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8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2017-2-07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应用临床分析结果确定妊娠期血脂参考值范围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北京市通州区妇幼保健院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孟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孟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文颖刘亚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非、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韩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娜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苏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涛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丽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626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8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2017-2-08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厨余垃圾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无害化处理技术及设备研发与集成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阳光盛景（北京）生态科技股份有限公司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张维民、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杨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书林张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宝洪、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中志刘甜甜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531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8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2017-2-09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高空安全防坠落系统的研发及产业化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中际联合（北京）科技股份有限公司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王喜军、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刘志欣刘亚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锋、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丁增杰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张金波、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于启富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8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931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2017-2-10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探索在中国成年人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中颈围作为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胰岛素抵抗及中心性肥胖风险评估的地位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纪智礼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王旭红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490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2017-2-11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半导体扩散用高性能石英保温筒研发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北京凯德石英股份有限公司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张忠恕、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陈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强、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边占宁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427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2017-2-12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单纯腰椎间孔狭窄症的影像学特征及临床表现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陈学明、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崔利宾许崧杰、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袁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鑫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刘亚东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二等奖</w:t>
            </w:r>
          </w:p>
        </w:tc>
      </w:tr>
      <w:tr w:rsidR="00F4358D" w:rsidTr="008A09C1">
        <w:trPr>
          <w:trHeight w:val="1499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2017-3-01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超声引导隐匿切口微创切除乳腺病变的研究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北京市通州区妇幼保健院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史立晖、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李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智朱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毓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腾张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璐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443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2017-3-02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FANS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饲粮与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添加剂效率智能动态实时评估系统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海摩尔（北京）科技有限公司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范石军、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一凡杨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蔡迪狄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田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330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2017-3-03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献血者不规则抗体筛选和鉴定方法的建立及意义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北京市通州区中心血站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李美霖、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李琳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琳</w:t>
            </w:r>
            <w:proofErr w:type="gramEnd"/>
            <w:smartTag w:uri="urn:schemas-microsoft-com:office:smarttags" w:element="PersonName">
              <w:smartTagPr>
                <w:attr w:name="ProductID" w:val="李天"/>
              </w:smartTagPr>
              <w:r>
                <w:rPr>
                  <w:rFonts w:ascii="仿宋_GB2312" w:hAnsi="仿宋_GB2312" w:cs="仿宋_GB2312" w:hint="eastAsia"/>
                  <w:color w:val="000000"/>
                  <w:sz w:val="24"/>
                  <w:szCs w:val="24"/>
                </w:rPr>
                <w:t>李天</w:t>
              </w:r>
            </w:smartTag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君、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车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进隋丽丽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858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2017-3-04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氯丙嗪联合异丙嗪在一过性或永久性缺血性脑卒中的神经保护作用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耿晓坤、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会山李凤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武、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申甲梅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丁玉川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454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2017-3-05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快速平板凝集试验检测板的研发应用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北京市通州区动物疫病预防控制中心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李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芳、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邓乃文孙立丽、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孙健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华尚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457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2017-3-06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特高压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串补保护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自动测试技术研究与应用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北京锐创新智科技有限公司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邹学灿、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王业胜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832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2017-3-07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北京市通州物流基地智能管理平台开发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北京通州物流基地管理委员会、北京千松科技发展有限公司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董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万友凤王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佩、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严杨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滢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593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2017-3-08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微量喂养对减少窒息早产儿发生喂养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不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耐受的价值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北京市通州区妇幼保健院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杨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立、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朱会红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514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2017-3-09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七彩再生石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——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一种新型装饰材料的发明和产业化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北京菁草堂文化艺术中心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马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 w:rsidRPr="008F0BE7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 xml:space="preserve"> </w:t>
            </w:r>
            <w:r w:rsidRPr="008F0BE7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珺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王志华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649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2017-3-10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缺血性卒中后的超早期康复锻炼加剧脑损伤的机制研究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杜会山、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关龙飞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童燕娜、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耿晓坤丁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玉川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856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0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2017-3-11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低血糖对急性心肌梗死后内质网应激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介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导心肌细胞凋亡的作用和机制研究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北京市通州区中医医院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潘国忠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0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604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2017-3-12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一种无抗液态发酵乳猪饲料关键技术研发与应用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北京英惠尔生物技术有限公司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任泽林、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郭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庆王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宏、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鲁保江衍哲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699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2017-3-13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脉冲振荡肺功能和外周血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EOS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在儿童哮喘治疗中的临床意义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北京市通州区妇幼保健院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卢</w:t>
            </w:r>
            <w:proofErr w:type="gramEnd"/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旭、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任建英</w:t>
            </w:r>
          </w:p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刘秀云、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冯海荣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396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2017-3-14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通州新城智慧供热平台研发与示范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北京新城热力有限公司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赵文彬、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杨玉来王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齐、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志王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威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184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2017-3-15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颅内动脉瘤破裂出血急性期治疗研究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首都医科大学附属北京潞河医院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黄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庆、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张洪兵彭如臣、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刚石逸杰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539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2017-3-16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补肾通络方改善特发性肺纤维化肺功能的临床观察研究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北京市通州区中西医结合医院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赵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昕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苏凤哲范洪亮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325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2017-3-17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具备压力通气透视功能心肺复苏模拟器的研制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北京医模科技股份有限公司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梁天颢、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刘凤军周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其羽、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刘贺龙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510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460" w:lineRule="exact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2017-3-18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液相色谱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原子荧光光谱法测定鱼肉松中的甲基汞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北京市通州区疾病预防控制中心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籍术良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刘晓峰王艳春、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芳王建国</w:t>
            </w:r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460" w:lineRule="exact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622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2017-3-19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消失模铸造设备自动粘接机研制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北京天哲消失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模铸造技术有限公司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黄述哲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刘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涛黄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卉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  <w:tr w:rsidR="00F4358D" w:rsidTr="008A09C1">
        <w:trPr>
          <w:trHeight w:val="1545"/>
        </w:trPr>
        <w:tc>
          <w:tcPr>
            <w:tcW w:w="526" w:type="dxa"/>
            <w:vAlign w:val="center"/>
          </w:tcPr>
          <w:p w:rsidR="00F4358D" w:rsidRDefault="00F4358D" w:rsidP="008A09C1">
            <w:pPr>
              <w:pStyle w:val="Style2"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2017"/>
              </w:smartTagPr>
              <w:r>
                <w:rPr>
                  <w:rFonts w:ascii="仿宋_GB2312" w:hAnsi="宋体" w:cs="仿宋_GB2312"/>
                  <w:sz w:val="28"/>
                  <w:szCs w:val="28"/>
                </w:rPr>
                <w:t>2017-3-20</w:t>
              </w:r>
            </w:smartTag>
          </w:p>
        </w:tc>
        <w:tc>
          <w:tcPr>
            <w:tcW w:w="1986" w:type="dxa"/>
            <w:vAlign w:val="center"/>
          </w:tcPr>
          <w:p w:rsidR="00F4358D" w:rsidRDefault="00F4358D" w:rsidP="008A09C1">
            <w:pPr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双法兰端面带齿球形零件的冷镦模具研发</w:t>
            </w:r>
          </w:p>
        </w:tc>
        <w:tc>
          <w:tcPr>
            <w:tcW w:w="1982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left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北京新光凯乐汽车冷成型件股份有限公司</w:t>
            </w:r>
          </w:p>
        </w:tc>
        <w:tc>
          <w:tcPr>
            <w:tcW w:w="1957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冀晋辉</w:t>
            </w:r>
            <w:proofErr w:type="gramEnd"/>
          </w:p>
        </w:tc>
        <w:tc>
          <w:tcPr>
            <w:tcW w:w="1305" w:type="dxa"/>
            <w:vAlign w:val="center"/>
          </w:tcPr>
          <w:p w:rsidR="00F4358D" w:rsidRDefault="00F4358D" w:rsidP="008A09C1">
            <w:pPr>
              <w:spacing w:line="240" w:lineRule="auto"/>
              <w:ind w:left="0" w:firstLine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三等奖</w:t>
            </w:r>
          </w:p>
        </w:tc>
      </w:tr>
    </w:tbl>
    <w:p w:rsidR="00F4358D" w:rsidRDefault="00F4358D" w:rsidP="00F4358D">
      <w:pPr>
        <w:spacing w:line="640" w:lineRule="exact"/>
        <w:ind w:left="0"/>
        <w:rPr>
          <w:rFonts w:ascii="仿宋_GB2312"/>
        </w:rPr>
      </w:pPr>
    </w:p>
    <w:p w:rsidR="00F4358D" w:rsidRDefault="00F4358D" w:rsidP="00F4358D">
      <w:pPr>
        <w:spacing w:line="640" w:lineRule="exact"/>
        <w:ind w:left="0"/>
        <w:rPr>
          <w:rFonts w:ascii="仿宋_GB2312"/>
        </w:rPr>
      </w:pPr>
    </w:p>
    <w:p w:rsidR="00F4358D" w:rsidRDefault="00F4358D" w:rsidP="00F4358D">
      <w:pPr>
        <w:spacing w:line="640" w:lineRule="exact"/>
        <w:ind w:left="0"/>
        <w:rPr>
          <w:rFonts w:ascii="仿宋_GB2312"/>
        </w:rPr>
      </w:pPr>
    </w:p>
    <w:p w:rsidR="00F4358D" w:rsidRDefault="00F4358D" w:rsidP="00F4358D">
      <w:pPr>
        <w:spacing w:line="640" w:lineRule="exact"/>
        <w:ind w:left="0"/>
        <w:rPr>
          <w:rFonts w:ascii="仿宋_GB2312"/>
        </w:rPr>
      </w:pPr>
    </w:p>
    <w:p w:rsidR="00F4358D" w:rsidRDefault="00F4358D" w:rsidP="00F4358D">
      <w:pPr>
        <w:spacing w:line="640" w:lineRule="exact"/>
        <w:ind w:left="0"/>
        <w:rPr>
          <w:rFonts w:ascii="仿宋_GB2312"/>
        </w:rPr>
      </w:pPr>
    </w:p>
    <w:p w:rsidR="00F4358D" w:rsidRDefault="00F4358D" w:rsidP="00F4358D">
      <w:pPr>
        <w:spacing w:line="640" w:lineRule="exact"/>
        <w:ind w:left="0"/>
        <w:rPr>
          <w:rFonts w:ascii="仿宋_GB2312"/>
        </w:rPr>
      </w:pPr>
    </w:p>
    <w:p w:rsidR="008A3B0C" w:rsidRDefault="008A3B0C" w:rsidP="00EC54BE">
      <w:pPr>
        <w:ind w:firstLine="420"/>
      </w:pPr>
    </w:p>
    <w:sectPr w:rsidR="008A3B0C" w:rsidSect="008A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E3969"/>
    <w:multiLevelType w:val="multilevel"/>
    <w:tmpl w:val="704E3969"/>
    <w:lvl w:ilvl="0">
      <w:start w:val="1"/>
      <w:numFmt w:val="decimal"/>
      <w:lvlText w:val="%1."/>
      <w:lvlJc w:val="left"/>
      <w:pPr>
        <w:ind w:left="74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358D"/>
    <w:rsid w:val="00071AA5"/>
    <w:rsid w:val="001352B9"/>
    <w:rsid w:val="001934F3"/>
    <w:rsid w:val="006A4D67"/>
    <w:rsid w:val="008A3B0C"/>
    <w:rsid w:val="009B649D"/>
    <w:rsid w:val="00C623A0"/>
    <w:rsid w:val="00D97564"/>
    <w:rsid w:val="00E834F4"/>
    <w:rsid w:val="00EC54BE"/>
    <w:rsid w:val="00F4358D"/>
    <w:rsid w:val="00FA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8D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szCs w:val="32"/>
    </w:rPr>
  </w:style>
  <w:style w:type="paragraph" w:styleId="1">
    <w:name w:val="heading 1"/>
    <w:basedOn w:val="a"/>
    <w:next w:val="a"/>
    <w:link w:val="1Char"/>
    <w:qFormat/>
    <w:rsid w:val="006A4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4D67"/>
    <w:rPr>
      <w:b/>
      <w:bCs/>
      <w:kern w:val="44"/>
      <w:sz w:val="44"/>
      <w:szCs w:val="44"/>
    </w:rPr>
  </w:style>
  <w:style w:type="paragraph" w:customStyle="1" w:styleId="Style2">
    <w:name w:val="_Style 2"/>
    <w:basedOn w:val="a"/>
    <w:uiPriority w:val="99"/>
    <w:rsid w:val="00F4358D"/>
    <w:pPr>
      <w:ind w:firstLineChars="200" w:firstLine="420"/>
    </w:pPr>
    <w:rPr>
      <w:rFonts w:ascii="Calibri" w:hAnsi="Calibri" w:cs="Calibri"/>
    </w:rPr>
  </w:style>
  <w:style w:type="paragraph" w:customStyle="1" w:styleId="Style37">
    <w:name w:val="_Style 37"/>
    <w:basedOn w:val="a"/>
    <w:rsid w:val="00F4358D"/>
    <w:pPr>
      <w:spacing w:line="360" w:lineRule="auto"/>
      <w:ind w:left="0" w:firstLineChars="200" w:firstLine="200"/>
      <w:textAlignment w:val="auto"/>
    </w:pPr>
    <w:rPr>
      <w:kern w:val="2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F4358D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4358D"/>
    <w:rPr>
      <w:rFonts w:asci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Suy80</dc:creator>
  <cp:lastModifiedBy>Suy80</cp:lastModifiedBy>
  <cp:revision>1</cp:revision>
  <dcterms:created xsi:type="dcterms:W3CDTF">2017-11-28T03:30:00Z</dcterms:created>
  <dcterms:modified xsi:type="dcterms:W3CDTF">2017-11-28T03:31:00Z</dcterms:modified>
</cp:coreProperties>
</file>