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方正小标宋简体" w:hAnsi="方正小标宋简体" w:eastAsia="方正小标宋简体" w:cs="方正小标宋简体"/>
          <w:color w:val="auto"/>
          <w:sz w:val="44"/>
          <w:szCs w:val="44"/>
          <w:highlight w:val="none"/>
        </w:rPr>
      </w:pPr>
      <w:bookmarkStart w:id="216" w:name="_GoBack"/>
      <w:bookmarkEnd w:id="216"/>
      <w:r>
        <w:rPr>
          <w:rFonts w:hint="eastAsia" w:ascii="方正小标宋简体" w:hAnsi="方正小标宋简体" w:eastAsia="方正小标宋简体" w:cs="方正小标宋简体"/>
          <w:color w:val="auto"/>
          <w:sz w:val="44"/>
          <w:szCs w:val="44"/>
          <w:highlight w:val="none"/>
        </w:rPr>
        <w:t>北京市</w:t>
      </w:r>
      <w:r>
        <w:rPr>
          <w:rFonts w:hint="eastAsia" w:ascii="方正小标宋简体" w:hAnsi="方正小标宋简体" w:eastAsia="方正小标宋简体" w:cs="方正小标宋简体"/>
          <w:color w:val="auto"/>
          <w:sz w:val="44"/>
          <w:szCs w:val="44"/>
          <w:highlight w:val="none"/>
          <w:lang w:val="en-US" w:eastAsia="zh-CN"/>
        </w:rPr>
        <w:t>城市管理综合行政</w:t>
      </w:r>
      <w:r>
        <w:rPr>
          <w:rFonts w:hint="eastAsia" w:ascii="方正小标宋简体" w:hAnsi="方正小标宋简体" w:eastAsia="方正小标宋简体" w:cs="方正小标宋简体"/>
          <w:color w:val="auto"/>
          <w:sz w:val="44"/>
          <w:szCs w:val="44"/>
          <w:highlight w:val="none"/>
        </w:rPr>
        <w:t>执法</w:t>
      </w:r>
    </w:p>
    <w:p>
      <w:pPr>
        <w:bidi w:val="0"/>
        <w:jc w:val="center"/>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lang w:eastAsia="zh-CN"/>
        </w:rPr>
        <w:t>行政</w:t>
      </w:r>
      <w:r>
        <w:rPr>
          <w:rFonts w:hint="eastAsia" w:ascii="方正小标宋简体" w:hAnsi="方正小标宋简体" w:eastAsia="方正小标宋简体" w:cs="方正小标宋简体"/>
          <w:color w:val="auto"/>
          <w:sz w:val="44"/>
          <w:szCs w:val="44"/>
          <w:highlight w:val="none"/>
        </w:rPr>
        <w:t>处罚裁量基准表</w:t>
      </w:r>
      <w:r>
        <w:rPr>
          <w:rFonts w:hint="eastAsia" w:ascii="方正小标宋简体" w:hAnsi="方正小标宋简体" w:eastAsia="方正小标宋简体" w:cs="方正小标宋简体"/>
          <w:color w:val="auto"/>
          <w:sz w:val="44"/>
          <w:szCs w:val="44"/>
          <w:highlight w:val="none"/>
          <w:lang w:eastAsia="zh-CN"/>
        </w:rPr>
        <w:t>（</w:t>
      </w:r>
      <w:r>
        <w:rPr>
          <w:rFonts w:hint="eastAsia" w:ascii="方正小标宋简体" w:hAnsi="方正小标宋简体" w:eastAsia="方正小标宋简体" w:cs="方正小标宋简体"/>
          <w:color w:val="auto"/>
          <w:sz w:val="44"/>
          <w:szCs w:val="44"/>
          <w:highlight w:val="none"/>
          <w:lang w:val="en-US" w:eastAsia="zh-CN"/>
        </w:rPr>
        <w:t>2025年4月</w:t>
      </w:r>
      <w:r>
        <w:rPr>
          <w:rFonts w:hint="eastAsia" w:ascii="方正小标宋简体" w:hAnsi="方正小标宋简体" w:eastAsia="方正小标宋简体" w:cs="方正小标宋简体"/>
          <w:color w:val="auto"/>
          <w:sz w:val="44"/>
          <w:szCs w:val="44"/>
          <w:highlight w:val="none"/>
          <w:lang w:eastAsia="zh-CN"/>
        </w:rPr>
        <w:t>）</w:t>
      </w:r>
    </w:p>
    <w:p>
      <w:pPr>
        <w:bidi w:val="0"/>
        <w:jc w:val="center"/>
        <w:rPr>
          <w:rFonts w:hint="eastAsia" w:ascii="方正小标宋简体" w:hAnsi="方正小标宋简体" w:eastAsia="方正小标宋简体" w:cs="方正小标宋简体"/>
          <w:color w:val="auto"/>
          <w:sz w:val="44"/>
          <w:szCs w:val="44"/>
          <w:highlight w:val="none"/>
        </w:rPr>
      </w:pPr>
    </w:p>
    <w:tbl>
      <w:tblPr>
        <w:tblStyle w:val="23"/>
        <w:tblW w:w="14218"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1500"/>
        <w:gridCol w:w="2789"/>
        <w:gridCol w:w="851"/>
        <w:gridCol w:w="840"/>
        <w:gridCol w:w="2304"/>
        <w:gridCol w:w="1785"/>
        <w:gridCol w:w="2385"/>
        <w:gridCol w:w="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940"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序号</w:t>
            </w:r>
          </w:p>
        </w:tc>
        <w:tc>
          <w:tcPr>
            <w:tcW w:w="1500"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案由</w:t>
            </w:r>
          </w:p>
        </w:tc>
        <w:tc>
          <w:tcPr>
            <w:tcW w:w="2789"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处罚依据</w:t>
            </w:r>
          </w:p>
        </w:tc>
        <w:tc>
          <w:tcPr>
            <w:tcW w:w="851"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罚款</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基数</w:t>
            </w:r>
          </w:p>
        </w:tc>
        <w:tc>
          <w:tcPr>
            <w:tcW w:w="840"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基准</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系数</w:t>
            </w:r>
          </w:p>
        </w:tc>
        <w:tc>
          <w:tcPr>
            <w:tcW w:w="2304"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变量系数</w:t>
            </w:r>
          </w:p>
        </w:tc>
        <w:tc>
          <w:tcPr>
            <w:tcW w:w="1785"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计算公式</w:t>
            </w:r>
          </w:p>
        </w:tc>
        <w:tc>
          <w:tcPr>
            <w:tcW w:w="2385"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备注</w:t>
            </w:r>
          </w:p>
        </w:tc>
        <w:tc>
          <w:tcPr>
            <w:tcW w:w="824"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eastAsia" w:ascii="黑体" w:hAnsi="宋体" w:eastAsia="黑体" w:cs="宋体"/>
                <w:b/>
                <w:bCs/>
                <w:color w:val="auto"/>
                <w:kern w:val="0"/>
                <w:sz w:val="24"/>
                <w:highlight w:val="none"/>
                <w:lang w:eastAsia="zh-CN"/>
              </w:rPr>
            </w:pPr>
            <w:r>
              <w:rPr>
                <w:rFonts w:hint="eastAsia" w:ascii="黑体" w:hAnsi="宋体" w:eastAsia="黑体" w:cs="宋体"/>
                <w:b/>
                <w:bCs/>
                <w:color w:val="auto"/>
                <w:kern w:val="0"/>
                <w:sz w:val="24"/>
                <w:highlight w:val="none"/>
                <w:lang w:eastAsia="zh-CN"/>
              </w:rPr>
              <w:t>行使</w:t>
            </w:r>
          </w:p>
          <w:p>
            <w:pPr>
              <w:keepNext w:val="0"/>
              <w:keepLines w:val="0"/>
              <w:widowControl/>
              <w:suppressLineNumbers w:val="0"/>
              <w:spacing w:before="0" w:beforeAutospacing="0" w:after="0" w:afterAutospacing="0" w:line="0" w:lineRule="atLeast"/>
              <w:ind w:left="0" w:right="0"/>
              <w:jc w:val="center"/>
              <w:rPr>
                <w:rFonts w:hint="eastAsia" w:ascii="黑体" w:hAnsi="宋体" w:eastAsia="黑体" w:cs="宋体"/>
                <w:b/>
                <w:bCs/>
                <w:color w:val="auto"/>
                <w:kern w:val="0"/>
                <w:sz w:val="24"/>
                <w:highlight w:val="none"/>
                <w:lang w:eastAsia="zh-CN"/>
              </w:rPr>
            </w:pPr>
            <w:r>
              <w:rPr>
                <w:rFonts w:hint="eastAsia" w:ascii="黑体" w:hAnsi="宋体" w:eastAsia="黑体" w:cs="宋体"/>
                <w:b/>
                <w:bCs/>
                <w:color w:val="auto"/>
                <w:kern w:val="0"/>
                <w:sz w:val="24"/>
                <w:highlight w:val="none"/>
                <w:lang w:eastAsia="zh-CN"/>
              </w:rPr>
              <w:t>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4"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8"/>
                <w:szCs w:val="28"/>
                <w:highlight w:val="none"/>
              </w:rPr>
            </w:pPr>
            <w:bookmarkStart w:id="0" w:name="_Toc110851435"/>
            <w:bookmarkStart w:id="1" w:name="_Toc1748547838"/>
            <w:bookmarkStart w:id="2" w:name="_Toc1981015615"/>
            <w:r>
              <w:rPr>
                <w:rFonts w:hint="eastAsia" w:ascii="黑体" w:hAnsi="黑体" w:eastAsia="黑体"/>
                <w:b w:val="0"/>
                <w:color w:val="auto"/>
                <w:sz w:val="28"/>
                <w:szCs w:val="28"/>
                <w:highlight w:val="none"/>
              </w:rPr>
              <w:t>市容环境卫生管理方面</w:t>
            </w:r>
            <w:bookmarkEnd w:id="0"/>
            <w:bookmarkEnd w:id="1"/>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53"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3" w:name="_Toc1944272260"/>
            <w:bookmarkStart w:id="4" w:name="_Toc110851436"/>
            <w:bookmarkStart w:id="5" w:name="_Toc1859084654"/>
            <w:r>
              <w:rPr>
                <w:rFonts w:hint="eastAsia" w:asciiTheme="minorEastAsia" w:hAnsiTheme="minorEastAsia" w:eastAsiaTheme="minorEastAsia"/>
                <w:color w:val="auto"/>
                <w:sz w:val="21"/>
                <w:szCs w:val="21"/>
                <w:highlight w:val="none"/>
              </w:rPr>
              <w:t>《北京市市容环境卫生条例》案由56项</w:t>
            </w:r>
            <w:bookmarkEnd w:id="3"/>
            <w:bookmarkEnd w:id="4"/>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bookmarkStart w:id="6" w:name="OLE_LINK1"/>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未按要求履行维护市容环境卫生责任</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【城镇地区】</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违反条款：第二十一条第一款，第二十三条第一款第（一）项、第（二）项、第（三）项，及第二十四条第二款；处罚条款：第二十四条第二款，责令改正，并处200元以上1000元以下罚款。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【农村地区】</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违反条款：第二十一条第一款，第二十三条第二款，第二十四条第二款；处罚条款：第二十四条第二款，责令改正，并处200元以上1000元以下罚款。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（注：单位：</w:t>
            </w:r>
            <w:r>
              <w:rPr>
                <w:rFonts w:hint="eastAsia" w:cs="宋体" w:asciiTheme="minorEastAsia" w:hAnsiTheme="minorEastAsia" w:eastAsiaTheme="minorEastAsia"/>
                <w:bCs/>
                <w:color w:val="auto"/>
                <w:kern w:val="0"/>
                <w:sz w:val="15"/>
                <w:szCs w:val="15"/>
                <w:highlight w:val="none"/>
              </w:rPr>
              <w:t>元，下同</w:t>
            </w:r>
            <w:r>
              <w:rPr>
                <w:rFonts w:hint="eastAsia"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bookmarkEnd w:id="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9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擅自在临街的建筑物上设置装饰物品</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违反条款：第二十六条第一款第（三）项；处罚条款：第二十六条第二款，责令限期改正；逾期不改正的，强制拆除或者清除，并可处50元以上500元以下罚款。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建筑物顶部、外走廊等未保持整洁或堆物堆料</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8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规定区域内建筑物顶部、阳台外和窗外设置不符合容貌景观标准的设施</w:t>
            </w:r>
          </w:p>
        </w:tc>
        <w:tc>
          <w:tcPr>
            <w:tcW w:w="2789"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u w:val="singl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规定区域内建筑物顶部、阳台外和窗外吊挂、晾晒、摆放物品</w:t>
            </w:r>
          </w:p>
        </w:tc>
        <w:tc>
          <w:tcPr>
            <w:tcW w:w="2789"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4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规定区域内建筑物平台、阳台内堆放物品超出护栏高度</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逾期不改正的情形，不记入本案由“</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违法建设</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二十七条第一款，责令限期拆除；逾期未拆除的，经市或者区人民政府批准后，予以强制拆除，并可对建筑物按照建筑面积处每平方米300元以上3000元以下罚款，可对构筑物、其它设施处工程造价1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300元／㎡</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（建筑物）</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）×N㎡</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N</w:t>
            </w:r>
            <w:r>
              <w:rPr>
                <w:rFonts w:hint="eastAsia" w:cs="仿宋_GB2312" w:asciiTheme="minorEastAsia" w:hAnsiTheme="minorEastAsia" w:eastAsiaTheme="minorEastAsia"/>
                <w:color w:val="auto"/>
                <w:kern w:val="0"/>
                <w:sz w:val="15"/>
                <w:szCs w:val="15"/>
                <w:highlight w:val="none"/>
              </w:rPr>
              <w:t>为违法建筑面积</w:t>
            </w:r>
          </w:p>
        </w:tc>
        <w:tc>
          <w:tcPr>
            <w:tcW w:w="2385"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造价</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（构筑物、设施）</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按照法规规定执行。</w:t>
            </w: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54" w:hRule="atLeast"/>
          <w:jc w:val="center"/>
        </w:trPr>
        <w:tc>
          <w:tcPr>
            <w:tcW w:w="9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未按规定管护井盖雨箅</w:t>
            </w:r>
          </w:p>
        </w:tc>
        <w:tc>
          <w:tcPr>
            <w:tcW w:w="2789"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违反条款：第三十一条第一款；处罚条款：第三十一条第二款，责令改正，并可处200元以上2000元以下罚款。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雨箅所有权人或者维护管理单位接到维修通知后：1.未立即采取临时防护措施的，系数为1；2.未在规定时间（城市主要道路、公共场所和居民居住区等地区4小时内，其它地区12小时内）内修复的，延后1小时，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；延后2小时，系数</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；延后3小时，系数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9小时及以上系数9</w:t>
            </w:r>
            <w:r>
              <w:rPr>
                <w:rFonts w:hint="eastAsia" w:cs="宋体" w:asciiTheme="minorEastAsia" w:hAnsiTheme="minorEastAsia" w:eastAsiaTheme="minorEastAsia"/>
                <w:color w:val="auto"/>
                <w:kern w:val="0"/>
                <w:sz w:val="15"/>
                <w:szCs w:val="15"/>
                <w:highlight w:val="none"/>
              </w:rPr>
              <w:t>。3.因未及时补装、维修或更换，致人伤亡或车辆损毁等严重事故的，变量系数9。</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8" w:hRule="atLeast"/>
          <w:jc w:val="center"/>
        </w:trPr>
        <w:tc>
          <w:tcPr>
            <w:tcW w:w="940" w:type="dxa"/>
            <w:shd w:val="clear" w:color="auto" w:fill="auto"/>
            <w:vAlign w:val="center"/>
          </w:tcPr>
          <w:p>
            <w:pPr>
              <w:pStyle w:val="7"/>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未经批准或未按照批准要求在公共场所设置设施</w:t>
            </w:r>
          </w:p>
        </w:tc>
        <w:tc>
          <w:tcPr>
            <w:tcW w:w="2789"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违反条款：第三十三条第一款；处罚条款：第三十三条第三款，责令限期拆除，逾期未拆除的，报经市或者区人民政府批准后，强制拆除。</w:t>
            </w:r>
          </w:p>
        </w:tc>
        <w:tc>
          <w:tcPr>
            <w:tcW w:w="851" w:type="dxa"/>
            <w:shd w:val="clear" w:color="auto" w:fill="auto"/>
            <w:vAlign w:val="center"/>
          </w:tcPr>
          <w:p>
            <w:pPr>
              <w:pStyle w:val="7"/>
              <w:spacing w:line="21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pStyle w:val="7"/>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非罚款处罚。</w:t>
            </w:r>
          </w:p>
        </w:tc>
        <w:tc>
          <w:tcPr>
            <w:tcW w:w="824" w:type="dxa"/>
            <w:shd w:val="clear" w:color="auto" w:fill="auto"/>
            <w:vAlign w:val="center"/>
          </w:tcPr>
          <w:p>
            <w:pPr>
              <w:pStyle w:val="7"/>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pStyle w:val="7"/>
              <w:spacing w:line="21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未按规定管护公共设施</w:t>
            </w:r>
          </w:p>
        </w:tc>
        <w:tc>
          <w:tcPr>
            <w:tcW w:w="2789"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违反、处罚条款：第三十四条，责令限期改正，并可处500元以上5000元以下罚款。</w:t>
            </w:r>
          </w:p>
        </w:tc>
        <w:tc>
          <w:tcPr>
            <w:tcW w:w="851"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未按照要求</w:t>
            </w:r>
            <w:r>
              <w:rPr>
                <w:rFonts w:hint="eastAsia" w:cs="宋体" w:asciiTheme="minorEastAsia" w:hAnsiTheme="minorEastAsia" w:eastAsiaTheme="minorEastAsia"/>
                <w:color w:val="auto"/>
                <w:kern w:val="0"/>
                <w:sz w:val="15"/>
                <w:szCs w:val="15"/>
                <w:highlight w:val="none"/>
              </w:rPr>
              <w:t>维修、更换、清洗或者补设</w:t>
            </w:r>
            <w:r>
              <w:rPr>
                <w:rFonts w:hint="eastAsia" w:cs="宋体" w:asciiTheme="minorEastAsia" w:hAnsiTheme="minorEastAsia" w:eastAsiaTheme="minorEastAsia"/>
                <w:color w:val="auto"/>
                <w:kern w:val="0"/>
                <w:sz w:val="15"/>
                <w:szCs w:val="15"/>
                <w:highlight w:val="none"/>
                <w:lang w:eastAsia="zh-CN"/>
              </w:rPr>
              <w:t>，影响设施正常使用或者造成其他严重影响，系数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3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擅自摆摊设点</w:t>
            </w:r>
          </w:p>
        </w:tc>
        <w:tc>
          <w:tcPr>
            <w:tcW w:w="2789"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numPr>
                <w:ilvl w:val="0"/>
                <w:numId w:val="0"/>
              </w:numPr>
              <w:spacing w:line="230" w:lineRule="exact"/>
              <w:rPr>
                <w:color w:val="auto"/>
                <w:highlight w:val="none"/>
                <w:lang w:val="en-US" w:eastAsia="zh-CN"/>
              </w:rPr>
            </w:pPr>
            <w:r>
              <w:rPr>
                <w:rFonts w:hint="default" w:cs="宋体" w:asciiTheme="minorEastAsia" w:hAnsiTheme="minorEastAsia" w:eastAsiaTheme="minorEastAsia"/>
                <w:color w:val="auto"/>
                <w:kern w:val="0"/>
                <w:sz w:val="15"/>
                <w:szCs w:val="15"/>
                <w:highlight w:val="none"/>
                <w:lang w:val="en-US"/>
              </w:rPr>
              <w:t>1.</w:t>
            </w:r>
            <w:r>
              <w:rPr>
                <w:rFonts w:hint="eastAsia" w:cs="宋体" w:asciiTheme="minorEastAsia" w:hAnsiTheme="minorEastAsia" w:eastAsiaTheme="minorEastAsia"/>
                <w:color w:val="auto"/>
                <w:kern w:val="0"/>
                <w:sz w:val="15"/>
                <w:szCs w:val="15"/>
                <w:highlight w:val="none"/>
              </w:rPr>
              <w:t>占用过街桥、地下过街通道的，系数1</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2.占用非机动车道或者其它公共场所，面积较大，系数1</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.占用无障碍设施或者机动车道的，系数</w:t>
            </w:r>
            <w:r>
              <w:rPr>
                <w:rFonts w:hint="eastAsia" w:cs="宋体" w:asciiTheme="minorEastAsia" w:hAnsiTheme="minorEastAsia" w:eastAsiaTheme="minorEastAsia"/>
                <w:b w:val="0"/>
                <w:bCs w:val="0"/>
                <w:color w:val="auto"/>
                <w:kern w:val="0"/>
                <w:sz w:val="15"/>
                <w:szCs w:val="15"/>
                <w:highlight w:val="none"/>
                <w:lang w:val="en-US" w:eastAsia="zh-CN"/>
              </w:rPr>
              <w:t>4-6</w:t>
            </w:r>
            <w:r>
              <w:rPr>
                <w:rFonts w:hint="eastAsia" w:cs="宋体" w:asciiTheme="minorEastAsia" w:hAnsiTheme="minorEastAsia" w:eastAsiaTheme="minorEastAsia"/>
                <w:b w:val="0"/>
                <w:bCs w:val="0"/>
                <w:color w:val="auto"/>
                <w:kern w:val="0"/>
                <w:sz w:val="15"/>
                <w:szCs w:val="15"/>
                <w:highlight w:val="none"/>
                <w:lang w:eastAsia="zh-CN"/>
              </w:rPr>
              <w:t>；</w:t>
            </w:r>
            <w:r>
              <w:rPr>
                <w:rFonts w:hint="default" w:cs="宋体" w:asciiTheme="minorEastAsia" w:hAnsiTheme="minorEastAsia" w:eastAsiaTheme="minorEastAsia"/>
                <w:b w:val="0"/>
                <w:bCs w:val="0"/>
                <w:color w:val="auto"/>
                <w:kern w:val="0"/>
                <w:sz w:val="15"/>
                <w:szCs w:val="15"/>
                <w:highlight w:val="none"/>
                <w:lang w:val="en-US"/>
              </w:rPr>
              <w:t>4</w:t>
            </w:r>
            <w:r>
              <w:rPr>
                <w:rFonts w:hint="eastAsia" w:cs="宋体" w:asciiTheme="minorEastAsia" w:hAnsiTheme="minorEastAsia" w:eastAsiaTheme="minorEastAsia"/>
                <w:b w:val="0"/>
                <w:bCs w:val="0"/>
                <w:color w:val="auto"/>
                <w:kern w:val="0"/>
                <w:sz w:val="15"/>
                <w:szCs w:val="15"/>
                <w:highlight w:val="none"/>
              </w:rPr>
              <w:t>.使用畜力车、农用运输车及其它机动车、电动车为工具的，</w:t>
            </w:r>
            <w:r>
              <w:rPr>
                <w:rFonts w:hint="eastAsia" w:cs="宋体" w:asciiTheme="minorEastAsia" w:hAnsiTheme="minorEastAsia" w:eastAsiaTheme="minorEastAsia"/>
                <w:b w:val="0"/>
                <w:bCs w:val="0"/>
                <w:strike w:val="0"/>
                <w:dstrike w:val="0"/>
                <w:color w:val="auto"/>
                <w:kern w:val="0"/>
                <w:sz w:val="15"/>
                <w:szCs w:val="15"/>
                <w:highlight w:val="none"/>
                <w:lang w:val="en-US" w:eastAsia="zh-CN"/>
              </w:rPr>
              <w:t>系数1-3</w:t>
            </w:r>
            <w:r>
              <w:rPr>
                <w:rFonts w:hint="eastAsia" w:cs="宋体" w:asciiTheme="minorEastAsia" w:hAnsiTheme="minorEastAsia" w:eastAsiaTheme="minorEastAsia"/>
                <w:b w:val="0"/>
                <w:bCs w:val="0"/>
                <w:color w:val="auto"/>
                <w:kern w:val="0"/>
                <w:sz w:val="15"/>
                <w:szCs w:val="15"/>
                <w:highlight w:val="none"/>
              </w:rPr>
              <w:t>；</w:t>
            </w:r>
            <w:r>
              <w:rPr>
                <w:rFonts w:hint="default" w:cs="宋体" w:asciiTheme="minorEastAsia" w:hAnsiTheme="minorEastAsia" w:eastAsiaTheme="minorEastAsia"/>
                <w:b w:val="0"/>
                <w:bCs w:val="0"/>
                <w:color w:val="auto"/>
                <w:kern w:val="0"/>
                <w:sz w:val="15"/>
                <w:szCs w:val="15"/>
                <w:highlight w:val="none"/>
                <w:lang w:val="en-US" w:eastAsia="zh-CN"/>
              </w:rPr>
              <w:t>5</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eastAsia="zh-CN"/>
              </w:rPr>
              <w:t>使用液化石油气瓶</w:t>
            </w:r>
            <w:r>
              <w:rPr>
                <w:rFonts w:hint="eastAsia" w:cs="宋体" w:asciiTheme="minorEastAsia" w:hAnsiTheme="minorEastAsia" w:eastAsiaTheme="minorEastAsia"/>
                <w:b w:val="0"/>
                <w:bCs w:val="0"/>
                <w:color w:val="auto"/>
                <w:kern w:val="0"/>
                <w:sz w:val="15"/>
                <w:szCs w:val="15"/>
                <w:highlight w:val="none"/>
              </w:rPr>
              <w:t>现场加工制作食品的，系数</w:t>
            </w:r>
            <w:r>
              <w:rPr>
                <w:rFonts w:hint="default" w:cs="宋体" w:asciiTheme="minorEastAsia" w:hAnsiTheme="minorEastAsia" w:eastAsiaTheme="minorEastAsia"/>
                <w:b w:val="0"/>
                <w:bCs w:val="0"/>
                <w:color w:val="auto"/>
                <w:kern w:val="0"/>
                <w:sz w:val="15"/>
                <w:szCs w:val="15"/>
                <w:highlight w:val="none"/>
                <w:lang w:val="en-US" w:eastAsia="zh-CN"/>
              </w:rPr>
              <w:t>5-9</w:t>
            </w:r>
            <w:r>
              <w:rPr>
                <w:rFonts w:hint="eastAsia" w:cs="宋体" w:asciiTheme="minorEastAsia" w:hAnsiTheme="minorEastAsia" w:eastAsiaTheme="minorEastAsia"/>
                <w:b w:val="0"/>
                <w:bCs w:val="0"/>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.造成交通秩序、市容秩序严重混乱的，系数5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；7.摆设摊点经营违禁品的，系数9。</w:t>
            </w:r>
          </w:p>
        </w:tc>
        <w:tc>
          <w:tcPr>
            <w:tcW w:w="1785"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p>
            <w:pPr>
              <w:pStyle w:val="22"/>
              <w:spacing w:after="0" w:line="230" w:lineRule="exact"/>
              <w:ind w:firstLine="300"/>
              <w:rPr>
                <w:rFonts w:cs="宋体" w:asciiTheme="minorEastAsia" w:hAnsiTheme="minorEastAsia" w:eastAsiaTheme="minorEastAsia"/>
                <w:color w:val="auto"/>
                <w:kern w:val="0"/>
                <w:sz w:val="15"/>
                <w:szCs w:val="15"/>
                <w:highlight w:val="none"/>
              </w:rPr>
            </w:pPr>
          </w:p>
          <w:p>
            <w:pPr>
              <w:pStyle w:val="22"/>
              <w:spacing w:after="0" w:line="230" w:lineRule="exact"/>
              <w:ind w:firstLine="300"/>
              <w:rPr>
                <w:rFonts w:cs="宋体" w:asciiTheme="minorEastAsia" w:hAnsiTheme="minorEastAsia" w:eastAsiaTheme="minorEastAsia"/>
                <w:color w:val="auto"/>
                <w:kern w:val="0"/>
                <w:sz w:val="15"/>
                <w:szCs w:val="15"/>
                <w:highlight w:val="none"/>
              </w:rPr>
            </w:pPr>
          </w:p>
          <w:p>
            <w:pPr>
              <w:spacing w:line="23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8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乱堆物料</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b w:val="0"/>
                <w:bCs w:val="0"/>
                <w:color w:val="auto"/>
                <w:kern w:val="0"/>
                <w:sz w:val="15"/>
                <w:szCs w:val="15"/>
                <w:highlight w:val="none"/>
                <w:lang w:val="en-US"/>
              </w:rPr>
              <w:t>1.占用过街桥、地下过街通道的，系数为1-3；2.占用非机动车道或者其它公共场所，面积较大，系数为1-3；3.占用无障碍设施或者机动车道的，系数为4-6；4.在公共绿地、燃气、热力等保护范围、管理范围堆放的，系数4-6；5.堆放易燃易爆等危险物品的，系数为5-9；6.造成交通秩序、市容秩序严重混乱的，系数5-9；7.造成人员伤亡的，系数7-9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5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未按规定举办活动</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处罚条款：第三十五条第五款：责令改正，并可处1000元以上1万元以下的罚款。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eastAsiaTheme="minorEastAsia"/>
                <w:color w:val="auto"/>
                <w:highlight w:val="none"/>
                <w:lang w:val="en-US" w:eastAsia="zh-CN"/>
              </w:rPr>
            </w:pPr>
            <w:r>
              <w:rPr>
                <w:rFonts w:hint="default" w:cs="宋体" w:asciiTheme="minorEastAsia" w:hAnsiTheme="minorEastAsia" w:eastAsiaTheme="minorEastAsia"/>
                <w:b w:val="0"/>
                <w:bCs w:val="0"/>
                <w:color w:val="auto"/>
                <w:kern w:val="0"/>
                <w:sz w:val="15"/>
                <w:szCs w:val="15"/>
                <w:highlight w:val="none"/>
                <w:lang w:val="en-US"/>
              </w:rPr>
              <w:t>1.</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占用过街桥、地下过街通道的，系数为1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2.</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占用非机动车道或者其它公共场所，面积较大，系数为1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占用无障碍设施或者机动车道的，系数为4-6</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rPr>
              <w:t>造成交通秩序、市容秩序严重混乱的，系数5</w:t>
            </w:r>
            <w:r>
              <w:rPr>
                <w:rFonts w:hint="eastAsia" w:cs="宋体" w:asciiTheme="minorEastAsia" w:hAnsiTheme="minorEastAsia" w:eastAsiaTheme="minorEastAsia"/>
                <w:b w:val="0"/>
                <w:bCs w:val="0"/>
                <w:color w:val="auto"/>
                <w:kern w:val="0"/>
                <w:sz w:val="15"/>
                <w:szCs w:val="15"/>
                <w:highlight w:val="none"/>
                <w:lang w:val="en-US" w:eastAsia="zh-CN"/>
              </w:rPr>
              <w:t>-9</w:t>
            </w:r>
            <w:r>
              <w:rPr>
                <w:rFonts w:hint="eastAsia" w:cs="宋体" w:asciiTheme="minorEastAsia" w:hAnsiTheme="minorEastAsia" w:eastAsiaTheme="minorEastAsia"/>
                <w:b/>
                <w:bCs/>
                <w:color w:val="auto"/>
                <w:kern w:val="0"/>
                <w:sz w:val="15"/>
                <w:szCs w:val="15"/>
                <w:highlight w:val="none"/>
                <w:lang w:val="en-US" w:eastAsia="zh-CN"/>
              </w:rPr>
              <w:t>。</w:t>
            </w:r>
          </w:p>
        </w:tc>
        <w:tc>
          <w:tcPr>
            <w:tcW w:w="17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3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店外经营</w:t>
            </w:r>
          </w:p>
        </w:tc>
        <w:tc>
          <w:tcPr>
            <w:tcW w:w="2789"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违反条款：第三十五条第三款；</w:t>
            </w: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处罚条款：第三十五条第五款：责令改正，并可处300元以上3000元以下的罚款。</w:t>
            </w:r>
          </w:p>
        </w:tc>
        <w:tc>
          <w:tcPr>
            <w:tcW w:w="851"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1.占用非机动车道或者其它公共场所，面积较大，系数</w:t>
            </w:r>
            <w:r>
              <w:rPr>
                <w:rFonts w:hint="eastAsia" w:cs="宋体" w:asciiTheme="minorEastAsia" w:hAnsiTheme="minorEastAsia" w:eastAsiaTheme="minorEastAsia"/>
                <w:b/>
                <w:bCs/>
                <w:color w:val="auto"/>
                <w:kern w:val="0"/>
                <w:sz w:val="15"/>
                <w:szCs w:val="15"/>
                <w:highlight w:val="none"/>
              </w:rPr>
              <w:t>1</w:t>
            </w:r>
            <w:r>
              <w:rPr>
                <w:rFonts w:hint="eastAsia" w:cs="宋体" w:asciiTheme="minorEastAsia" w:hAnsiTheme="minorEastAsia" w:eastAsiaTheme="minorEastAsia"/>
                <w:b/>
                <w:bCs/>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;2.占用无障碍设施或者机动车道、</w:t>
            </w:r>
            <w:r>
              <w:rPr>
                <w:rFonts w:hint="eastAsia" w:cs="宋体" w:asciiTheme="minorEastAsia" w:hAnsiTheme="minorEastAsia" w:eastAsiaTheme="minorEastAsia"/>
                <w:b w:val="0"/>
                <w:bCs w:val="0"/>
                <w:color w:val="auto"/>
                <w:kern w:val="0"/>
                <w:sz w:val="15"/>
                <w:szCs w:val="15"/>
                <w:highlight w:val="none"/>
                <w:u w:val="none"/>
              </w:rPr>
              <w:t>绿地的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 w:val="0"/>
                <w:bCs w:val="0"/>
                <w:strike w:val="0"/>
                <w:dstrike w:val="0"/>
                <w:color w:val="auto"/>
                <w:kern w:val="0"/>
                <w:sz w:val="15"/>
                <w:szCs w:val="15"/>
                <w:highlight w:val="none"/>
                <w:lang w:val="en-US" w:eastAsia="zh-CN"/>
              </w:rPr>
              <w:t>系数4-6</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.造成交通秩序、市容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.经营违禁品的，系数9。</w:t>
            </w:r>
          </w:p>
        </w:tc>
        <w:tc>
          <w:tcPr>
            <w:tcW w:w="1785"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1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在城市道路及其它公共场所晾晒衣物、吊挂物品</w:t>
            </w:r>
          </w:p>
        </w:tc>
        <w:tc>
          <w:tcPr>
            <w:tcW w:w="2789"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违反条款：第三十六条第一款；</w:t>
            </w:r>
          </w:p>
          <w:p>
            <w:pPr>
              <w:spacing w:line="210"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处罚条款：第三十六条第二款：责令改正，并可处20元以上50元以下罚款。</w:t>
            </w:r>
          </w:p>
        </w:tc>
        <w:tc>
          <w:tcPr>
            <w:tcW w:w="851"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按照简易程序执行</w:t>
            </w:r>
          </w:p>
        </w:tc>
        <w:tc>
          <w:tcPr>
            <w:tcW w:w="824" w:type="dxa"/>
            <w:shd w:val="clear" w:color="auto" w:fill="auto"/>
            <w:vAlign w:val="center"/>
          </w:tcPr>
          <w:p>
            <w:pPr>
              <w:spacing w:line="21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违反规划设置户外广告设施</w:t>
            </w:r>
          </w:p>
        </w:tc>
        <w:tc>
          <w:tcPr>
            <w:tcW w:w="2789"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违反条款：第三十八条第一款；</w:t>
            </w: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处罚条款：第三十八条第二款 责令限期拆除，逾期未拆除的，强制拆除，并可处1万元以上10万元以下罚款。</w:t>
            </w:r>
          </w:p>
        </w:tc>
        <w:tc>
          <w:tcPr>
            <w:tcW w:w="851"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pacing w:val="-3"/>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asciiTheme="minorEastAsia" w:hAnsiTheme="minorEastAsia" w:eastAsiaTheme="minorEastAsia"/>
                <w:color w:val="auto"/>
                <w:sz w:val="15"/>
                <w:szCs w:val="15"/>
                <w:highlight w:val="none"/>
              </w:rPr>
              <w:t>.违法设置大型户外广告设施的，系数为2；2.违法设置距地十米以上户外广告设施的，系数为2；3.违法设置2处</w:t>
            </w:r>
            <w:r>
              <w:rPr>
                <w:rFonts w:hint="eastAsia" w:asciiTheme="minorEastAsia" w:hAnsiTheme="minorEastAsia" w:eastAsiaTheme="minorEastAsia"/>
                <w:color w:val="auto"/>
                <w:sz w:val="15"/>
                <w:szCs w:val="15"/>
                <w:highlight w:val="none"/>
                <w:lang w:eastAsia="zh-CN"/>
              </w:rPr>
              <w:t>户外广告设施</w:t>
            </w:r>
            <w:r>
              <w:rPr>
                <w:rFonts w:hint="eastAsia"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1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pStyle w:val="8"/>
              <w:rPr>
                <w:rFonts w:hint="eastAsia"/>
                <w:color w:val="auto"/>
                <w:highlight w:val="none"/>
              </w:rPr>
            </w:pPr>
          </w:p>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pPr>
              <w:spacing w:line="210" w:lineRule="exact"/>
              <w:rPr>
                <w:rFonts w:hint="eastAsia" w:asciiTheme="minorEastAsia" w:hAnsiTheme="minorEastAsia" w:eastAsiaTheme="minorEastAsia"/>
                <w:color w:val="auto"/>
                <w:sz w:val="15"/>
                <w:szCs w:val="15"/>
                <w:highlight w:val="none"/>
              </w:rPr>
            </w:pPr>
          </w:p>
        </w:tc>
        <w:tc>
          <w:tcPr>
            <w:tcW w:w="824" w:type="dxa"/>
            <w:shd w:val="clear" w:color="auto" w:fill="auto"/>
            <w:vAlign w:val="center"/>
          </w:tcPr>
          <w:p>
            <w:pPr>
              <w:spacing w:line="21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设置户外广告设施不符合安全技术标准</w:t>
            </w:r>
          </w:p>
        </w:tc>
        <w:tc>
          <w:tcPr>
            <w:tcW w:w="2789"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违反条款：第三十八条第一款；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处罚条款：第三十八条第二款 责令限期拆除，逾期未拆除的，强制拆除，并可处1万元以上10万元以下罚款。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在环路、高（快）速路两侧，或者车站、机场、居民小区、医院、学校、体育场馆、影剧院、繁华商业街区、旅游景区等人口集中地区设置不符合标准设施的，系数</w:t>
            </w:r>
            <w:r>
              <w:rPr>
                <w:rFonts w:hint="eastAsia" w:cs="宋体" w:asciiTheme="minorEastAsia" w:hAnsiTheme="minorEastAsia" w:eastAsiaTheme="minorEastAsia"/>
                <w:color w:val="auto"/>
                <w:kern w:val="0"/>
                <w:sz w:val="15"/>
                <w:szCs w:val="15"/>
                <w:highlight w:val="none"/>
                <w:lang w:val="en-US" w:eastAsia="zh-CN"/>
              </w:rPr>
              <w:t>5-9；2.存在重大隐患或者造成人员伤亡的，系数9。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pStyle w:val="22"/>
              <w:spacing w:after="0" w:line="232" w:lineRule="exact"/>
              <w:ind w:firstLine="300"/>
              <w:rPr>
                <w:rFonts w:asciiTheme="minorEastAsia" w:hAnsiTheme="minorEastAsia" w:eastAsiaTheme="minorEastAsia"/>
                <w:color w:val="auto"/>
                <w:sz w:val="15"/>
                <w:szCs w:val="15"/>
                <w:highlight w:val="none"/>
              </w:rPr>
            </w:pPr>
          </w:p>
          <w:p>
            <w:pPr>
              <w:spacing w:line="232" w:lineRule="exact"/>
              <w:rPr>
                <w:rFonts w:cs="宋体" w:asciiTheme="minorEastAsia" w:hAnsiTheme="minorEastAsia" w:eastAsiaTheme="minorEastAsia"/>
                <w:strike/>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未按规定设置牌匾标识</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违反、处罚条款：第三十九第一款 责令限期改正，逾期不改正的，予以强制拆除，并可处500元以上5000元以下罚款。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color w:val="auto"/>
                <w:highlight w:val="none"/>
                <w:lang w:val="en-US"/>
              </w:rPr>
            </w:pPr>
            <w:r>
              <w:rPr>
                <w:rFonts w:hint="eastAsia" w:asciiTheme="minorEastAsia" w:hAnsiTheme="minorEastAsia" w:eastAsiaTheme="minorEastAsia"/>
                <w:color w:val="auto"/>
                <w:sz w:val="15"/>
                <w:szCs w:val="15"/>
                <w:highlight w:val="none"/>
              </w:rPr>
              <w:t>1.违法设置大型固定式牌匾标识的，系数2；2.违法设置距地十米以上的固定式牌匾标识的，系数2；3.违法设置2处牌匾标识的，系数为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大型固定式牌匾标识，是指任意边长大于等于四米，或者面积大于等于十平方米的牌匾标识。</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未按规定管护牌匾标识</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违反、处罚条款：第三十九第二款 责令停止使用，限期修复，并可处500元以上5000元以下罚款。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color w:val="auto"/>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在环路、高（快）速路两侧，或者车站、机场、居民小区、医院、学校、体育场馆、影剧院、繁华商业街区、旅游景区等人口集中地区的，系数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5-9；2.存在重大隐患或者造成人员伤亡的，系数9。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擅自（散发、悬挂、张贴、刻画、涂写、喷涂）宣传品、广告</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违反、处罚条款：第四十一条第一款 责令清除，没收非法财物和违法所得，并处100元以上1000元以下罚款；情节严重的，处1000元以上1万元以下罚款。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1.散发，系数为1；</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2.张贴、悬挂，系数为2；</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3.刻画、涂写、喷涂，系数为3。</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0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1000（情节严重）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1.因散发、悬挂等行为影响交通通行的，系数为2；2.张贴、喷涂等污损名胜古迹的，或者严重污损市政、环卫、电信等设施、城市道路、墙体的，系数5；3.其它情形按照《基准》的规定执行。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1.一类地区小广告违法行为，按照此档处罚；特殊情况下需给予1000元以下罚款的，报经案审会审核。</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2.“涉黑”、“涉黄”等内容违法的小广告违法行为，如刻章办证、卖药、销售假冒伪劣商品、交友等，按照此档处罚。</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3.现场发现小广告数量达到500张以上，悬挂、张贴达到20张以上的，刻画、喷涂、涂写达到10条以上的，按照此档实施处罚。</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u w:val="single"/>
              </w:rPr>
            </w:pPr>
            <w:r>
              <w:rPr>
                <w:rFonts w:hint="eastAsia" w:cs="宋体" w:asciiTheme="minorEastAsia" w:hAnsiTheme="minorEastAsia" w:eastAsiaTheme="minorEastAsia"/>
                <w:color w:val="auto"/>
                <w:kern w:val="0"/>
                <w:sz w:val="15"/>
                <w:szCs w:val="15"/>
                <w:highlight w:val="none"/>
              </w:rPr>
              <w:t>擅自利用或者组织（张贴、涂写、刻画、喷涂、散发）（标语、宣传品、广告）进行宣传</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违反、处罚条款：第四十一条第二款没收非法财物和违法所得，并处1万元以上10万元以下罚款；情节严重的，处10万元以上50万元以下罚款。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1.散发，系数为1；</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2.张贴，系数为2；</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3.刻画、涂写、喷涂，系数为3；</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4.其它按照《基准》的规定执行。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u w:val="singl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u w:val="singl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7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100000（情节严重）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组织利用</w:t>
            </w:r>
            <w:r>
              <w:rPr>
                <w:rFonts w:cs="宋体" w:asciiTheme="minorEastAsia" w:hAnsiTheme="minorEastAsia" w:eastAsiaTheme="minorEastAsia"/>
                <w:color w:val="auto"/>
                <w:kern w:val="0"/>
                <w:sz w:val="15"/>
                <w:szCs w:val="15"/>
                <w:highlight w:val="none"/>
              </w:rPr>
              <w:t>不满十周岁的未成年</w:t>
            </w:r>
            <w:r>
              <w:rPr>
                <w:rFonts w:hint="eastAsia" w:cs="宋体" w:asciiTheme="minorEastAsia" w:hAnsiTheme="minorEastAsia" w:eastAsiaTheme="minorEastAsia"/>
                <w:color w:val="auto"/>
                <w:kern w:val="0"/>
                <w:sz w:val="15"/>
                <w:szCs w:val="15"/>
                <w:highlight w:val="none"/>
              </w:rPr>
              <w:t>人进行宣传的；组织利用三名以上（含三名）</w:t>
            </w:r>
            <w:r>
              <w:rPr>
                <w:rFonts w:cs="宋体" w:asciiTheme="minorEastAsia" w:hAnsiTheme="minorEastAsia" w:eastAsiaTheme="minorEastAsia"/>
                <w:color w:val="auto"/>
                <w:kern w:val="0"/>
                <w:sz w:val="15"/>
                <w:szCs w:val="15"/>
                <w:highlight w:val="none"/>
              </w:rPr>
              <w:t>十周岁以上的</w:t>
            </w:r>
            <w:r>
              <w:rPr>
                <w:rFonts w:hint="eastAsia" w:cs="宋体" w:asciiTheme="minorEastAsia" w:hAnsiTheme="minorEastAsia" w:eastAsiaTheme="minorEastAsia"/>
                <w:color w:val="auto"/>
                <w:kern w:val="0"/>
                <w:sz w:val="15"/>
                <w:szCs w:val="15"/>
                <w:highlight w:val="none"/>
              </w:rPr>
              <w:t>未成年人进行宣传的；组织利用进行“涉黑”、“涉黄”、“涉假”等内容违法小广告宣传的；组织利用人员跨三个以上（含三个）区级行政区域进行非法宣传的；组织、利用现场查获宣传品数量达到5000张以上，悬挂、张贴达到100张以上，刻画、喷涂、涂写达到50条以上的；组织利用宣传对名胜古迹或者各类公共设施造成严重污损的；或者具有其它严重危害情节的，可视为情节严重。</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未按规划要求设置夜景照明设施</w:t>
            </w:r>
          </w:p>
        </w:tc>
        <w:tc>
          <w:tcPr>
            <w:tcW w:w="2789"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违反条款：第四十三条第一款；</w:t>
            </w:r>
          </w:p>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处罚条款：第四十三条第四款 责令限期改正，逾期不改正的，处500元以上5000元以下罚款。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pStyle w:val="22"/>
              <w:ind w:left="0" w:leftChars="0" w:firstLine="0" w:firstLineChars="0"/>
              <w:rPr>
                <w:color w:val="auto"/>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未经审核实施夜景照明方案</w:t>
            </w:r>
          </w:p>
        </w:tc>
        <w:tc>
          <w:tcPr>
            <w:tcW w:w="2789"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违反条款：第四十三条第二款；</w:t>
            </w:r>
          </w:p>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处罚条款：第四十三条第四款 责令限期改正，逾期不改正的，处500元以上5000元以下罚款。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pStyle w:val="22"/>
              <w:ind w:left="0" w:leftChars="0" w:firstLine="0" w:firstLineChars="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未按照许可要求设置夜景照明设施</w:t>
            </w:r>
          </w:p>
        </w:tc>
        <w:tc>
          <w:tcPr>
            <w:tcW w:w="2789" w:type="dxa"/>
            <w:shd w:val="clear" w:color="auto" w:fill="auto"/>
            <w:vAlign w:val="center"/>
          </w:tcPr>
          <w:p>
            <w:pPr>
              <w:spacing w:line="250"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违反条款：第四十三条第四款；处罚条款：第四十三条第四款 责令限期改正，逾期不改正的，处500元以上5000元以下罚款。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未按规定管护照明设施</w:t>
            </w:r>
          </w:p>
        </w:tc>
        <w:tc>
          <w:tcPr>
            <w:tcW w:w="2789"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违反、处罚条款：第四十四条第二款 责令限期改正；逾期不改正的，可处500元以上1000元以下罚款。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存在较大隐患或者造成较大社会影响的，系数1。</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未按规定开闭照明设施</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违反、处罚条款：第四十四条第二款 责令限期改正；逾期不改正的，可处500元以上1000元以下罚款。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存在较大隐患或者造成较大社会影响的，系数1。</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未按规定清扫保洁</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违反、处罚条款：第四十五条 责令改正，并可处100元以上1000元以下罚款。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2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500" w:type="dxa"/>
            <w:tcBorders>
              <w:bottom w:val="single" w:color="auto" w:sz="4" w:space="0"/>
            </w:tcBorders>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建设工程未按规定设置围挡、临时厕所和垃圾收集设施</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pStyle w:val="22"/>
              <w:ind w:left="0" w:leftChars="0" w:firstLine="0" w:firstLineChars="0"/>
              <w:rPr>
                <w:color w:val="auto"/>
                <w:highlight w:val="none"/>
              </w:rPr>
            </w:pPr>
            <w:r>
              <w:rPr>
                <w:rFonts w:hint="eastAsia" w:asciiTheme="minorEastAsia" w:hAnsiTheme="minorEastAsia" w:eastAsiaTheme="minorEastAsia"/>
                <w:color w:val="auto"/>
                <w:sz w:val="15"/>
                <w:szCs w:val="15"/>
                <w:highlight w:val="none"/>
              </w:rPr>
              <w:t>1.未按规定</w:t>
            </w:r>
            <w:r>
              <w:rPr>
                <w:rFonts w:hint="eastAsia" w:asciiTheme="minorEastAsia" w:hAnsiTheme="minorEastAsia" w:eastAsiaTheme="minorEastAsia"/>
                <w:color w:val="auto"/>
                <w:sz w:val="15"/>
                <w:szCs w:val="15"/>
                <w:highlight w:val="none"/>
                <w:lang w:eastAsia="zh-CN"/>
              </w:rPr>
              <w:t>设置</w:t>
            </w:r>
            <w:r>
              <w:rPr>
                <w:rFonts w:hint="eastAsia" w:asciiTheme="minorEastAsia" w:hAnsiTheme="minorEastAsia" w:eastAsiaTheme="minorEastAsia"/>
                <w:color w:val="auto"/>
                <w:sz w:val="15"/>
                <w:szCs w:val="15"/>
                <w:highlight w:val="none"/>
              </w:rPr>
              <w:t>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未按规定设置围挡</w:t>
            </w:r>
            <w:r>
              <w:rPr>
                <w:rFonts w:hint="eastAsia" w:asciiTheme="minorEastAsia" w:hAnsiTheme="minorEastAsia" w:eastAsiaTheme="minorEastAsia"/>
                <w:color w:val="auto"/>
                <w:sz w:val="15"/>
                <w:szCs w:val="15"/>
                <w:highlight w:val="none"/>
              </w:rPr>
              <w:t>危害公共安全的，系数9。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6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建设工程未按规定采取防尘措施</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500" w:type="dxa"/>
            <w:tcBorders>
              <w:bottom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建设工程现场污水流溢</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建筑垃圾未日产日清</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1.垃圾占地面积10㎡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w:t>
            </w:r>
            <w:r>
              <w:rPr>
                <w:rFonts w:hint="eastAsia" w:cs="宋体" w:asciiTheme="minorEastAsia" w:hAnsiTheme="minorEastAsia" w:eastAsiaTheme="minorEastAsia"/>
                <w:color w:val="auto"/>
                <w:kern w:val="0"/>
                <w:sz w:val="15"/>
                <w:szCs w:val="15"/>
                <w:highlight w:val="none"/>
              </w:rPr>
              <w:t>数1；16－20㎡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。2.逾期不清的，每逾期2天，系数为１，以此累加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。3.造成尘土飞扬，严重污染环境的，系数为9。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未及时清除施工弃物弃料或者临时设施</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1.废料占地面积10㎡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经责令改正</w:t>
            </w:r>
            <w:r>
              <w:rPr>
                <w:rFonts w:hint="eastAsia" w:cs="宋体" w:asciiTheme="minorEastAsia" w:hAnsiTheme="minorEastAsia" w:eastAsiaTheme="minorEastAsia"/>
                <w:color w:val="auto"/>
                <w:kern w:val="0"/>
                <w:sz w:val="15"/>
                <w:szCs w:val="15"/>
                <w:highlight w:val="none"/>
              </w:rPr>
              <w:t>逾期不清除临时设施的，每逾期2天，系数为１，以此累加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33</w:t>
            </w:r>
          </w:p>
        </w:tc>
        <w:tc>
          <w:tcPr>
            <w:tcW w:w="1500"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公共设施管护作业未按规定清除废弃物</w:t>
            </w:r>
            <w:r>
              <w:rPr>
                <w:rFonts w:hint="eastAsia" w:asciiTheme="minorEastAsia" w:hAnsiTheme="minorEastAsia" w:eastAsiaTheme="minorEastAsia"/>
                <w:b w:val="0"/>
                <w:bCs w:val="0"/>
                <w:color w:val="auto"/>
                <w:sz w:val="15"/>
                <w:szCs w:val="15"/>
                <w:highlight w:val="none"/>
              </w:rPr>
              <w:t xml:space="preserve"> </w:t>
            </w:r>
          </w:p>
        </w:tc>
        <w:tc>
          <w:tcPr>
            <w:tcW w:w="2789"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违反、处罚条款：第四十七条 责令限期清理，并可处500元以上5000元以下罚款。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pStyle w:val="22"/>
              <w:ind w:left="0" w:leftChars="0" w:firstLine="0" w:firstLineChars="0"/>
              <w:rPr>
                <w:color w:val="auto"/>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34</w:t>
            </w:r>
          </w:p>
        </w:tc>
        <w:tc>
          <w:tcPr>
            <w:tcW w:w="1500"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城市绿地管理养护单位未保持绿地整洁</w:t>
            </w:r>
          </w:p>
        </w:tc>
        <w:tc>
          <w:tcPr>
            <w:tcW w:w="2789"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违反、处罚条款：第四十八条 责令限期改正，并可处500元以上5000元以下罚款。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绿化作业未按规定清除废弃物</w:t>
            </w:r>
          </w:p>
        </w:tc>
        <w:tc>
          <w:tcPr>
            <w:tcW w:w="2789"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违反、处罚条款：第四十八条 责令限期改正，并可处500元以上5000元以下罚款。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4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36</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占用公共场所从事车辆清洗、维修业务</w:t>
            </w:r>
          </w:p>
        </w:tc>
        <w:tc>
          <w:tcPr>
            <w:tcW w:w="2789"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违反条款：第五十条第一款；</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处罚条款：第五十第三款 责令改正，并处50元以上300元以下罚款；情节严重的，处300元以上3000元以下罚款。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按照《基准》的有关规定执行</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1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b/>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p>
        </w:tc>
        <w:tc>
          <w:tcPr>
            <w:tcW w:w="2789" w:type="dxa"/>
            <w:vMerge w:val="continue"/>
            <w:shd w:val="clear" w:color="auto" w:fill="auto"/>
            <w:vAlign w:val="center"/>
          </w:tcPr>
          <w:p>
            <w:pPr>
              <w:spacing w:line="220" w:lineRule="exact"/>
              <w:rPr>
                <w:rFonts w:cs="宋体" w:asciiTheme="minorEastAsia" w:hAnsiTheme="minorEastAsia" w:eastAsiaTheme="minorEastAsia"/>
                <w:b/>
                <w:color w:val="auto"/>
                <w:kern w:val="0"/>
                <w:sz w:val="15"/>
                <w:szCs w:val="15"/>
                <w:highlight w:val="none"/>
              </w:rPr>
            </w:pP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1.占用非机动车道或者占用其它公共场所面积较大，或者造成通行秩序、市容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秩序混乱的</w:t>
            </w:r>
            <w:r>
              <w:rPr>
                <w:rFonts w:hint="eastAsia" w:cs="宋体" w:asciiTheme="minorEastAsia" w:hAnsiTheme="minorEastAsia" w:eastAsiaTheme="minorEastAsia"/>
                <w:strike w:val="0"/>
                <w:dstrike w:val="0"/>
                <w:color w:val="auto"/>
                <w:kern w:val="0"/>
                <w:sz w:val="15"/>
                <w:szCs w:val="15"/>
                <w:highlight w:val="none"/>
              </w:rPr>
              <w:t>，系数为1</w:t>
            </w:r>
            <w:r>
              <w:rPr>
                <w:rFonts w:hint="eastAsia" w:cs="宋体" w:asciiTheme="minorEastAsia" w:hAnsiTheme="minorEastAsia" w:eastAsiaTheme="minorEastAsia"/>
                <w:strike w:val="0"/>
                <w:dstrike w:val="0"/>
                <w:color w:val="auto"/>
                <w:kern w:val="0"/>
                <w:sz w:val="15"/>
                <w:szCs w:val="15"/>
                <w:highlight w:val="none"/>
                <w:lang w:val="en-US" w:eastAsia="zh-CN"/>
              </w:rPr>
              <w:t>-3</w:t>
            </w:r>
            <w:r>
              <w:rPr>
                <w:rFonts w:hint="eastAsia" w:cs="宋体" w:asciiTheme="minorEastAsia" w:hAnsiTheme="minorEastAsia" w:eastAsiaTheme="minorEastAsia"/>
                <w:strike w:val="0"/>
                <w:dstrike w:val="0"/>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占用无障碍设施、机动车道、绿地的，系数</w:t>
            </w:r>
            <w:r>
              <w:rPr>
                <w:rFonts w:hint="eastAsia" w:cs="宋体" w:asciiTheme="minorEastAsia" w:hAnsiTheme="minorEastAsia" w:eastAsiaTheme="minorEastAsia"/>
                <w:color w:val="auto"/>
                <w:kern w:val="0"/>
                <w:sz w:val="15"/>
                <w:szCs w:val="15"/>
                <w:highlight w:val="none"/>
                <w:lang w:eastAsia="zh-CN"/>
              </w:rPr>
              <w:t>为</w:t>
            </w:r>
            <w:r>
              <w:rPr>
                <w:rFonts w:hint="eastAsia" w:cs="宋体" w:asciiTheme="minorEastAsia" w:hAnsiTheme="minorEastAsia" w:eastAsiaTheme="minorEastAsia"/>
                <w:color w:val="auto"/>
                <w:kern w:val="0"/>
                <w:sz w:val="15"/>
                <w:szCs w:val="15"/>
                <w:highlight w:val="none"/>
                <w:lang w:val="en-US" w:eastAsia="zh-CN"/>
              </w:rPr>
              <w:t>4-6</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.造成交通秩序、市容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构成变量系数一栏中相关情节的，视为情节严重，适用此档处罚。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37</w:t>
            </w:r>
          </w:p>
        </w:tc>
        <w:tc>
          <w:tcPr>
            <w:tcW w:w="1500"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车辆作业场所环境脏乱</w:t>
            </w:r>
          </w:p>
        </w:tc>
        <w:tc>
          <w:tcPr>
            <w:tcW w:w="2789"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违反条款：第五十条第二款；</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处罚条款：第五十条第三款 责令改正，并处50元以上300元以下罚款；情节严重的，处300元以上3000元以下罚款。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按照《基准》的有关规定执行</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罚款数额＝50×（1＋区域系数）。</w:t>
            </w:r>
          </w:p>
        </w:tc>
        <w:tc>
          <w:tcPr>
            <w:tcW w:w="2385" w:type="dxa"/>
            <w:shd w:val="clear" w:color="auto" w:fill="auto"/>
            <w:vAlign w:val="center"/>
          </w:tcPr>
          <w:p>
            <w:pPr>
              <w:spacing w:line="240" w:lineRule="exact"/>
              <w:rPr>
                <w:rFonts w:cs="宋体" w:asciiTheme="minorEastAsia" w:hAnsiTheme="minorEastAsia" w:eastAsiaTheme="minorEastAsia"/>
                <w:b/>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b/>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污染面积5㎡</w:t>
            </w:r>
            <w:r>
              <w:rPr>
                <w:rFonts w:hint="eastAsia" w:cs="仿宋_GB2312" w:asciiTheme="minorEastAsia" w:hAnsiTheme="minorEastAsia" w:eastAsiaTheme="minorEastAsia"/>
                <w:color w:val="auto"/>
                <w:kern w:val="0"/>
                <w:sz w:val="15"/>
                <w:szCs w:val="15"/>
                <w:highlight w:val="none"/>
              </w:rPr>
              <w:t>以内的，系数为</w:t>
            </w:r>
            <w:r>
              <w:rPr>
                <w:rFonts w:hint="eastAsia" w:cs="宋体" w:asciiTheme="minorEastAsia" w:hAnsiTheme="minorEastAsia" w:eastAsiaTheme="minorEastAsia"/>
                <w:color w:val="auto"/>
                <w:kern w:val="0"/>
                <w:sz w:val="15"/>
                <w:szCs w:val="15"/>
                <w:highlight w:val="none"/>
              </w:rPr>
              <w:t>0；6㎡</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10㎡</w:t>
            </w:r>
            <w:r>
              <w:rPr>
                <w:rFonts w:hint="eastAsia" w:cs="仿宋_GB2312" w:asciiTheme="minorEastAsia" w:hAnsiTheme="minorEastAsia" w:eastAsiaTheme="minorEastAsia"/>
                <w:color w:val="auto"/>
                <w:kern w:val="0"/>
                <w:sz w:val="15"/>
                <w:szCs w:val="15"/>
                <w:highlight w:val="none"/>
              </w:rPr>
              <w:t>的，系数为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违法行为发生在一类地区的，或者构成</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情节之一的，视为情节严重。</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38</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废品收购场所环境脏乱</w:t>
            </w:r>
          </w:p>
        </w:tc>
        <w:tc>
          <w:tcPr>
            <w:tcW w:w="2789" w:type="dxa"/>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违反、处罚条款：第五十一条 责令限期改正，并处300元以上3000元以下罚款。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污染面积5㎡</w:t>
            </w:r>
            <w:r>
              <w:rPr>
                <w:rFonts w:hint="eastAsia" w:cs="仿宋_GB2312" w:asciiTheme="minorEastAsia" w:hAnsiTheme="minorEastAsia" w:eastAsiaTheme="minorEastAsia"/>
                <w:color w:val="auto"/>
                <w:kern w:val="0"/>
                <w:sz w:val="15"/>
                <w:szCs w:val="15"/>
                <w:highlight w:val="none"/>
              </w:rPr>
              <w:t>以内的，系数为</w:t>
            </w:r>
            <w:r>
              <w:rPr>
                <w:rFonts w:hint="eastAsia" w:cs="宋体" w:asciiTheme="minorEastAsia" w:hAnsiTheme="minorEastAsia" w:eastAsiaTheme="minorEastAsia"/>
                <w:color w:val="auto"/>
                <w:kern w:val="0"/>
                <w:sz w:val="15"/>
                <w:szCs w:val="15"/>
                <w:highlight w:val="none"/>
              </w:rPr>
              <w:t>0；6㎡</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10㎡</w:t>
            </w:r>
            <w:r>
              <w:rPr>
                <w:rFonts w:hint="eastAsia" w:cs="仿宋_GB2312" w:asciiTheme="minorEastAsia" w:hAnsiTheme="minorEastAsia" w:eastAsiaTheme="minorEastAsia"/>
                <w:color w:val="auto"/>
                <w:kern w:val="0"/>
                <w:sz w:val="15"/>
                <w:szCs w:val="15"/>
                <w:highlight w:val="none"/>
              </w:rPr>
              <w:t>的，系数为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3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39</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焚烧废旧物品</w:t>
            </w:r>
          </w:p>
        </w:tc>
        <w:tc>
          <w:tcPr>
            <w:tcW w:w="2789"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hint="default" w:eastAsiaTheme="minorEastAsia"/>
                <w:color w:val="auto"/>
                <w:highlight w:val="none"/>
                <w:lang w:val="en-US" w:eastAsia="zh-CN"/>
              </w:rPr>
            </w:pPr>
            <w:r>
              <w:rPr>
                <w:rFonts w:hint="eastAsia" w:cs="宋体" w:asciiTheme="minorEastAsia" w:hAnsiTheme="minorEastAsia" w:eastAsiaTheme="minorEastAsia"/>
                <w:color w:val="auto"/>
                <w:kern w:val="0"/>
                <w:sz w:val="15"/>
                <w:szCs w:val="15"/>
                <w:highlight w:val="none"/>
                <w:lang w:eastAsia="zh-CN"/>
              </w:rPr>
              <w:t>造成较大社会影响或者严重污染环境的，系数</w:t>
            </w:r>
            <w:r>
              <w:rPr>
                <w:rFonts w:hint="eastAsia" w:cs="宋体" w:asciiTheme="minorEastAsia" w:hAnsiTheme="minorEastAsia" w:eastAsiaTheme="minorEastAsia"/>
                <w:color w:val="auto"/>
                <w:kern w:val="0"/>
                <w:sz w:val="15"/>
                <w:szCs w:val="15"/>
                <w:highlight w:val="none"/>
                <w:lang w:val="en-US" w:eastAsia="zh-CN"/>
              </w:rPr>
              <w:t>2。</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其它需要从轻处罚的，报案审会决定。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4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40</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废品储存场所未采取遮挡措施</w:t>
            </w:r>
          </w:p>
        </w:tc>
        <w:tc>
          <w:tcPr>
            <w:tcW w:w="2789" w:type="dxa"/>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eastAsia="zh-CN"/>
              </w:rPr>
              <w:t>造成较大社会影响或者严重污染环境的，系数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随地吐痰</w:t>
            </w:r>
          </w:p>
        </w:tc>
        <w:tc>
          <w:tcPr>
            <w:tcW w:w="2789"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违反条款：第五十二条第一款第（一）项；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4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42</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随地便溺</w:t>
            </w:r>
          </w:p>
        </w:tc>
        <w:tc>
          <w:tcPr>
            <w:tcW w:w="2789"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违反条款：第五十二条第一款第（一）项；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3"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43</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随地丢弃废弃物</w:t>
            </w:r>
          </w:p>
        </w:tc>
        <w:tc>
          <w:tcPr>
            <w:tcW w:w="2789"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违反条款：第五十二条第一款第（二）项；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5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44</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乱倒污水、垃圾</w:t>
            </w:r>
          </w:p>
        </w:tc>
        <w:tc>
          <w:tcPr>
            <w:tcW w:w="2789" w:type="dxa"/>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违反条款：第五十二条第一款第（三）项；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焚烧树叶、垃圾</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违反条款：第五十二条第一款第（三）项；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在城镇地区饲养家禽家畜</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违反、处罚条款：第五十三条第一款责令限期改正，并可按照每只（头）处20元以上50元以下罚款。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根据实际情况执行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47</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饲养鸽子影响市容环境卫生</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违反、处罚条款：第五十三条第二款责令限期改正，并处50元以上500元以下罚款；严重影响市容环境卫生和周围居民正常生活的，可以责令拆除鸽舍。</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1.导致建筑物外立面污损的，系数3；2.导致地面污染面积5㎡</w:t>
            </w:r>
            <w:r>
              <w:rPr>
                <w:rFonts w:hint="eastAsia" w:cs="仿宋_GB2312" w:asciiTheme="minorEastAsia" w:hAnsiTheme="minorEastAsia" w:eastAsiaTheme="minorEastAsia"/>
                <w:color w:val="auto"/>
                <w:kern w:val="0"/>
                <w:sz w:val="15"/>
                <w:szCs w:val="15"/>
                <w:highlight w:val="none"/>
              </w:rPr>
              <w:t>以上的，系数</w:t>
            </w:r>
            <w:r>
              <w:rPr>
                <w:rFonts w:hint="eastAsia" w:cs="宋体" w:asciiTheme="minorEastAsia" w:hAnsiTheme="minorEastAsia" w:eastAsiaTheme="minorEastAsia"/>
                <w:color w:val="auto"/>
                <w:kern w:val="0"/>
                <w:sz w:val="15"/>
                <w:szCs w:val="15"/>
                <w:highlight w:val="none"/>
              </w:rPr>
              <w:t>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48</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擅自设置建筑垃圾、渣土消纳场所</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违反、处罚条款：第五十五条 责令改正，并处5000元以上1万元以下罚款。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8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49</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未按规定管护公共厕所</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违反、处罚条款：第五十七条第二款 责令限期改正，并可处500元以上3000元以下罚款。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3-5；2严重影响使用或者造成其他较大影响的，系数5。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未按规定排入粪便</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违反条款：第五十八条第一款；处罚条款：第五十八条第三款 责令改正，并处1000元以上2000元以下罚款。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造成较大影响的，系数1。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未按规定清掏（运输）粪便</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违反条款：第五十八条第二款；处罚条款：第五十八条第三款 责令改正，并处1000元以上2000元以下罚款。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造成较大影响的，系数1。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8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52</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随意倾倒粪便</w:t>
            </w:r>
          </w:p>
        </w:tc>
        <w:tc>
          <w:tcPr>
            <w:tcW w:w="2789"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违反条款：第五十八条第二款；处罚条款：第五十八条第三款 随意倾倒粪便的，处5000元以上5万元以下罚款。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default" w:cs="宋体" w:asciiTheme="minorEastAsia" w:hAnsiTheme="minorEastAsia" w:eastAsiaTheme="minorEastAsia"/>
                <w:color w:val="auto"/>
                <w:kern w:val="0"/>
                <w:sz w:val="15"/>
                <w:szCs w:val="15"/>
                <w:highlight w:val="none"/>
                <w:lang w:val="en-US"/>
              </w:rPr>
              <w:t>.</w:t>
            </w:r>
            <w:r>
              <w:rPr>
                <w:rFonts w:hint="eastAsia" w:cs="宋体" w:asciiTheme="minorEastAsia" w:hAnsiTheme="minorEastAsia" w:eastAsiaTheme="minorEastAsia"/>
                <w:color w:val="auto"/>
                <w:kern w:val="0"/>
                <w:sz w:val="15"/>
                <w:szCs w:val="15"/>
                <w:highlight w:val="none"/>
              </w:rPr>
              <w:t>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strike w:val="0"/>
                <w:dstrike w:val="0"/>
                <w:color w:val="auto"/>
                <w:kern w:val="0"/>
                <w:sz w:val="15"/>
                <w:szCs w:val="15"/>
                <w:highlight w:val="none"/>
              </w:rPr>
              <w:t>1；6－10㎡</w:t>
            </w:r>
            <w:r>
              <w:rPr>
                <w:rFonts w:hint="eastAsia" w:cs="仿宋_GB2312" w:asciiTheme="minorEastAsia" w:hAnsiTheme="minorEastAsia" w:eastAsiaTheme="minorEastAsia"/>
                <w:strike w:val="0"/>
                <w:dstrike w:val="0"/>
                <w:color w:val="auto"/>
                <w:kern w:val="0"/>
                <w:sz w:val="15"/>
                <w:szCs w:val="15"/>
                <w:highlight w:val="none"/>
              </w:rPr>
              <w:t>，系数</w:t>
            </w:r>
            <w:r>
              <w:rPr>
                <w:rFonts w:hint="eastAsia" w:cs="宋体" w:asciiTheme="minorEastAsia" w:hAnsiTheme="minorEastAsia" w:eastAsiaTheme="minorEastAsia"/>
                <w:strike w:val="0"/>
                <w:dstrike w:val="0"/>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；2.倾倒在绿地、城市道路等公共场所，或者燃气、供暖等公用管道和设施保护（管理）范围的，或者</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内的，系数3。</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7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53</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环卫设施未经验收（验收不合格）投入使用</w:t>
            </w:r>
          </w:p>
        </w:tc>
        <w:tc>
          <w:tcPr>
            <w:tcW w:w="2789"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违反条款：第六十条第二款；</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处罚条款：第六十条第三款 责令限期改正，并处5000元以上3万元以下罚款。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车站、机场、居民小区、医院、学校、体育场馆、影剧院、繁华商业街区、旅游景区等人口集中地区环卫设施未经验收或者验收不合格投入使用的，系数</w:t>
            </w:r>
            <w:r>
              <w:rPr>
                <w:rFonts w:hint="eastAsia" w:cs="宋体" w:asciiTheme="minorEastAsia" w:hAnsiTheme="minorEastAsia" w:eastAsiaTheme="minorEastAsia"/>
                <w:color w:val="auto"/>
                <w:kern w:val="0"/>
                <w:sz w:val="15"/>
                <w:szCs w:val="15"/>
                <w:highlight w:val="none"/>
                <w:lang w:val="en-US" w:eastAsia="zh-CN"/>
              </w:rPr>
              <w:t>3-5；</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54</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擅自占用、损毁环卫设施</w:t>
            </w:r>
          </w:p>
        </w:tc>
        <w:tc>
          <w:tcPr>
            <w:tcW w:w="2789"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违反条款：第六十一条第一款；</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责令恢复原状或者赔偿损失，并处500元以上3000元以下罚款。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占用、损毁车站、机场、居民小区、医院、学校、体育场馆、影剧院、繁华商业街区、旅游景区等人口集中地区环卫设施的，系数为</w:t>
            </w:r>
            <w:r>
              <w:rPr>
                <w:rFonts w:hint="eastAsia" w:cs="宋体" w:asciiTheme="minorEastAsia" w:hAnsiTheme="minorEastAsia" w:eastAsiaTheme="minorEastAsia"/>
                <w:color w:val="auto"/>
                <w:kern w:val="0"/>
                <w:sz w:val="15"/>
                <w:szCs w:val="15"/>
                <w:highlight w:val="none"/>
                <w:lang w:val="en-US" w:eastAsia="zh-CN"/>
              </w:rPr>
              <w:t>3-5</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擅自拆除、迁移、改建、停用环卫设施</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责令改正，并可处5000元以上5万元以下罚款。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拆除、迁移、改建、停用车站、机场、居民小区、医院、学校、体育场馆、影剧院、繁华商业街区、旅游景区等人口集中地区环卫设施的，系数为</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0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擅自改变环卫设施用途</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责令改正，并可处5000元以上5万元以下罚款。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擅自改变车站、机场、居民小区、医院、学校、体育场馆、影剧院、繁华商业街区、旅游景区等人口集中地区环卫设施的，系数为</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0"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7" w:name="_Toc1542301765"/>
            <w:bookmarkStart w:id="8" w:name="_Toc1716261181"/>
            <w:bookmarkStart w:id="9" w:name="_Toc110851437"/>
            <w:r>
              <w:rPr>
                <w:rFonts w:hint="eastAsia" w:asciiTheme="minorEastAsia" w:hAnsiTheme="minorEastAsia" w:eastAsiaTheme="minorEastAsia"/>
                <w:color w:val="auto"/>
                <w:sz w:val="21"/>
                <w:szCs w:val="21"/>
                <w:highlight w:val="none"/>
              </w:rPr>
              <w:t>《北京市生活垃圾管理条例》案由</w:t>
            </w:r>
            <w:r>
              <w:rPr>
                <w:rFonts w:hint="eastAsia" w:asciiTheme="minorEastAsia" w:hAnsiTheme="minorEastAsia" w:eastAsiaTheme="minorEastAsia"/>
                <w:color w:val="auto"/>
                <w:sz w:val="21"/>
                <w:szCs w:val="21"/>
                <w:highlight w:val="none"/>
                <w:lang w:val="en-US" w:eastAsia="zh-CN"/>
              </w:rPr>
              <w:t>33</w:t>
            </w:r>
            <w:r>
              <w:rPr>
                <w:rFonts w:hint="eastAsia" w:asciiTheme="minorEastAsia" w:hAnsiTheme="minorEastAsia" w:eastAsiaTheme="minorEastAsia"/>
                <w:color w:val="auto"/>
                <w:sz w:val="21"/>
                <w:szCs w:val="21"/>
                <w:highlight w:val="none"/>
              </w:rPr>
              <w:t>项</w:t>
            </w:r>
            <w:bookmarkEnd w:id="7"/>
            <w:bookmarkEnd w:id="8"/>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6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主动向消费者提供一次性用品</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违反条款：第二十六条第二款；处罚条款：第六十六条第二款 责令立即改正，处五千元以上一万元以下罚款；再次违反规定的，处一万元以上五万元以下罚款。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5000（初次违反）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val="en-US" w:eastAsia="zh-CN"/>
              </w:rPr>
              <w:t>.</w:t>
            </w:r>
            <w:r>
              <w:rPr>
                <w:rFonts w:hint="eastAsia" w:asciiTheme="minorEastAsia" w:hAnsiTheme="minorEastAsia" w:eastAsiaTheme="minorEastAsia"/>
                <w:color w:val="auto"/>
                <w:sz w:val="15"/>
                <w:szCs w:val="15"/>
                <w:highlight w:val="none"/>
              </w:rPr>
              <w:t>特大型、大型餐饮经营者</w:t>
            </w:r>
            <w:r>
              <w:rPr>
                <w:rFonts w:hint="eastAsia" w:asciiTheme="minorEastAsia" w:hAnsiTheme="minorEastAsia" w:eastAsiaTheme="minorEastAsia"/>
                <w:color w:val="auto"/>
                <w:sz w:val="15"/>
                <w:szCs w:val="15"/>
                <w:highlight w:val="none"/>
                <w:lang w:eastAsia="zh-CN"/>
              </w:rPr>
              <w:t>，或者外卖平台企业，</w:t>
            </w:r>
            <w:r>
              <w:rPr>
                <w:rFonts w:hint="eastAsia" w:asciiTheme="minorEastAsia" w:hAnsiTheme="minorEastAsia" w:eastAsiaTheme="minorEastAsia"/>
                <w:color w:val="auto"/>
                <w:sz w:val="15"/>
                <w:szCs w:val="15"/>
                <w:highlight w:val="none"/>
              </w:rPr>
              <w:t>变量系数为1；（以餐饮服务许可标注的类别为准）</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2.旅馆经营单位，符合《星级饭店评定标准》四星及以上的或至少有40间（套）可供出租的客房的，变量系数为1。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初次违反适用此情形。</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10000（再次违反）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val="en-US" w:eastAsia="zh-CN"/>
              </w:rPr>
              <w:t>.</w:t>
            </w:r>
            <w:r>
              <w:rPr>
                <w:rFonts w:hint="eastAsia" w:asciiTheme="minorEastAsia" w:hAnsiTheme="minorEastAsia" w:eastAsiaTheme="minorEastAsia"/>
                <w:color w:val="auto"/>
                <w:sz w:val="15"/>
                <w:szCs w:val="15"/>
                <w:highlight w:val="none"/>
              </w:rPr>
              <w:t>特大型、大型餐饮经营者，</w:t>
            </w:r>
            <w:r>
              <w:rPr>
                <w:rFonts w:hint="eastAsia" w:asciiTheme="minorEastAsia" w:hAnsiTheme="minorEastAsia" w:eastAsiaTheme="minorEastAsia"/>
                <w:color w:val="auto"/>
                <w:sz w:val="15"/>
                <w:szCs w:val="15"/>
                <w:highlight w:val="none"/>
                <w:lang w:eastAsia="zh-CN"/>
              </w:rPr>
              <w:t>或者外卖平台企业，</w:t>
            </w:r>
            <w:r>
              <w:rPr>
                <w:rFonts w:hint="eastAsia" w:asciiTheme="minorEastAsia" w:hAnsiTheme="minorEastAsia" w:eastAsiaTheme="minorEastAsia"/>
                <w:color w:val="auto"/>
                <w:sz w:val="15"/>
                <w:szCs w:val="15"/>
                <w:highlight w:val="none"/>
              </w:rPr>
              <w:t>变量系数为</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rPr>
              <w:t>；（以餐饮服务许可标注的类别为准）2.旅馆经营单位，符合《星级饭店评定标准》四星及以上的或至少有40间（套）可供出租的客房的，变量系数为</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一年度内</w:t>
            </w:r>
            <w:r>
              <w:rPr>
                <w:rFonts w:hint="eastAsia" w:cs="宋体" w:asciiTheme="minorEastAsia" w:hAnsiTheme="minorEastAsia" w:eastAsiaTheme="minorEastAsia"/>
                <w:color w:val="auto"/>
                <w:kern w:val="0"/>
                <w:sz w:val="15"/>
                <w:szCs w:val="15"/>
                <w:highlight w:val="none"/>
                <w:lang w:eastAsia="zh-CN"/>
              </w:rPr>
              <w:t>因</w:t>
            </w:r>
            <w:r>
              <w:rPr>
                <w:rFonts w:hint="eastAsia" w:cs="宋体" w:asciiTheme="minorEastAsia" w:hAnsiTheme="minorEastAsia" w:eastAsiaTheme="minorEastAsia"/>
                <w:color w:val="auto"/>
                <w:kern w:val="0"/>
                <w:sz w:val="15"/>
                <w:szCs w:val="15"/>
                <w:highlight w:val="none"/>
              </w:rPr>
              <w:t>同类性质违法行为</w:t>
            </w:r>
            <w:r>
              <w:rPr>
                <w:rFonts w:hint="eastAsia" w:cs="宋体" w:asciiTheme="minorEastAsia" w:hAnsiTheme="minorEastAsia" w:eastAsiaTheme="minorEastAsia"/>
                <w:color w:val="auto"/>
                <w:kern w:val="0"/>
                <w:sz w:val="15"/>
                <w:szCs w:val="15"/>
                <w:highlight w:val="none"/>
                <w:lang w:eastAsia="zh-CN"/>
              </w:rPr>
              <w:t>再次</w:t>
            </w:r>
            <w:r>
              <w:rPr>
                <w:rFonts w:hint="eastAsia" w:cs="宋体" w:asciiTheme="minorEastAsia" w:hAnsiTheme="minorEastAsia" w:eastAsiaTheme="minorEastAsia"/>
                <w:color w:val="auto"/>
                <w:kern w:val="0"/>
                <w:sz w:val="15"/>
                <w:szCs w:val="15"/>
                <w:highlight w:val="none"/>
              </w:rPr>
              <w:t>受到</w:t>
            </w:r>
            <w:r>
              <w:rPr>
                <w:rFonts w:hint="eastAsia" w:cs="宋体" w:asciiTheme="minorEastAsia" w:hAnsiTheme="minorEastAsia" w:eastAsiaTheme="minorEastAsia"/>
                <w:color w:val="auto"/>
                <w:kern w:val="0"/>
                <w:sz w:val="15"/>
                <w:szCs w:val="15"/>
                <w:highlight w:val="none"/>
                <w:lang w:eastAsia="zh-CN"/>
              </w:rPr>
              <w:t>市区城管执法部门以及</w:t>
            </w:r>
            <w:r>
              <w:rPr>
                <w:rFonts w:hint="eastAsia" w:cs="宋体" w:asciiTheme="minorEastAsia" w:hAnsiTheme="minorEastAsia" w:eastAsiaTheme="minorEastAsia"/>
                <w:color w:val="auto"/>
                <w:kern w:val="0"/>
                <w:sz w:val="15"/>
                <w:szCs w:val="15"/>
                <w:highlight w:val="none"/>
              </w:rPr>
              <w:t>街道办事处、乡镇人民政府书面告诫或者处罚的</w:t>
            </w:r>
            <w:r>
              <w:rPr>
                <w:rFonts w:hint="eastAsia" w:cs="宋体" w:asciiTheme="minorEastAsia" w:hAnsiTheme="minorEastAsia" w:eastAsiaTheme="minorEastAsia"/>
                <w:color w:val="auto"/>
                <w:kern w:val="0"/>
                <w:sz w:val="15"/>
                <w:szCs w:val="15"/>
                <w:highlight w:val="none"/>
                <w:lang w:eastAsia="zh-CN"/>
              </w:rPr>
              <w:t>常量</w:t>
            </w:r>
            <w:r>
              <w:rPr>
                <w:rFonts w:hint="eastAsia"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不适用本案由。</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28"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未将生活垃圾分别投入相应标识的收集容器</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违反条款：第三十四条第一款第（一）项；处罚条款：第六十八条第一款 责令立即改正，</w:t>
            </w:r>
            <w:r>
              <w:rPr>
                <w:rFonts w:hint="eastAsia" w:asciiTheme="minorEastAsia" w:hAnsiTheme="minorEastAsia" w:eastAsiaTheme="minorEastAsia"/>
                <w:color w:val="auto"/>
                <w:spacing w:val="15"/>
                <w:sz w:val="15"/>
                <w:szCs w:val="15"/>
                <w:highlight w:val="none"/>
              </w:rPr>
              <w:t>情节严重的，处五万元以上五十万元以下罚款。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50000（单位情节严重的）</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asciiTheme="minorEastAsia" w:hAnsiTheme="minorEastAsia" w:eastAsiaTheme="minorEastAsia"/>
                <w:b/>
                <w:color w:val="auto"/>
                <w:sz w:val="15"/>
                <w:szCs w:val="15"/>
                <w:highlight w:val="none"/>
              </w:rPr>
            </w:pPr>
            <w:r>
              <w:rPr>
                <w:rFonts w:hint="eastAsia" w:asciiTheme="minorEastAsia" w:hAnsiTheme="minorEastAsia" w:eastAsiaTheme="minorEastAsia"/>
                <w:color w:val="auto"/>
                <w:sz w:val="15"/>
                <w:szCs w:val="15"/>
                <w:highlight w:val="none"/>
              </w:rPr>
              <w:t>1.可回收物未投入相应标识的收集容器系数为0</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；2.其他垃圾未投入相应标识的收集容器系数为0-3；3.厨余垃圾未投入相应标识的收集容器系数为1-5；4.有害垃圾 未投入相应标识的收集容器系数为1-5。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厨余垃圾、有害垃圾未投入</w:t>
            </w:r>
            <w:r>
              <w:rPr>
                <w:rFonts w:hint="eastAsia" w:asciiTheme="minorEastAsia" w:hAnsiTheme="minorEastAsia" w:eastAsiaTheme="minorEastAsia"/>
                <w:color w:val="auto"/>
                <w:sz w:val="15"/>
                <w:szCs w:val="15"/>
                <w:highlight w:val="none"/>
              </w:rPr>
              <w:t>相应标识的收集容器视为情节严重；可回收物、其他垃圾</w:t>
            </w:r>
            <w:r>
              <w:rPr>
                <w:rFonts w:hint="eastAsia" w:cs="宋体" w:asciiTheme="minorEastAsia" w:hAnsiTheme="minorEastAsia" w:eastAsiaTheme="minorEastAsia"/>
                <w:color w:val="auto"/>
                <w:kern w:val="0"/>
                <w:sz w:val="15"/>
                <w:szCs w:val="15"/>
                <w:highlight w:val="none"/>
              </w:rPr>
              <w:t>未投入</w:t>
            </w:r>
            <w:r>
              <w:rPr>
                <w:rFonts w:hint="eastAsia" w:asciiTheme="minorEastAsia" w:hAnsiTheme="minorEastAsia" w:eastAsiaTheme="minorEastAsia"/>
                <w:color w:val="auto"/>
                <w:sz w:val="15"/>
                <w:szCs w:val="15"/>
                <w:highlight w:val="none"/>
              </w:rPr>
              <w:t>相应标识的收集容器，垃圾投入量较大,造成垃圾满冒或随意堆放的情况视为情节严重。</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8"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违反条款：第三十四条第一款第（一）项；处罚条款：第六十八条第二款 对拒不听从生活垃圾分类管理责任人劝阻的，给予书面警告；再次违反规定的，处五十元以上二百元以下罚款。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警告（个人初次违反）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vMerge w:val="restart"/>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1.可回收物未投入相应标识的收集容器系数为0</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；2.其他垃圾未投入相应标识的收集容器系数为0-3；3.厨余垃圾未投入相应标识的收集容器系数为1-</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w:t>
            </w:r>
            <w:r>
              <w:rPr>
                <w:rFonts w:asciiTheme="minorEastAsia" w:hAnsiTheme="minorEastAsia" w:eastAsiaTheme="minorEastAsia"/>
                <w:color w:val="auto"/>
                <w:spacing w:val="-4"/>
                <w:sz w:val="15"/>
                <w:szCs w:val="15"/>
                <w:highlight w:val="none"/>
              </w:rPr>
              <w:t>.</w:t>
            </w:r>
            <w:r>
              <w:rPr>
                <w:rFonts w:hint="eastAsia" w:asciiTheme="minorEastAsia" w:hAnsiTheme="minorEastAsia" w:eastAsiaTheme="minorEastAsia"/>
                <w:color w:val="auto"/>
                <w:spacing w:val="-4"/>
                <w:sz w:val="15"/>
                <w:szCs w:val="15"/>
                <w:highlight w:val="none"/>
              </w:rPr>
              <w:t>有害垃圾未投入相应标识的收集容器系数为1-</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pacing w:val="-4"/>
                <w:sz w:val="15"/>
                <w:szCs w:val="15"/>
                <w:highlight w:val="none"/>
              </w:rPr>
              <w:t>。</w:t>
            </w:r>
          </w:p>
        </w:tc>
        <w:tc>
          <w:tcPr>
            <w:tcW w:w="1785"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19" w:hRule="atLeast"/>
          <w:jc w:val="center"/>
        </w:trPr>
        <w:tc>
          <w:tcPr>
            <w:tcW w:w="940" w:type="dxa"/>
            <w:vMerge w:val="restart"/>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体积较大的废弃物品未单独堆放</w:t>
            </w:r>
          </w:p>
        </w:tc>
        <w:tc>
          <w:tcPr>
            <w:tcW w:w="2789" w:type="dxa"/>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违反条款：第三十四条第一款第（二）项；处罚条款：第六十八条第一款 责令立即改正，</w:t>
            </w:r>
            <w:r>
              <w:rPr>
                <w:rFonts w:hint="eastAsia" w:asciiTheme="minorEastAsia" w:hAnsiTheme="minorEastAsia" w:eastAsiaTheme="minorEastAsia"/>
                <w:color w:val="auto"/>
                <w:spacing w:val="15"/>
                <w:sz w:val="15"/>
                <w:szCs w:val="15"/>
                <w:highlight w:val="none"/>
              </w:rPr>
              <w:t>情节严重的，处五万元以上五十万元以下罚款。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50000（单位情节严重的）</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1.未单独堆放在生活垃圾分类管理责任人指定的地点，系数为0-1；</w:t>
            </w:r>
            <w:r>
              <w:rPr>
                <w:rFonts w:hint="eastAsia" w:cs="宋体" w:asciiTheme="minorEastAsia" w:hAnsiTheme="minorEastAsia" w:eastAsiaTheme="minorEastAsia"/>
                <w:color w:val="auto"/>
                <w:kern w:val="0"/>
                <w:sz w:val="15"/>
                <w:szCs w:val="15"/>
                <w:highlight w:val="none"/>
              </w:rPr>
              <w:t>2.占地面积在5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堆放在城市道路、居住小区消防通道</w:t>
            </w:r>
            <w:r>
              <w:rPr>
                <w:rFonts w:hint="eastAsia" w:asciiTheme="minorEastAsia" w:hAnsiTheme="minorEastAsia" w:eastAsiaTheme="minorEastAsia"/>
                <w:color w:val="auto"/>
                <w:sz w:val="15"/>
                <w:szCs w:val="15"/>
                <w:highlight w:val="none"/>
                <w:shd w:val="clear" w:color="auto" w:fill="FFFFFF"/>
              </w:rPr>
              <w:t>等共用部位</w:t>
            </w:r>
            <w:r>
              <w:rPr>
                <w:rFonts w:hint="eastAsia" w:cs="宋体" w:asciiTheme="minorEastAsia" w:hAnsiTheme="minorEastAsia" w:eastAsiaTheme="minorEastAsia"/>
                <w:color w:val="auto"/>
                <w:kern w:val="0"/>
                <w:sz w:val="15"/>
                <w:szCs w:val="15"/>
                <w:highlight w:val="none"/>
              </w:rPr>
              <w:t>；占压燃气、供暖等公用管道和设施保护（管理）范围的，或者绿地、林地、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内的，视为情节严重。</w:t>
            </w:r>
          </w:p>
        </w:tc>
        <w:tc>
          <w:tcPr>
            <w:tcW w:w="824" w:type="dxa"/>
            <w:vMerge w:val="restart"/>
            <w:tcBorders>
              <w:top w:val="single" w:color="auto" w:sz="4" w:space="0"/>
              <w:left w:val="single" w:color="auto" w:sz="4" w:space="0"/>
              <w:right w:val="single" w:color="auto"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3" w:hRule="atLeast"/>
          <w:jc w:val="center"/>
        </w:trPr>
        <w:tc>
          <w:tcPr>
            <w:tcW w:w="940" w:type="dxa"/>
            <w:vMerge w:val="continue"/>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违反条款：第三十四条第一款第（二）项；处罚条款：第六十八条第二款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警告（个人初次违反）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未单独堆放在生活垃圾分类管理责任人指定的地点，系数为0-1；</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24" w:type="dxa"/>
            <w:vMerge w:val="continue"/>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9"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5" w:hRule="atLeast"/>
          <w:jc w:val="center"/>
        </w:trPr>
        <w:tc>
          <w:tcPr>
            <w:tcW w:w="940" w:type="dxa"/>
            <w:vMerge w:val="restart"/>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vMerge w:val="restart"/>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农村村民产生的灰土未按规定投放的</w:t>
            </w:r>
          </w:p>
        </w:tc>
        <w:tc>
          <w:tcPr>
            <w:tcW w:w="2789"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违反条款：第三十四条第一款第（三）项；处罚条款：第六十八条第二款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警告（初次违反）</w:t>
            </w:r>
          </w:p>
        </w:tc>
        <w:tc>
          <w:tcPr>
            <w:tcW w:w="840" w:type="dxa"/>
            <w:tcBorders>
              <w:top w:val="single" w:color="auto" w:sz="4" w:space="0"/>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1.未单独投放在相应的容器或者生活垃圾分类管理责任人指定的地点，系数为0-1；</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24" w:type="dxa"/>
            <w:tcBorders>
              <w:top w:val="single" w:color="auto" w:sz="4" w:space="0"/>
              <w:left w:val="single" w:color="auto" w:sz="4" w:space="0"/>
              <w:right w:val="single" w:color="auto"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7" w:hRule="atLeast"/>
          <w:jc w:val="center"/>
        </w:trPr>
        <w:tc>
          <w:tcPr>
            <w:tcW w:w="940" w:type="dxa"/>
            <w:vMerge w:val="continue"/>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5" w:hRule="atLeast"/>
          <w:jc w:val="center"/>
        </w:trPr>
        <w:tc>
          <w:tcPr>
            <w:tcW w:w="940" w:type="dxa"/>
            <w:vMerge w:val="restart"/>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居民装饰装修房屋过程中产生的建筑垃圾未按指定的时间、地点和要求单独堆放</w:t>
            </w:r>
          </w:p>
        </w:tc>
        <w:tc>
          <w:tcPr>
            <w:tcW w:w="2789"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违反条款：第三十四条第二款；处罚条款：第六十八条第二款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1.未单独堆放在生活垃圾分类管理责任人指定的地点，系数为0-1；</w:t>
            </w:r>
            <w:r>
              <w:rPr>
                <w:rFonts w:hint="eastAsia" w:cs="宋体" w:asciiTheme="minorEastAsia" w:hAnsiTheme="minorEastAsia" w:eastAsiaTheme="minorEastAsia"/>
                <w:color w:val="auto"/>
                <w:kern w:val="0"/>
                <w:sz w:val="15"/>
                <w:szCs w:val="15"/>
                <w:highlight w:val="none"/>
              </w:rPr>
              <w:t>2.占地面积在5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的，系数为0；6－10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24" w:type="dxa"/>
            <w:vMerge w:val="restart"/>
            <w:tcBorders>
              <w:top w:val="single" w:color="auto" w:sz="4" w:space="0"/>
              <w:left w:val="single" w:color="auto" w:sz="4" w:space="0"/>
              <w:right w:val="single" w:color="auto"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15"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50（个人再次违反）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未建立生活垃圾分类日常管理制度</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违反条款：第三十六条第一款第（一）项；处罚条款：第六十九条第一款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1.同时存在第三十六条第一款第（一）、（二）、（三）、（四）、（六）项违法行为中2项行为的，系数为1-2；3项及以上行为的，系数为3-5；2．生活垃圾分类</w:t>
            </w:r>
            <w:r>
              <w:rPr>
                <w:rFonts w:asciiTheme="minorEastAsia" w:hAnsiTheme="minorEastAsia" w:eastAsiaTheme="minorEastAsia"/>
                <w:color w:val="auto"/>
                <w:sz w:val="15"/>
                <w:szCs w:val="15"/>
                <w:highlight w:val="none"/>
              </w:rPr>
              <w:t>管理责任人未履行法律规定</w:t>
            </w:r>
            <w:r>
              <w:rPr>
                <w:rFonts w:hint="eastAsia" w:asciiTheme="minorEastAsia" w:hAnsiTheme="minorEastAsia" w:eastAsiaTheme="minorEastAsia"/>
                <w:color w:val="auto"/>
                <w:sz w:val="15"/>
                <w:szCs w:val="15"/>
                <w:highlight w:val="none"/>
              </w:rPr>
              <w:t>责任</w:t>
            </w:r>
            <w:r>
              <w:rPr>
                <w:rFonts w:asciiTheme="minorEastAsia" w:hAnsiTheme="minorEastAsia" w:eastAsiaTheme="minorEastAsia"/>
                <w:color w:val="auto"/>
                <w:sz w:val="15"/>
                <w:szCs w:val="15"/>
                <w:highlight w:val="none"/>
              </w:rPr>
              <w:t>或</w:t>
            </w:r>
            <w:r>
              <w:rPr>
                <w:rFonts w:hint="eastAsia" w:asciiTheme="minorEastAsia" w:hAnsiTheme="minorEastAsia" w:eastAsiaTheme="minorEastAsia"/>
                <w:color w:val="auto"/>
                <w:sz w:val="15"/>
                <w:szCs w:val="15"/>
                <w:highlight w:val="none"/>
              </w:rPr>
              <w:t>因生活垃圾分类收集容器配备不足造成垃圾满冒或随意堆放造成环境秩序较严重影响的，系数为3-5</w:t>
            </w:r>
            <w:r>
              <w:rPr>
                <w:rFonts w:hint="eastAsia" w:asciiTheme="minorEastAsia" w:hAnsiTheme="minorEastAsia" w:eastAsiaTheme="minorEastAsia"/>
                <w:color w:val="auto"/>
                <w:sz w:val="15"/>
                <w:szCs w:val="15"/>
                <w:highlight w:val="none"/>
                <w:lang w:eastAsia="zh-CN"/>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未开展宣传或未指定专人负责指导、监督垃圾分类工作</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违反条款：第三十六条第一款第（二）项；处罚条款：第六十九条第一款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未按规定设置生活垃圾分类收集容器</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违反条款：第三十六条第一款第（三）项；处罚条款：第六十九条第一款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未按规定管护生活垃圾分类收集容器</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违反条款：第三十六条第一款第（三）项；处罚条款：第六十九条第一款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未明确生活垃圾投放的时间、地点</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违反条款：第三十六条第一款第（四）项；处罚条款：第六十九条第一款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分类管理责任人未分类收集、贮存生活垃圾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违反条款：第三十六条第一款第（四）项；处罚条款：第六十九条第一款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4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未及时制止翻拣、混合已分类生活垃圾的行为</w:t>
            </w:r>
          </w:p>
        </w:tc>
        <w:tc>
          <w:tcPr>
            <w:tcW w:w="2789"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违反条款：第三十六条第一款第（六）项；处罚条款：第六十九条第一款 责令立即改正，处三千元以上三万元以下罚款。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将生活垃圾交由未经许可或者备案的企业和个人进行处置</w:t>
            </w:r>
          </w:p>
        </w:tc>
        <w:tc>
          <w:tcPr>
            <w:tcW w:w="2789"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违反条款：第三十六条第一款第（五）项；处罚条款：第六十九条第二款 责令立即改正，处一万元以上十万元以下罚款。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1.违法行为持续时间较长，系数为2-3；2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垃圾产生量较大，系数为3-4；</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.造成环境秩序较严重影响的，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5-9</w:t>
            </w:r>
            <w:r>
              <w:rPr>
                <w:rFonts w:hint="eastAsia" w:asciiTheme="minorEastAsia" w:hAnsiTheme="minorEastAsia" w:eastAsiaTheme="minorEastAsia"/>
                <w:b/>
                <w:bCs/>
                <w:color w:val="auto"/>
                <w:sz w:val="15"/>
                <w:szCs w:val="15"/>
                <w:highlight w:val="none"/>
                <w:lang w:val="en-US" w:eastAsia="zh-CN"/>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餐饮服务单位未按规定收集、交运、处理厨余垃圾的行为，优先适用</w:t>
            </w:r>
            <w:r>
              <w:rPr>
                <w:rFonts w:hint="eastAsia" w:asciiTheme="minorEastAsia" w:hAnsiTheme="minorEastAsia" w:eastAsiaTheme="minorEastAsia"/>
                <w:color w:val="auto"/>
                <w:sz w:val="15"/>
                <w:szCs w:val="15"/>
                <w:highlight w:val="none"/>
              </w:rPr>
              <w:t>第四十八条第二款的规定，依据第七十四条第一款予以处罚。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分类管理责任人未办理生活垃圾排放登记</w:t>
            </w:r>
          </w:p>
        </w:tc>
        <w:tc>
          <w:tcPr>
            <w:tcW w:w="2789"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违反条款：第三十八条第一款；处罚条款：第七十条第一款 责令立即改正，处一千元以上五千元以下罚款。　</w:t>
            </w:r>
          </w:p>
        </w:tc>
        <w:tc>
          <w:tcPr>
            <w:tcW w:w="851" w:type="dxa"/>
            <w:shd w:val="clear" w:color="auto" w:fill="auto"/>
            <w:vAlign w:val="center"/>
          </w:tcPr>
          <w:p>
            <w:pPr>
              <w:spacing w:line="20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pacing w:val="-4"/>
                <w:sz w:val="15"/>
                <w:szCs w:val="15"/>
                <w:highlight w:val="none"/>
              </w:rPr>
              <w:t>造成环境秩序较严重影响的，系数</w:t>
            </w:r>
            <w:r>
              <w:rPr>
                <w:rFonts w:hint="eastAsia" w:asciiTheme="minorEastAsia" w:hAnsiTheme="minorEastAsia" w:eastAsiaTheme="minorEastAsia"/>
                <w:strike w:val="0"/>
                <w:dstrike w:val="0"/>
                <w:color w:val="auto"/>
                <w:spacing w:val="-4"/>
                <w:sz w:val="15"/>
                <w:szCs w:val="15"/>
                <w:highlight w:val="none"/>
                <w:lang w:val="en-US" w:eastAsia="zh-CN"/>
              </w:rPr>
              <w:t>2-4</w:t>
            </w:r>
            <w:r>
              <w:rPr>
                <w:rFonts w:hint="eastAsia" w:asciiTheme="minorEastAsia" w:hAnsiTheme="minorEastAsia" w:eastAsiaTheme="minorEastAsia"/>
                <w:color w:val="auto"/>
                <w:spacing w:val="-4"/>
                <w:sz w:val="15"/>
                <w:szCs w:val="15"/>
                <w:highlight w:val="none"/>
              </w:rPr>
              <w:t>。</w:t>
            </w:r>
          </w:p>
        </w:tc>
        <w:tc>
          <w:tcPr>
            <w:tcW w:w="1785"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分类管理责任人未如实办理生活垃圾排放登记</w:t>
            </w:r>
          </w:p>
        </w:tc>
        <w:tc>
          <w:tcPr>
            <w:tcW w:w="2789"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违反条款：第三十八条第一款；处罚条款：第七十条第一款 责令立即改正，处一千元以上五千元以下罚款。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1.排放登记内容每缺少一项，系数加1；2</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pacing w:val="-4"/>
                <w:sz w:val="15"/>
                <w:szCs w:val="15"/>
                <w:highlight w:val="none"/>
                <w:lang w:eastAsia="zh-CN"/>
              </w:rPr>
              <w:t>登记</w:t>
            </w:r>
            <w:r>
              <w:rPr>
                <w:rFonts w:hint="eastAsia" w:cs="宋体" w:asciiTheme="minorEastAsia" w:hAnsiTheme="minorEastAsia" w:eastAsiaTheme="minorEastAsia"/>
                <w:color w:val="auto"/>
                <w:kern w:val="0"/>
                <w:sz w:val="15"/>
                <w:szCs w:val="15"/>
                <w:highlight w:val="none"/>
              </w:rPr>
              <w:t>存在弄虚作假或其它较严重影响的情形，系数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分类管理责任人未建立生活垃圾管理台账</w:t>
            </w:r>
          </w:p>
        </w:tc>
        <w:tc>
          <w:tcPr>
            <w:tcW w:w="2789"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违反条款：第三十八条第二款；处罚条款：第七十条第二款 责令立即改正，处一千元以上一万元以下罚款。</w:t>
            </w:r>
          </w:p>
        </w:tc>
        <w:tc>
          <w:tcPr>
            <w:tcW w:w="851" w:type="dxa"/>
            <w:shd w:val="clear" w:color="auto" w:fill="auto"/>
            <w:vAlign w:val="center"/>
          </w:tcPr>
          <w:p>
            <w:pPr>
              <w:spacing w:line="20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lang w:val="en-US" w:eastAsia="zh-CN"/>
              </w:rPr>
              <w:t>1</w:t>
            </w:r>
            <w:r>
              <w:rPr>
                <w:rFonts w:hint="eastAsia" w:asciiTheme="minorEastAsia" w:hAnsiTheme="minorEastAsia" w:eastAsiaTheme="minorEastAsia"/>
                <w:strike w:val="0"/>
                <w:dstrike w:val="0"/>
                <w:color w:val="auto"/>
                <w:sz w:val="15"/>
                <w:szCs w:val="15"/>
                <w:highlight w:val="none"/>
              </w:rPr>
              <w:t>.违法行为持续时间较长，垃圾产生量较</w:t>
            </w:r>
            <w:r>
              <w:rPr>
                <w:rFonts w:hint="eastAsia" w:asciiTheme="minorEastAsia" w:hAnsiTheme="minorEastAsia" w:eastAsiaTheme="minorEastAsia"/>
                <w:strike w:val="0"/>
                <w:dstrike w:val="0"/>
                <w:color w:val="auto"/>
                <w:spacing w:val="-4"/>
                <w:sz w:val="15"/>
                <w:szCs w:val="15"/>
                <w:highlight w:val="none"/>
              </w:rPr>
              <w:t>大，系数为2-4；</w:t>
            </w:r>
            <w:r>
              <w:rPr>
                <w:rFonts w:hint="eastAsia" w:asciiTheme="minorEastAsia" w:hAnsiTheme="minorEastAsia" w:eastAsiaTheme="minorEastAsia"/>
                <w:strike w:val="0"/>
                <w:dstrike w:val="0"/>
                <w:color w:val="auto"/>
                <w:spacing w:val="-4"/>
                <w:sz w:val="15"/>
                <w:szCs w:val="15"/>
                <w:highlight w:val="none"/>
                <w:lang w:val="en-US" w:eastAsia="zh-CN"/>
              </w:rPr>
              <w:t>2</w:t>
            </w:r>
            <w:r>
              <w:rPr>
                <w:rFonts w:hint="eastAsia" w:asciiTheme="minorEastAsia" w:hAnsiTheme="minorEastAsia" w:eastAsiaTheme="minorEastAsia"/>
                <w:strike w:val="0"/>
                <w:dstrike w:val="0"/>
                <w:color w:val="auto"/>
                <w:spacing w:val="-4"/>
                <w:sz w:val="15"/>
                <w:szCs w:val="15"/>
                <w:highlight w:val="none"/>
              </w:rPr>
              <w:t>.造成环境秩序较严重影响的，系数5-9。</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jc w:val="left"/>
              <w:rPr>
                <w:rFonts w:hint="default" w:cs="宋体" w:asciiTheme="minorEastAsia" w:hAnsiTheme="minorEastAsia" w:eastAsiaTheme="minorEastAsia"/>
                <w:color w:val="auto"/>
                <w:kern w:val="0"/>
                <w:sz w:val="15"/>
                <w:szCs w:val="15"/>
                <w:highlight w:val="none"/>
                <w:lang w:val="en-US" w:eastAsia="zh-CN"/>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2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分类管理责任人未如实记录生活垃圾排放情况</w:t>
            </w:r>
          </w:p>
        </w:tc>
        <w:tc>
          <w:tcPr>
            <w:tcW w:w="2789"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违反条款：第三十八条第二款；处罚条款：第七十条第二款 责令立即改正，处一千元以上一万元以下罚款。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0" w:lineRule="exact"/>
              <w:rPr>
                <w:rFonts w:hint="default" w:asciiTheme="minorEastAsia" w:hAnsiTheme="minorEastAsia" w:eastAsiaTheme="minorEastAsia"/>
                <w:color w:val="auto"/>
                <w:sz w:val="15"/>
                <w:szCs w:val="15"/>
                <w:highlight w:val="none"/>
                <w:lang w:val="en-US"/>
              </w:rPr>
            </w:pPr>
            <w:r>
              <w:rPr>
                <w:rFonts w:hint="eastAsia" w:asciiTheme="minorEastAsia" w:hAnsiTheme="minorEastAsia" w:eastAsiaTheme="minorEastAsia"/>
                <w:color w:val="auto"/>
                <w:sz w:val="15"/>
                <w:szCs w:val="15"/>
                <w:highlight w:val="none"/>
              </w:rPr>
              <w:t>1.台账未记录实际产生的生活垃圾的种类、数量、运输者、去向等情况，系数为记录内容</w:t>
            </w:r>
            <w:r>
              <w:rPr>
                <w:rFonts w:asciiTheme="minorEastAsia" w:hAnsiTheme="minorEastAsia" w:eastAsiaTheme="minorEastAsia"/>
                <w:color w:val="auto"/>
                <w:sz w:val="15"/>
                <w:szCs w:val="15"/>
                <w:highlight w:val="none"/>
              </w:rPr>
              <w:t>每</w:t>
            </w:r>
            <w:r>
              <w:rPr>
                <w:rFonts w:hint="eastAsia" w:asciiTheme="minorEastAsia" w:hAnsiTheme="minorEastAsia" w:eastAsiaTheme="minorEastAsia"/>
                <w:color w:val="auto"/>
                <w:sz w:val="15"/>
                <w:szCs w:val="15"/>
                <w:highlight w:val="none"/>
              </w:rPr>
              <w:t>缺少1项</w:t>
            </w:r>
            <w:r>
              <w:rPr>
                <w:rFonts w:asciiTheme="minorEastAsia" w:hAnsiTheme="minorEastAsia" w:eastAsiaTheme="minorEastAsia"/>
                <w:color w:val="auto"/>
                <w:sz w:val="15"/>
                <w:szCs w:val="15"/>
                <w:highlight w:val="none"/>
              </w:rPr>
              <w:t>系数加</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strike w:val="0"/>
                <w:dstrike w:val="0"/>
                <w:color w:val="auto"/>
                <w:sz w:val="15"/>
                <w:szCs w:val="15"/>
                <w:highlight w:val="none"/>
              </w:rPr>
              <w:t>2.</w:t>
            </w:r>
            <w:r>
              <w:rPr>
                <w:rFonts w:hint="eastAsia" w:asciiTheme="minorEastAsia" w:hAnsiTheme="minorEastAsia" w:eastAsiaTheme="minorEastAsia"/>
                <w:color w:val="auto"/>
                <w:spacing w:val="-4"/>
                <w:sz w:val="15"/>
                <w:szCs w:val="15"/>
                <w:highlight w:val="none"/>
                <w:lang w:eastAsia="zh-CN"/>
              </w:rPr>
              <w:t>记录</w:t>
            </w:r>
            <w:r>
              <w:rPr>
                <w:rFonts w:hint="eastAsia" w:cs="宋体" w:asciiTheme="minorEastAsia" w:hAnsiTheme="minorEastAsia" w:eastAsiaTheme="minorEastAsia"/>
                <w:color w:val="auto"/>
                <w:kern w:val="0"/>
                <w:sz w:val="15"/>
                <w:szCs w:val="15"/>
                <w:highlight w:val="none"/>
              </w:rPr>
              <w:t>存在弄虚作假或其它较严重影响的情形，系数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7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收集、运输单位未按时、分类收集、运输生活垃圾</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r>
              <w:rPr>
                <w:rFonts w:hint="eastAsia" w:asciiTheme="minorEastAsia" w:hAnsiTheme="minorEastAsia" w:eastAsiaTheme="minorEastAsia"/>
                <w:color w:val="auto"/>
                <w:sz w:val="15"/>
                <w:szCs w:val="15"/>
                <w:highlight w:val="none"/>
              </w:rPr>
              <w:t>1.未按时、分类收运生活垃圾的，系数为0-1；2.违法行为持续时间较长；收集、运输垃圾量较大，系数为1-2；3.造成环境秩序较严重影响的</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系数为1-2。</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1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生活垃圾收集工具、运输车辆、人员不符合要求</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1.工具、车辆、人员其中两类不符合要求的，系数1；2.工具、车辆、人员都不符合要求的，系数2。</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1.造成泄漏遗撒的，按照专项案由从重处罚。</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6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收集、运输单位未按要求将生活垃圾运输至集中收集设施或者转运、处理设施</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1.违法行为持续时间较长，系数为2-3；2.垃圾运输量较大，系数为3-5；</w:t>
            </w:r>
            <w:r>
              <w:rPr>
                <w:rFonts w:asciiTheme="minorEastAsia" w:hAnsiTheme="minorEastAsia" w:eastAsiaTheme="minorEastAsia"/>
                <w:color w:val="auto"/>
                <w:sz w:val="15"/>
                <w:szCs w:val="15"/>
                <w:highlight w:val="none"/>
              </w:rPr>
              <w:t>3.</w:t>
            </w:r>
            <w:r>
              <w:rPr>
                <w:rFonts w:hint="eastAsia" w:asciiTheme="minorEastAsia" w:hAnsiTheme="minorEastAsia" w:eastAsiaTheme="minorEastAsia"/>
                <w:color w:val="auto"/>
                <w:sz w:val="15"/>
                <w:szCs w:val="15"/>
                <w:highlight w:val="none"/>
              </w:rPr>
              <w:t>造成环境秩序较严重影响的，系数6-9。</w:t>
            </w:r>
          </w:p>
        </w:tc>
        <w:tc>
          <w:tcPr>
            <w:tcW w:w="1785"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vMerge w:val="restart"/>
            <w:shd w:val="clear" w:color="auto" w:fill="auto"/>
            <w:vAlign w:val="center"/>
          </w:tcPr>
          <w:p>
            <w:pPr>
              <w:numPr>
                <w:ilvl w:val="0"/>
                <w:numId w:val="1"/>
              </w:num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8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收集、运输单位将生活垃圾混装混运</w:t>
            </w: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1.将厨余垃圾混装混运，系数为1；</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2.将有害垃圾混装混运，系数为2；</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3.混装混运生活垃圾总量较大、违法行为持续时间较长，系数3-5；</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4.对环境秩序造成较严重影响的，系数6-9。</w:t>
            </w:r>
          </w:p>
        </w:tc>
        <w:tc>
          <w:tcPr>
            <w:tcW w:w="17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8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收集、运输单位随意倾倒、丢弃、遗撒、堆放生活垃圾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hint="eastAsia" w:cs="Batang"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w:t>
            </w:r>
          </w:p>
          <w:p>
            <w:pPr>
              <w:widowControl w:val="0"/>
              <w:numPr>
                <w:ilvl w:val="0"/>
                <w:numId w:val="0"/>
              </w:numPr>
              <w:jc w:val="both"/>
              <w:rPr>
                <w:rFonts w:hint="eastAsia" w:cs="Batang"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2.垃圾占地面积在5㎡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color w:val="auto"/>
                <w:kern w:val="0"/>
                <w:sz w:val="15"/>
                <w:szCs w:val="15"/>
                <w:highlight w:val="none"/>
              </w:rPr>
              <w:t>0；6－10㎡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p>
          <w:p>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随意倾倒、丢弃、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耕地、公厕、河道、铁路、轨道交通、桥下空间等公共场所及周边</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w:t>
            </w:r>
            <w:r>
              <w:rPr>
                <w:rFonts w:hint="eastAsia" w:cs="宋体" w:asciiTheme="minorEastAsia" w:hAnsiTheme="minorEastAsia" w:eastAsiaTheme="minorEastAsia"/>
                <w:color w:val="auto"/>
                <w:kern w:val="0"/>
                <w:sz w:val="15"/>
                <w:szCs w:val="15"/>
                <w:highlight w:val="none"/>
                <w:lang w:eastAsia="zh-CN"/>
              </w:rPr>
              <w:t>、石油长输管道、供水、排水、电力、通信</w:t>
            </w:r>
            <w:r>
              <w:rPr>
                <w:rFonts w:hint="eastAsia" w:cs="宋体" w:asciiTheme="minorEastAsia" w:hAnsiTheme="minorEastAsia" w:eastAsiaTheme="minorEastAsia"/>
                <w:color w:val="auto"/>
                <w:kern w:val="0"/>
                <w:sz w:val="15"/>
                <w:szCs w:val="15"/>
                <w:highlight w:val="none"/>
              </w:rPr>
              <w:t>等公用管道和设施保护（管理）范围的，系数为3；</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hint="eastAsia"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p>
            <w:pPr>
              <w:pStyle w:val="8"/>
              <w:rPr>
                <w:color w:val="auto"/>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1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收集、运输单位未落实生活垃圾管理台</w:t>
            </w:r>
            <w:r>
              <w:rPr>
                <w:rFonts w:hint="eastAsia" w:asciiTheme="minorEastAsia" w:hAnsiTheme="minorEastAsia" w:eastAsiaTheme="minorEastAsia"/>
                <w:color w:val="auto"/>
                <w:sz w:val="15"/>
                <w:szCs w:val="15"/>
                <w:highlight w:val="none"/>
                <w:shd w:val="clear" w:fill="FF0000"/>
                <w:lang w:eastAsia="zh-CN"/>
              </w:rPr>
              <w:t>账</w:t>
            </w:r>
            <w:r>
              <w:rPr>
                <w:rFonts w:hint="eastAsia" w:asciiTheme="minorEastAsia" w:hAnsiTheme="minorEastAsia" w:eastAsiaTheme="minorEastAsia"/>
                <w:color w:val="auto"/>
                <w:sz w:val="15"/>
                <w:szCs w:val="15"/>
                <w:highlight w:val="none"/>
              </w:rPr>
              <w:t>制度</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违反条款：第四十五条第一款第（三）项；处罚条款：第七十一条第三款 责令限期改正，处一千元以上一万元以下罚款；情节严重的，由城市管理综合执法部门吊销生活垃圾收集、运输经营许可证。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1.已建立</w:t>
            </w:r>
            <w:r>
              <w:rPr>
                <w:rFonts w:hint="eastAsia" w:cs="宋体" w:asciiTheme="minorEastAsia" w:hAnsiTheme="minorEastAsia" w:eastAsiaTheme="minorEastAsia"/>
                <w:color w:val="auto"/>
                <w:kern w:val="0"/>
                <w:sz w:val="15"/>
                <w:szCs w:val="15"/>
                <w:highlight w:val="none"/>
                <w:lang w:eastAsia="zh-CN"/>
              </w:rPr>
              <w:t>台账</w:t>
            </w:r>
            <w:r>
              <w:rPr>
                <w:rFonts w:hint="eastAsia" w:cs="宋体" w:asciiTheme="minorEastAsia" w:hAnsiTheme="minorEastAsia" w:eastAsiaTheme="minorEastAsia"/>
                <w:color w:val="auto"/>
                <w:kern w:val="0"/>
                <w:sz w:val="15"/>
                <w:szCs w:val="15"/>
                <w:highlight w:val="none"/>
              </w:rPr>
              <w:t>而记录内容不完整的，系数为0-</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；2.未建立</w:t>
            </w:r>
            <w:r>
              <w:rPr>
                <w:rFonts w:hint="eastAsia" w:cs="宋体" w:asciiTheme="minorEastAsia" w:hAnsiTheme="minorEastAsia" w:eastAsiaTheme="minorEastAsia"/>
                <w:color w:val="auto"/>
                <w:kern w:val="0"/>
                <w:sz w:val="15"/>
                <w:szCs w:val="15"/>
                <w:highlight w:val="none"/>
                <w:lang w:eastAsia="zh-CN"/>
              </w:rPr>
              <w:t>台账</w:t>
            </w:r>
            <w:r>
              <w:rPr>
                <w:rFonts w:hint="eastAsia" w:cs="宋体" w:asciiTheme="minorEastAsia" w:hAnsiTheme="minorEastAsia" w:eastAsiaTheme="minorEastAsia"/>
                <w:color w:val="auto"/>
                <w:kern w:val="0"/>
                <w:sz w:val="15"/>
                <w:szCs w:val="15"/>
                <w:highlight w:val="none"/>
              </w:rPr>
              <w:t>的</w:t>
            </w:r>
            <w:r>
              <w:rPr>
                <w:rFonts w:hint="eastAsia" w:cs="仿宋_GB2312" w:asciiTheme="minorEastAsia" w:hAnsiTheme="minorEastAsia" w:eastAsiaTheme="minorEastAsia"/>
                <w:color w:val="auto"/>
                <w:kern w:val="0"/>
                <w:sz w:val="15"/>
                <w:szCs w:val="15"/>
                <w:highlight w:val="none"/>
              </w:rPr>
              <w:t>，系数为3-</w:t>
            </w:r>
            <w:r>
              <w:rPr>
                <w:rFonts w:cs="仿宋_GB2312"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；3.台账记录存在弄虚作假或其它较严重影响的情形，系数7-9。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0"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24</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未按规定交运、处理建筑垃圾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违反条款：第四十七条第一款；处罚条款：第七十三条 责令限期改正，处一万元以上十万元以下罚款。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违法行为持续时间较长、建筑垃圾产生量较大、造成环境秩序较严重影响的，系数4-9。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b w:val="0"/>
                <w:bCs w:val="0"/>
                <w:color w:val="auto"/>
                <w:kern w:val="0"/>
                <w:sz w:val="15"/>
                <w:szCs w:val="15"/>
                <w:highlight w:val="none"/>
                <w:lang w:eastAsia="zh-CN"/>
              </w:rPr>
              <w:t>本案由适用于建设工程的建设单位、拆除工程的承担单位；涉及施工单位</w:t>
            </w:r>
            <w:r>
              <w:rPr>
                <w:rFonts w:hint="eastAsia" w:asciiTheme="minorEastAsia" w:hAnsiTheme="minorEastAsia" w:eastAsiaTheme="minorEastAsia"/>
                <w:color w:val="auto"/>
                <w:sz w:val="15"/>
                <w:szCs w:val="15"/>
                <w:highlight w:val="none"/>
              </w:rPr>
              <w:t>未按规定交运、处理建筑垃圾</w:t>
            </w:r>
            <w:r>
              <w:rPr>
                <w:rFonts w:hint="eastAsia" w:cs="宋体" w:asciiTheme="minorEastAsia" w:hAnsiTheme="minorEastAsia" w:eastAsiaTheme="minorEastAsia"/>
                <w:b w:val="0"/>
                <w:bCs w:val="0"/>
                <w:color w:val="auto"/>
                <w:kern w:val="0"/>
                <w:sz w:val="15"/>
                <w:szCs w:val="15"/>
                <w:highlight w:val="none"/>
                <w:lang w:eastAsia="zh-CN"/>
              </w:rPr>
              <w:t>的，可适用《北京市建筑垃圾处置管理规定》中“施工单位未按照规定对施工过程中产生的建筑垃圾进行资源化利用或者处置”等案由。</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91"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餐饮服务单位未按规定收集、处理厨余垃圾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违反条款：第四十八条第二款；处罚条款：第七十四条第一款 处十万元以上一百万元以下罚款，没收违法所得。</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特大型、大型餐饮经营者，变量系数为1；（以餐饮服务许可标注的类别为准。）2.将厨余垃圾随意倾倒、丢弃、堆放</w:t>
            </w:r>
            <w:r>
              <w:rPr>
                <w:rFonts w:hint="eastAsia" w:cs="宋体" w:asciiTheme="minorEastAsia" w:hAnsiTheme="minorEastAsia" w:eastAsiaTheme="minorEastAsia"/>
                <w:strike w:val="0"/>
                <w:dstrike w:val="0"/>
                <w:color w:val="auto"/>
                <w:kern w:val="0"/>
                <w:sz w:val="15"/>
                <w:szCs w:val="15"/>
                <w:highlight w:val="none"/>
              </w:rPr>
              <w:t>至</w:t>
            </w:r>
            <w:r>
              <w:rPr>
                <w:rFonts w:hint="eastAsia" w:cs="宋体" w:asciiTheme="minorEastAsia" w:hAnsiTheme="minorEastAsia" w:eastAsiaTheme="minorEastAsia"/>
                <w:color w:val="auto"/>
                <w:kern w:val="0"/>
                <w:sz w:val="15"/>
                <w:szCs w:val="15"/>
                <w:highlight w:val="none"/>
              </w:rPr>
              <w:t>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厨余垃圾总量较大、持续时间较长、对环境秩序造成较严重影响的，系数3-9；</w:t>
            </w:r>
            <w:r>
              <w:rPr>
                <w:rFonts w:hint="eastAsia" w:cs="宋体" w:asciiTheme="minorEastAsia" w:hAnsiTheme="minorEastAsia" w:eastAsiaTheme="minorEastAsia"/>
                <w:color w:val="auto"/>
                <w:kern w:val="0"/>
                <w:sz w:val="15"/>
                <w:szCs w:val="15"/>
                <w:highlight w:val="none"/>
              </w:rPr>
              <w:t>4.知道或者应当知道无资质收运单位和个人收集厨余垃圾用于生产“地沟油”而继续交运的，系数9。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26</w:t>
            </w:r>
          </w:p>
        </w:tc>
        <w:tc>
          <w:tcPr>
            <w:tcW w:w="1500" w:type="dxa"/>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无资质单位和个人擅自收集、运输厨余垃圾</w:t>
            </w:r>
          </w:p>
        </w:tc>
        <w:tc>
          <w:tcPr>
            <w:tcW w:w="2789" w:type="dxa"/>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违反条款：第四十八条第三款；处罚条款：第七十四条第三款 暂扣其车辆，没收违法收运的厨余垃圾及其容器，处一万元以上十万元以下罚款。</w:t>
            </w:r>
          </w:p>
        </w:tc>
        <w:tc>
          <w:tcPr>
            <w:tcW w:w="851" w:type="dxa"/>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收集、运输厨余垃圾总量较大、持续时间较长，系数2-5；2.对环境秩序造成较严重影响的，系数6-9；3.未经无害化处理用于饲养畜禽的，系数6-9；4.将收集、运输的废弃油脂用于生产“地沟油”的，系数6-9。</w:t>
            </w:r>
          </w:p>
        </w:tc>
        <w:tc>
          <w:tcPr>
            <w:tcW w:w="1785" w:type="dxa"/>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93" w:lineRule="exact"/>
              <w:rPr>
                <w:rFonts w:cs="宋体" w:asciiTheme="minorEastAsia" w:hAnsiTheme="minorEastAsia" w:eastAsiaTheme="minorEastAsia"/>
                <w:color w:val="auto"/>
                <w:kern w:val="0"/>
                <w:sz w:val="14"/>
                <w:szCs w:val="14"/>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27</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集中转运、处理设施的运行管理单位未按规定和标准处理生活垃圾</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违反条款：第五十二条第一款第（一）项；处罚条款：第七十五条第一款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处理生活垃圾总量较大、持续时间较长、对环境秩序造成较严重影响的，系数2-3。</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；存在违法行为，经调查发现已不符合行政许可条件，经责令改正仍未达到许可条件要求的；因违法行为导致严重后果或造成重大社会影响的；其它可以认定为“情节严重”情形的；</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4"/>
                <w:szCs w:val="14"/>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28</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未按要求对生活垃圾等处理过程中常规参数进行检测</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违反条款：第五十二条第一款第（三）项；处罚条款：第七十五条第二款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1.未建立检测档案，系数为0-2； </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2.未设置化验室或者委托专业化验机构，对生活垃圾、渗沥液等处理过程中常规参数进行检测，系数为3-6；</w:t>
            </w:r>
            <w:r>
              <w:rPr>
                <w:rFonts w:hint="eastAsia" w:cs="宋体" w:asciiTheme="minorEastAsia" w:hAnsiTheme="minorEastAsia" w:eastAsiaTheme="minorEastAsia"/>
                <w:color w:val="auto"/>
                <w:kern w:val="0"/>
                <w:sz w:val="15"/>
                <w:szCs w:val="15"/>
                <w:highlight w:val="none"/>
              </w:rPr>
              <w:t>3.对环境秩序造成较严重影响的，系数7-9。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16"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29</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未按要求对生活垃圾处理设施相关指标进行检测</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1.未对生活垃圾处理设施相关指标进行检测，系数为0-2； 2.未按照要求建设在线监管系统，系数为3-6；</w:t>
            </w:r>
            <w:r>
              <w:rPr>
                <w:rFonts w:hint="eastAsia" w:cs="宋体" w:asciiTheme="minorEastAsia" w:hAnsiTheme="minorEastAsia" w:eastAsiaTheme="minorEastAsia"/>
                <w:color w:val="auto"/>
                <w:kern w:val="0"/>
                <w:sz w:val="15"/>
                <w:szCs w:val="15"/>
                <w:highlight w:val="none"/>
              </w:rPr>
              <w:t>3.对环境秩序造成较严重影响的，系数7-9。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66" w:hRule="atLeast"/>
          <w:jc w:val="center"/>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30</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未按要求传送生活垃圾处理设施相关检测指标</w:t>
            </w:r>
          </w:p>
        </w:tc>
        <w:tc>
          <w:tcPr>
            <w:tcW w:w="27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cs="宋体" w:asciiTheme="minorEastAsia" w:hAnsiTheme="minorEastAsia" w:eastAsiaTheme="minorEastAsia"/>
                <w:color w:val="auto"/>
                <w:kern w:val="0"/>
                <w:sz w:val="15"/>
                <w:szCs w:val="15"/>
                <w:highlight w:val="none"/>
              </w:rPr>
            </w:pP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pacing w:val="-4"/>
                <w:sz w:val="15"/>
                <w:szCs w:val="15"/>
                <w:highlight w:val="none"/>
              </w:rPr>
              <w:t>1.未将检测数据传送至生活垃圾管理信息系统，系数为0-2；</w:t>
            </w:r>
            <w:r>
              <w:rPr>
                <w:rFonts w:hint="eastAsia" w:cs="宋体" w:asciiTheme="minorEastAsia" w:hAnsiTheme="minorEastAsia" w:eastAsiaTheme="minorEastAsia"/>
                <w:color w:val="auto"/>
                <w:kern w:val="0"/>
                <w:sz w:val="15"/>
                <w:szCs w:val="15"/>
                <w:highlight w:val="none"/>
              </w:rPr>
              <w:t>2.长期未按要求传送，未如实传送数据的，系数3-6；</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.对环境秩序造成较严重影响的，系数7-9。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70" w:hRule="atLeast"/>
          <w:jc w:val="center"/>
        </w:trPr>
        <w:tc>
          <w:tcPr>
            <w:tcW w:w="940" w:type="dxa"/>
            <w:tcBorders>
              <w:top w:val="single" w:color="auto" w:sz="4" w:space="0"/>
              <w:left w:val="single" w:color="auto" w:sz="4" w:space="0"/>
              <w:right w:val="single" w:color="auto" w:sz="4" w:space="0"/>
            </w:tcBorders>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31</w:t>
            </w:r>
          </w:p>
        </w:tc>
        <w:tc>
          <w:tcPr>
            <w:tcW w:w="1500" w:type="dxa"/>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未按要求公开设施污染控制监测指标和处理设施运行数据</w:t>
            </w:r>
          </w:p>
        </w:tc>
        <w:tc>
          <w:tcPr>
            <w:tcW w:w="2789" w:type="dxa"/>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违反条款：第五十二条第一款第（六）项；处罚条款：第七十五条第二款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1.未按要求公开数据的，系数0-2；2.长期未公开数据，系数3-6；</w:t>
            </w: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3.造成较严重后果的，系数7-9。</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10"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7" w:hRule="atLeast"/>
          <w:jc w:val="center"/>
        </w:trPr>
        <w:tc>
          <w:tcPr>
            <w:tcW w:w="940" w:type="dxa"/>
            <w:vMerge w:val="restart"/>
            <w:tcBorders>
              <w:top w:val="single" w:color="auto" w:sz="4" w:space="0"/>
              <w:left w:val="single" w:color="auto" w:sz="4" w:space="0"/>
              <w:right w:val="single" w:color="auto" w:sz="4" w:space="0"/>
            </w:tcBorders>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32</w:t>
            </w:r>
          </w:p>
        </w:tc>
        <w:tc>
          <w:tcPr>
            <w:tcW w:w="1500" w:type="dxa"/>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生活垃圾集中转运、处理设施的运行管理单位</w:t>
            </w:r>
            <w:r>
              <w:rPr>
                <w:rFonts w:hint="eastAsia" w:asciiTheme="minorEastAsia" w:hAnsiTheme="minorEastAsia" w:eastAsiaTheme="minorEastAsia"/>
                <w:color w:val="auto"/>
                <w:sz w:val="15"/>
                <w:szCs w:val="15"/>
                <w:highlight w:val="none"/>
              </w:rPr>
              <w:t>未按要求</w:t>
            </w:r>
            <w:r>
              <w:rPr>
                <w:rFonts w:cs="宋体" w:asciiTheme="minorEastAsia" w:hAnsiTheme="minorEastAsia" w:eastAsiaTheme="minorEastAsia"/>
                <w:color w:val="auto"/>
                <w:kern w:val="0"/>
                <w:sz w:val="15"/>
                <w:szCs w:val="15"/>
                <w:highlight w:val="none"/>
              </w:rPr>
              <w:t>配套建设相应的参观、宣传设施</w:t>
            </w:r>
            <w:r>
              <w:rPr>
                <w:rFonts w:hint="eastAsia" w:cs="宋体" w:asciiTheme="minorEastAsia" w:hAnsiTheme="minorEastAsia" w:eastAsiaTheme="minorEastAsia"/>
                <w:color w:val="auto"/>
                <w:kern w:val="0"/>
                <w:sz w:val="15"/>
                <w:szCs w:val="15"/>
                <w:highlight w:val="none"/>
              </w:rPr>
              <w:t>或者未</w:t>
            </w:r>
            <w:r>
              <w:rPr>
                <w:rFonts w:cs="宋体" w:asciiTheme="minorEastAsia" w:hAnsiTheme="minorEastAsia" w:eastAsiaTheme="minorEastAsia"/>
                <w:color w:val="auto"/>
                <w:kern w:val="0"/>
                <w:sz w:val="15"/>
                <w:szCs w:val="15"/>
                <w:highlight w:val="none"/>
              </w:rPr>
              <w:t>在规定的公众开放日接待社会公众</w:t>
            </w:r>
          </w:p>
        </w:tc>
        <w:tc>
          <w:tcPr>
            <w:tcW w:w="2789" w:type="dxa"/>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违反条款：第五十二条第一款第（七）项；处罚条款：第七十五条第四款 责令立即改正，处二千元罚款；拒不改正的，处五千元以上三万元以下罚款。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824" w:type="dxa"/>
            <w:vMerge w:val="restart"/>
            <w:tcBorders>
              <w:top w:val="single" w:color="auto" w:sz="4" w:space="0"/>
              <w:left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1"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5000（拒不改正的）</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824"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9" w:hRule="atLeast"/>
          <w:jc w:val="center"/>
        </w:trPr>
        <w:tc>
          <w:tcPr>
            <w:tcW w:w="940" w:type="dxa"/>
            <w:vMerge w:val="restart"/>
            <w:tcBorders>
              <w:top w:val="single" w:color="auto" w:sz="4" w:space="0"/>
              <w:left w:val="single" w:color="auto" w:sz="4" w:space="0"/>
              <w:right w:val="single" w:color="auto" w:sz="4" w:space="0"/>
            </w:tcBorders>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33</w:t>
            </w:r>
          </w:p>
        </w:tc>
        <w:tc>
          <w:tcPr>
            <w:tcW w:w="1500" w:type="dxa"/>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再生资源回收经营者未分类贮存物品</w:t>
            </w:r>
          </w:p>
        </w:tc>
        <w:tc>
          <w:tcPr>
            <w:tcW w:w="2789" w:type="dxa"/>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违反条款：第三十二条；处罚条款：第六十七条由区城市管理综合执法部门责令限期改正，处一千元以上五千元以下罚款；再次违反规定的，处五千元以上一万元以下罚款。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numPr>
                <w:ilvl w:val="0"/>
                <w:numId w:val="0"/>
              </w:numPr>
              <w:jc w:val="both"/>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rPr>
              <w:t>占地面积10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以下系数</w:t>
            </w:r>
            <w:r>
              <w:rPr>
                <w:rFonts w:hint="eastAsia" w:cs="宋体" w:asciiTheme="minorEastAsia" w:hAnsiTheme="minorEastAsia" w:eastAsiaTheme="minorEastAsia"/>
                <w:color w:val="auto"/>
                <w:kern w:val="0"/>
                <w:sz w:val="15"/>
                <w:szCs w:val="15"/>
                <w:highlight w:val="none"/>
              </w:rPr>
              <w:t>0，11－15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1，16－20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26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罚款数额＝1000×（1＋区域系数+变量系数）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5" w:hRule="atLeast"/>
          <w:jc w:val="center"/>
        </w:trPr>
        <w:tc>
          <w:tcPr>
            <w:tcW w:w="94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2789" w:type="dxa"/>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rPr>
              <w:t>000×（1＋区域系数）</w:t>
            </w:r>
          </w:p>
        </w:tc>
        <w:tc>
          <w:tcPr>
            <w:tcW w:w="238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曾因此违法行为受过到行政处罚，再次违反的适用此情形。</w:t>
            </w:r>
          </w:p>
        </w:tc>
        <w:tc>
          <w:tcPr>
            <w:tcW w:w="82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3"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10" w:name="_Toc726075658"/>
            <w:bookmarkStart w:id="11" w:name="_Toc110851438"/>
            <w:bookmarkStart w:id="12" w:name="_Toc1631089704"/>
            <w:r>
              <w:rPr>
                <w:rFonts w:hint="eastAsia" w:asciiTheme="minorEastAsia" w:hAnsiTheme="minorEastAsia" w:eastAsiaTheme="minorEastAsia"/>
                <w:color w:val="auto"/>
                <w:sz w:val="20"/>
                <w:szCs w:val="20"/>
                <w:highlight w:val="none"/>
              </w:rPr>
              <w:t>《城市生活垃圾管理办法》案由</w:t>
            </w:r>
            <w:r>
              <w:rPr>
                <w:rFonts w:hint="eastAsia" w:asciiTheme="minorEastAsia" w:hAnsiTheme="minorEastAsia" w:eastAsiaTheme="minorEastAsia"/>
                <w:color w:val="auto"/>
                <w:sz w:val="20"/>
                <w:szCs w:val="20"/>
                <w:highlight w:val="none"/>
                <w:lang w:val="en-US" w:eastAsia="zh-CN"/>
              </w:rPr>
              <w:t>10</w:t>
            </w:r>
            <w:r>
              <w:rPr>
                <w:rFonts w:hint="eastAsia" w:asciiTheme="minorEastAsia" w:hAnsiTheme="minorEastAsia" w:eastAsiaTheme="minorEastAsia"/>
                <w:color w:val="auto"/>
                <w:sz w:val="20"/>
                <w:szCs w:val="20"/>
                <w:highlight w:val="none"/>
              </w:rPr>
              <w:t>项</w:t>
            </w:r>
            <w:bookmarkEnd w:id="10"/>
            <w:bookmarkEnd w:id="11"/>
            <w:bookmarkEnd w:id="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未按规定缴纳城市生活垃圾处理费</w:t>
            </w:r>
          </w:p>
        </w:tc>
        <w:tc>
          <w:tcPr>
            <w:tcW w:w="2789"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条第一款；处罚条款：第三十八条，责令限期改正，逾期不改正的，对单位可处以应交城市生活垃圾处理费三倍以下且不超过3万元的罚款，对个人可处以应交城市生活垃圾处理费三倍以下且不超过1000元的罚款。 </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c>
          <w:tcPr>
            <w:tcW w:w="824"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0"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未按规定配套建设城市生活垃圾收集设施</w:t>
            </w:r>
          </w:p>
        </w:tc>
        <w:tc>
          <w:tcPr>
            <w:tcW w:w="2789" w:type="dxa"/>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违反条款：第十条；处罚条款：第三十九条，责令限期改正，并可处以1万元以下的罚款。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numPr>
                <w:ilvl w:val="0"/>
                <w:numId w:val="0"/>
              </w:numPr>
              <w:spacing w:line="200" w:lineRule="exact"/>
              <w:rPr>
                <w:rFonts w:hint="eastAsia"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1.发生在</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造成较大社会影响或者严重后果的其它情形，系数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拟作出1000元以下罚款，说明理由并报案审会决定。</w:t>
            </w:r>
          </w:p>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00" w:lineRule="exact"/>
              <w:rPr>
                <w:rFonts w:hint="eastAsia" w:asciiTheme="minorEastAsia" w:hAnsiTheme="minorEastAsia" w:eastAsiaTheme="minorEastAsia"/>
                <w:color w:val="auto"/>
                <w:sz w:val="15"/>
                <w:szCs w:val="15"/>
                <w:highlight w:val="none"/>
              </w:rPr>
            </w:pPr>
          </w:p>
        </w:tc>
        <w:tc>
          <w:tcPr>
            <w:tcW w:w="824"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0"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8" w:hRule="atLeast"/>
          <w:jc w:val="center"/>
        </w:trPr>
        <w:tc>
          <w:tcPr>
            <w:tcW w:w="940" w:type="dxa"/>
            <w:vMerge w:val="restart"/>
            <w:shd w:val="clear" w:color="auto" w:fill="auto"/>
            <w:vAlign w:val="center"/>
          </w:tcPr>
          <w:p>
            <w:pPr>
              <w:spacing w:line="232" w:lineRule="exact"/>
              <w:jc w:val="center"/>
              <w:rPr>
                <w:rFonts w:hint="eastAsia" w:cs="宋体" w:asciiTheme="minorEastAsia" w:hAnsiTheme="minorEastAsia" w:eastAsiaTheme="minorEastAsia"/>
                <w:b w:val="0"/>
                <w:bCs w:val="0"/>
                <w:color w:val="auto"/>
                <w:kern w:val="0"/>
                <w:sz w:val="15"/>
                <w:szCs w:val="15"/>
                <w:highlight w:val="none"/>
                <w:lang w:eastAsia="zh-CN"/>
              </w:rPr>
            </w:pPr>
            <w:r>
              <w:rPr>
                <w:rFonts w:hint="eastAsia" w:cs="宋体" w:asciiTheme="minorEastAsia" w:hAnsiTheme="minorEastAsia" w:eastAsiaTheme="minorEastAsia"/>
                <w:b w:val="0"/>
                <w:bCs w:val="0"/>
                <w:color w:val="auto"/>
                <w:kern w:val="0"/>
                <w:sz w:val="15"/>
                <w:szCs w:val="15"/>
                <w:highlight w:val="none"/>
                <w:lang w:val="en-US" w:eastAsia="zh-CN"/>
              </w:rPr>
              <w:t>3</w:t>
            </w:r>
          </w:p>
        </w:tc>
        <w:tc>
          <w:tcPr>
            <w:tcW w:w="1500" w:type="dxa"/>
            <w:vMerge w:val="restart"/>
            <w:shd w:val="clear" w:color="auto" w:fill="auto"/>
            <w:vAlign w:val="center"/>
          </w:tcPr>
          <w:p>
            <w:pPr>
              <w:spacing w:line="200" w:lineRule="exact"/>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随意倾倒、抛洒、堆放城市生活垃圾</w:t>
            </w:r>
          </w:p>
        </w:tc>
        <w:tc>
          <w:tcPr>
            <w:tcW w:w="2789" w:type="dxa"/>
            <w:vMerge w:val="restart"/>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违反条款：第十六条第四款；处罚条款：第四十二条，责令停止违法行为，限期改正，对单位处以5000元以上5万元以下的罚款。个人有以上行为的，处以200元以下的罚款。</w:t>
            </w:r>
          </w:p>
        </w:tc>
        <w:tc>
          <w:tcPr>
            <w:tcW w:w="851" w:type="dxa"/>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cs="Batang" w:asciiTheme="minorEastAsia" w:hAnsiTheme="minorEastAsia" w:eastAsiaTheme="minorEastAsia"/>
                <w:color w:val="auto"/>
                <w:sz w:val="15"/>
                <w:szCs w:val="15"/>
                <w:highlight w:val="none"/>
                <w:lang w:val="en-US" w:eastAsia="zh-CN"/>
              </w:rPr>
              <w:t>1.污染道路</w:t>
            </w:r>
            <w:r>
              <w:rPr>
                <w:rFonts w:hint="eastAsia" w:cs="宋体" w:asciiTheme="minorEastAsia" w:hAnsiTheme="minorEastAsia" w:eastAsiaTheme="minorEastAsia"/>
                <w:color w:val="auto"/>
                <w:kern w:val="0"/>
                <w:sz w:val="15"/>
                <w:szCs w:val="15"/>
                <w:highlight w:val="none"/>
                <w:lang w:eastAsia="zh-CN"/>
              </w:rPr>
              <w:t>长度</w:t>
            </w:r>
            <w:r>
              <w:rPr>
                <w:rFonts w:hint="eastAsia" w:cs="宋体" w:asciiTheme="minorEastAsia" w:hAnsiTheme="minorEastAsia" w:eastAsiaTheme="minorEastAsia"/>
                <w:color w:val="auto"/>
                <w:kern w:val="0"/>
                <w:sz w:val="15"/>
                <w:szCs w:val="15"/>
                <w:highlight w:val="none"/>
              </w:rPr>
              <w:t>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9；2</w:t>
            </w:r>
            <w:r>
              <w:rPr>
                <w:rFonts w:hint="eastAsia" w:cs="宋体" w:asciiTheme="minorEastAsia" w:hAnsiTheme="minorEastAsia" w:eastAsiaTheme="minorEastAsia"/>
                <w:color w:val="auto"/>
                <w:kern w:val="0"/>
                <w:sz w:val="15"/>
                <w:szCs w:val="15"/>
                <w:highlight w:val="none"/>
              </w:rPr>
              <w:t>垃圾占地面积在5㎡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color w:val="auto"/>
                <w:kern w:val="0"/>
                <w:sz w:val="15"/>
                <w:szCs w:val="15"/>
                <w:highlight w:val="none"/>
              </w:rPr>
              <w:t>0；6－10㎡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随意倾倒、</w:t>
            </w:r>
            <w:r>
              <w:rPr>
                <w:rFonts w:hint="eastAsia" w:asciiTheme="minorEastAsia" w:hAnsiTheme="minorEastAsia" w:eastAsiaTheme="minorEastAsia"/>
                <w:b w:val="0"/>
                <w:bCs w:val="0"/>
                <w:color w:val="auto"/>
                <w:sz w:val="15"/>
                <w:szCs w:val="15"/>
                <w:highlight w:val="none"/>
              </w:rPr>
              <w:t>抛洒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w:t>
            </w:r>
            <w:r>
              <w:rPr>
                <w:rFonts w:hint="eastAsia" w:cs="宋体" w:asciiTheme="minorEastAsia" w:hAnsiTheme="minorEastAsia" w:eastAsiaTheme="minorEastAsia"/>
                <w:color w:val="auto"/>
                <w:kern w:val="0"/>
                <w:sz w:val="15"/>
                <w:szCs w:val="15"/>
                <w:highlight w:val="none"/>
              </w:rPr>
              <w:t>倾倒、</w:t>
            </w:r>
            <w:r>
              <w:rPr>
                <w:rFonts w:hint="eastAsia" w:asciiTheme="minorEastAsia" w:hAnsiTheme="minorEastAsia" w:eastAsiaTheme="minorEastAsia"/>
                <w:b w:val="0"/>
                <w:bCs w:val="0"/>
                <w:color w:val="auto"/>
                <w:sz w:val="15"/>
                <w:szCs w:val="15"/>
                <w:highlight w:val="none"/>
              </w:rPr>
              <w:t>抛洒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p>
            <w:pPr>
              <w:spacing w:line="200"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8"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根据实际情况处罚</w:t>
            </w:r>
            <w:r>
              <w:rPr>
                <w:rFonts w:hint="eastAsia" w:asciiTheme="minorEastAsia" w:hAnsiTheme="minorEastAsia" w:eastAsiaTheme="minorEastAsia"/>
                <w:color w:val="auto"/>
                <w:sz w:val="15"/>
                <w:szCs w:val="15"/>
                <w:highlight w:val="none"/>
                <w:lang w:eastAsia="zh-CN"/>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0"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4</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未经批准从事城市生活垃圾经营性清扫、收集、运输活动</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违反条款：第十七条；处罚条款：第四十三条，责令停止违法行为，并处以3万元的罚款。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6"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未经批准从事城市生活垃圾经营性处置活动</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违反条款：第二十五条；处罚条款：第四十三条，责令停止违法行为，并处以3万元的罚款。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6"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从事城市生活垃圾经营性清扫、收集、运输的企业在运输过程中沿途丢弃、遗撒生活垃圾</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违反条款：第二十一条第（三）项；处罚条款：第四十四条，责令停止违法行为，限期改正，处以5000元以上5万元以下的罚款。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2.随意丢弃、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w:t>
            </w:r>
            <w:r>
              <w:rPr>
                <w:rFonts w:hint="eastAsia" w:cs="宋体" w:asciiTheme="minorEastAsia" w:hAnsiTheme="minorEastAsia" w:eastAsiaTheme="minorEastAsia"/>
                <w:color w:val="auto"/>
                <w:kern w:val="0"/>
                <w:sz w:val="15"/>
                <w:szCs w:val="15"/>
                <w:highlight w:val="none"/>
              </w:rPr>
              <w:t>丢弃、</w:t>
            </w:r>
            <w:r>
              <w:rPr>
                <w:rFonts w:hint="eastAsia" w:cs="宋体" w:asciiTheme="minorEastAsia" w:hAnsiTheme="minorEastAsia" w:eastAsiaTheme="minorEastAsia"/>
                <w:color w:val="auto"/>
                <w:kern w:val="0"/>
                <w:sz w:val="15"/>
                <w:szCs w:val="15"/>
                <w:highlight w:val="none"/>
                <w:lang w:eastAsia="zh-CN"/>
              </w:rPr>
              <w:t>遗撒点位重叠时，系数不累加计算。</w:t>
            </w:r>
          </w:p>
          <w:p>
            <w:pPr>
              <w:spacing w:line="232" w:lineRule="exact"/>
              <w:rPr>
                <w:rFonts w:hint="eastAsia" w:cs="宋体" w:asciiTheme="minorEastAsia" w:hAnsiTheme="minorEastAsia" w:eastAsiaTheme="minorEastAsia"/>
                <w:color w:val="auto"/>
                <w:kern w:val="0"/>
                <w:sz w:val="15"/>
                <w:szCs w:val="15"/>
                <w:highlight w:val="none"/>
                <w:lang w:eastAsia="zh-CN"/>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50"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从事城市生活垃圾经营性清扫、收集、运输的企业未履行规定义务</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违反条款：第二十条；处罚条款：第四十五条，责令限期改正，并可处以5000元以上3万元以下的罚款。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同时存在本条规定的</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种违法情形的，系数为</w:t>
            </w:r>
            <w:r>
              <w:rPr>
                <w:rFonts w:hint="eastAsia" w:cs="宋体" w:asciiTheme="minorEastAsia" w:hAnsiTheme="minorEastAsia" w:eastAsiaTheme="minorEastAsia"/>
                <w:color w:val="auto"/>
                <w:kern w:val="0"/>
                <w:sz w:val="15"/>
                <w:szCs w:val="15"/>
                <w:highlight w:val="none"/>
                <w:lang w:val="en-US" w:eastAsia="zh-CN"/>
              </w:rPr>
              <w:t>2-3，存在3种及以上情形的，系数为4-5；</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对环境秩序造成较严重影响的，系数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-5</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49"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8</w:t>
            </w:r>
          </w:p>
        </w:tc>
        <w:tc>
          <w:tcPr>
            <w:tcW w:w="1500"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从事城市生活垃圾经营性处置的企业未履行规定义务</w:t>
            </w:r>
          </w:p>
        </w:tc>
        <w:tc>
          <w:tcPr>
            <w:tcW w:w="2789"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违反条款：第二十八条；处罚条款：第四十五条，责令限期改正，并可处以3万元以上10万元以下的罚款。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同时存在本条规定的</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种违法情形的，系数为</w:t>
            </w:r>
            <w:r>
              <w:rPr>
                <w:rFonts w:hint="eastAsia" w:cs="宋体" w:asciiTheme="minorEastAsia" w:hAnsiTheme="minorEastAsia" w:eastAsiaTheme="minorEastAsia"/>
                <w:color w:val="auto"/>
                <w:kern w:val="0"/>
                <w:sz w:val="15"/>
                <w:szCs w:val="15"/>
                <w:highlight w:val="none"/>
                <w:lang w:val="en-US" w:eastAsia="zh-CN"/>
              </w:rPr>
              <w:t>1，存在3种及以上情形的，系数为2-3；</w:t>
            </w:r>
          </w:p>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造成较严重影响的，系数</w:t>
            </w:r>
            <w:r>
              <w:rPr>
                <w:rFonts w:hint="eastAsia" w:asciiTheme="minorEastAsia" w:hAnsiTheme="minorEastAsia" w:eastAsiaTheme="minorEastAsia"/>
                <w:color w:val="auto"/>
                <w:sz w:val="15"/>
                <w:szCs w:val="15"/>
                <w:highlight w:val="none"/>
                <w:lang w:val="en-US" w:eastAsia="zh-CN"/>
              </w:rPr>
              <w:t>2-3</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8"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9</w:t>
            </w:r>
          </w:p>
        </w:tc>
        <w:tc>
          <w:tcPr>
            <w:tcW w:w="1500"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从事城市生活垃圾经营性清扫、收集、运输的企业未经批准擅自停业、歇业的</w:t>
            </w:r>
          </w:p>
        </w:tc>
        <w:tc>
          <w:tcPr>
            <w:tcW w:w="2789"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违反条款：第二十一条第（二）项,第三十五条第一款；处罚条款：第四十六条，责令限期改正，并可处以1万元以上3万元以下罚款。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违法行为持续时间较长、造成较严重影响的，系数1-2</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4"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w:t>
            </w:r>
          </w:p>
        </w:tc>
        <w:tc>
          <w:tcPr>
            <w:tcW w:w="1500"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从事城市生活垃圾经营性处置的企业未经批准擅自停业、歇业的</w:t>
            </w:r>
          </w:p>
        </w:tc>
        <w:tc>
          <w:tcPr>
            <w:tcW w:w="2789" w:type="dxa"/>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违反条款：第三十五条第一款；处罚条款：第四十六条，责令限期改正，并可处以5万元以上10万元以下罚款。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违法行为持续时间较长、造成较严重影响的，系数1</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8" w:hRule="atLeast"/>
          <w:jc w:val="center"/>
        </w:trPr>
        <w:tc>
          <w:tcPr>
            <w:tcW w:w="14218" w:type="dxa"/>
            <w:gridSpan w:val="9"/>
            <w:shd w:val="clear" w:color="auto" w:fill="auto"/>
            <w:vAlign w:val="center"/>
          </w:tcPr>
          <w:p>
            <w:pPr>
              <w:pStyle w:val="3"/>
              <w:widowControl w:val="0"/>
              <w:spacing w:line="220" w:lineRule="exact"/>
              <w:jc w:val="center"/>
              <w:rPr>
                <w:rFonts w:asciiTheme="minorEastAsia" w:hAnsiTheme="minorEastAsia" w:eastAsiaTheme="minorEastAsia"/>
                <w:color w:val="auto"/>
                <w:sz w:val="15"/>
                <w:szCs w:val="15"/>
                <w:highlight w:val="none"/>
              </w:rPr>
            </w:pPr>
            <w:bookmarkStart w:id="13" w:name="_Toc110851439"/>
            <w:bookmarkStart w:id="14" w:name="_Toc1544417110"/>
            <w:bookmarkStart w:id="15" w:name="_Toc763570746"/>
            <w:r>
              <w:rPr>
                <w:rFonts w:hint="eastAsia" w:asciiTheme="minorEastAsia" w:hAnsiTheme="minorEastAsia" w:eastAsiaTheme="minorEastAsia"/>
                <w:color w:val="auto"/>
                <w:sz w:val="20"/>
                <w:szCs w:val="20"/>
                <w:highlight w:val="none"/>
              </w:rPr>
              <w:t>《城市建筑垃圾管理规定》案由</w:t>
            </w:r>
            <w:r>
              <w:rPr>
                <w:rFonts w:hint="eastAsia" w:asciiTheme="minorEastAsia" w:hAnsiTheme="minorEastAsia" w:eastAsiaTheme="minorEastAsia"/>
                <w:color w:val="auto"/>
                <w:sz w:val="20"/>
                <w:szCs w:val="20"/>
                <w:highlight w:val="none"/>
                <w:lang w:val="en-US" w:eastAsia="zh-CN"/>
              </w:rPr>
              <w:t>10</w:t>
            </w:r>
            <w:r>
              <w:rPr>
                <w:rFonts w:hint="eastAsia" w:asciiTheme="minorEastAsia" w:hAnsiTheme="minorEastAsia" w:eastAsiaTheme="minorEastAsia"/>
                <w:color w:val="auto"/>
                <w:sz w:val="20"/>
                <w:szCs w:val="20"/>
                <w:highlight w:val="none"/>
              </w:rPr>
              <w:t>项</w:t>
            </w:r>
            <w:bookmarkEnd w:id="13"/>
            <w:bookmarkEnd w:id="14"/>
            <w:bookmarkEnd w:id="1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将建筑垃圾混入生活垃圾</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违反条款：第九条；处罚条款：第二十条第一款第（一）项及第二款，责令限期改正，予以警告；对单位处3000元以下罚款；对个人处200元以下罚款。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2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将危险废物混入建筑垃圾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违反条款：第九条；处罚条款：第二十条第一款第（二）项及第二款，责令限期改正，予以警告；对单位处3000元以下罚款；对个人处200元以下罚款。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4"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擅自设立弃置场受纳建筑垃圾</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违反条款：第九条；处罚条款：第二十条第一款第（三）项及第二款，责令限期改正，予以警告；对单位处5000元以上1万元以下罚款；对个人处3000元以下罚款。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color w:val="auto"/>
                <w:highlight w:val="none"/>
              </w:rPr>
            </w:pPr>
            <w:r>
              <w:rPr>
                <w:rFonts w:hint="eastAsia" w:asciiTheme="minorEastAsia" w:hAnsiTheme="minorEastAsia" w:eastAsiaTheme="minorEastAsia"/>
                <w:color w:val="auto"/>
                <w:sz w:val="15"/>
                <w:szCs w:val="15"/>
                <w:highlight w:val="none"/>
              </w:rPr>
              <w:t>违法行为持续时间较长、造成较严重影响的，系数1。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b/>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67"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4</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未及时清运工程施工过程中产生的建筑垃圾造成环境污染</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违反条款：第十二条；处罚条款：第二十二条第一款，责令限期改正，给予警告，处5000元以上5万元以下罚款。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1.垃圾占地面积10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w:t>
            </w:r>
            <w:r>
              <w:rPr>
                <w:rFonts w:hint="eastAsia" w:cs="宋体" w:asciiTheme="minorEastAsia" w:hAnsiTheme="minorEastAsia" w:eastAsiaTheme="minorEastAsia"/>
                <w:color w:val="auto"/>
                <w:kern w:val="0"/>
                <w:sz w:val="15"/>
                <w:szCs w:val="15"/>
                <w:highlight w:val="none"/>
              </w:rPr>
              <w:t>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。2.逾期不清的，每逾期2天，系数为１，以此累加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。3.造成尘土飞扬，严重污染环境的，系数为9。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9"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5</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施工单位将建筑垃圾交给个人或者未经核准从事建筑垃圾运输的单位处置</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违反条款：第十三条；处罚条款：第二十二条第二款，责令限期改正，给予警告，处1万元以上10万元以下罚款。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w:t>
            </w:r>
            <w:r>
              <w:rPr>
                <w:rFonts w:asciiTheme="minorEastAsia" w:hAnsiTheme="minorEastAsia" w:eastAsiaTheme="minorEastAsia"/>
                <w:color w:val="auto"/>
                <w:sz w:val="15"/>
                <w:szCs w:val="15"/>
                <w:highlight w:val="none"/>
              </w:rPr>
              <w:t>为</w:t>
            </w:r>
            <w:r>
              <w:rPr>
                <w:rFonts w:hint="eastAsia" w:asciiTheme="minorEastAsia" w:hAnsiTheme="minorEastAsia" w:eastAsiaTheme="minorEastAsia"/>
                <w:color w:val="auto"/>
                <w:sz w:val="15"/>
                <w:szCs w:val="15"/>
                <w:highlight w:val="none"/>
              </w:rPr>
              <w:t>2，以此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2.未按规定进行资源化利用或者处置建筑垃圾数量较大的、</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造成其他严重社会影响的，系数5-9。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pStyle w:val="22"/>
              <w:ind w:left="0" w:leftChars="0" w:firstLine="0" w:firstLineChars="0"/>
              <w:rPr>
                <w:rFonts w:hint="default"/>
                <w:strike/>
                <w:dstrike w:val="0"/>
                <w:color w:val="auto"/>
                <w:highlight w:val="none"/>
                <w:lang w:val="en-US" w:eastAsia="zh-CN"/>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6</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处置建筑垃圾的单位在运输建筑垃圾过程中沿途丢弃、遗撒建筑垃圾</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违反条款：第十四条；处罚条款：第二十三条，责令限期改正，给予警告，处5000元以上5万元以下罚款。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系数为</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rPr>
              <w:t>系数2，以此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asciiTheme="minorEastAsia" w:hAnsiTheme="minorEastAsia" w:eastAsiaTheme="minorEastAsia" w:cstheme="minorEastAsia"/>
                <w:b w:val="0"/>
                <w:bCs w:val="0"/>
                <w:color w:val="auto"/>
                <w:sz w:val="15"/>
                <w:szCs w:val="15"/>
                <w:highlight w:val="none"/>
                <w:lang w:val="en-US" w:eastAsia="zh-CN"/>
              </w:rPr>
              <w:t>3.建筑垃圾重量在4.5吨以下的，系数0；4.5-9吨的，系数1，以此类推，40.5吨及以上的，系数9；在面积和长度无法取证的情况下，可以适用此情形。4</w:t>
            </w:r>
            <w:r>
              <w:rPr>
                <w:rFonts w:hint="eastAsia" w:cs="宋体" w:asciiTheme="minorEastAsia" w:hAnsiTheme="minorEastAsia" w:eastAsiaTheme="minorEastAsia"/>
                <w:color w:val="auto"/>
                <w:kern w:val="0"/>
                <w:sz w:val="15"/>
                <w:szCs w:val="15"/>
                <w:highlight w:val="none"/>
              </w:rPr>
              <w:t>.随意丢弃、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default"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default" w:cs="宋体" w:asciiTheme="minorEastAsia" w:hAnsiTheme="minorEastAsia" w:eastAsiaTheme="minorEastAsia"/>
                <w:strike w:val="0"/>
                <w:dstrike w:val="0"/>
                <w:color w:val="auto"/>
                <w:kern w:val="0"/>
                <w:sz w:val="15"/>
                <w:szCs w:val="15"/>
                <w:highlight w:val="none"/>
                <w:lang w:val="en-US" w:eastAsia="zh-CN"/>
              </w:rPr>
              <w:t xml:space="preserve"> </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丢弃、</w:t>
            </w:r>
            <w:r>
              <w:rPr>
                <w:rFonts w:hint="eastAsia" w:cs="宋体" w:asciiTheme="minorEastAsia" w:hAnsiTheme="minorEastAsia" w:eastAsiaTheme="minorEastAsia"/>
                <w:color w:val="auto"/>
                <w:kern w:val="0"/>
                <w:sz w:val="15"/>
                <w:szCs w:val="15"/>
                <w:highlight w:val="none"/>
                <w:lang w:eastAsia="zh-CN"/>
              </w:rPr>
              <w:t>遗撒点位重叠时，系数不累加计算。</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45"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涂改、倒卖、出租、出借或者以其它形式非法转让城市建筑垃圾处置核准文件</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违反条款：第八条；处罚条款：第二十四条，责令限期改正，给予警告，处5000元以上2万元以下罚款。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违法行为持续时间较长、造成较严重影响的，系数1-3</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9" w:hRule="atLeast"/>
          <w:jc w:val="center"/>
        </w:trPr>
        <w:tc>
          <w:tcPr>
            <w:tcW w:w="940" w:type="dxa"/>
            <w:vMerge w:val="restart"/>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8</w:t>
            </w:r>
          </w:p>
        </w:tc>
        <w:tc>
          <w:tcPr>
            <w:tcW w:w="1500" w:type="dxa"/>
            <w:vMerge w:val="restart"/>
            <w:shd w:val="clear" w:color="auto" w:fill="auto"/>
            <w:vAlign w:val="center"/>
          </w:tcPr>
          <w:p>
            <w:pPr>
              <w:spacing w:line="232" w:lineRule="exact"/>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未经核准擅自处置建筑垃圾</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违反条款：第七条第一款；处罚条款：第二十五条第（一）项，责令限期改正，给予警告，对施工单位处1万元以上10万元以下罚款，对建设单位、运输建筑垃圾的单位处5000元以上3万元以下罚款。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（施工单位）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spacing w:line="232" w:lineRule="exact"/>
              <w:rPr>
                <w:rFonts w:asciiTheme="minorEastAsia" w:hAnsiTheme="minorEastAsia" w:eastAsiaTheme="minorEastAsia"/>
                <w:strike/>
                <w:color w:val="auto"/>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0"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b w:val="0"/>
                <w:bCs w:val="0"/>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（建设、运输单位）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6" w:hRule="atLeast"/>
          <w:jc w:val="center"/>
        </w:trPr>
        <w:tc>
          <w:tcPr>
            <w:tcW w:w="940" w:type="dxa"/>
            <w:vMerge w:val="restart"/>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9</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处置超出核准范围的建筑垃圾</w:t>
            </w:r>
          </w:p>
        </w:tc>
        <w:tc>
          <w:tcPr>
            <w:tcW w:w="2789" w:type="dxa"/>
            <w:vMerge w:val="restart"/>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违反条款：第十四条；处罚条款：第二十五条第（二）项，责令限期改正，给予警告，对施工单位处1万元以上10万元以下罚款，对建设单位、运输建筑垃圾的单位处5000元以上3万元以下罚款。</w:t>
            </w:r>
          </w:p>
        </w:tc>
        <w:tc>
          <w:tcPr>
            <w:tcW w:w="851"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w:t>
            </w:r>
          </w:p>
        </w:tc>
        <w:tc>
          <w:tcPr>
            <w:tcW w:w="840"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1.违法行为持续时间较长、处置建筑垃圾量较大，系数1-3；2.造成环境秩序较严重影响的，系数4-9。</w:t>
            </w:r>
          </w:p>
        </w:tc>
        <w:tc>
          <w:tcPr>
            <w:tcW w:w="1785" w:type="dxa"/>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restart"/>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2"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18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（建设、运输单位）</w:t>
            </w:r>
          </w:p>
        </w:tc>
        <w:tc>
          <w:tcPr>
            <w:tcW w:w="840"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1.违法行为持续时间较长、处置建筑垃圾量较大，系数1-3；2.造成环境秩序较严重影响的，系数4-5。</w:t>
            </w:r>
          </w:p>
        </w:tc>
        <w:tc>
          <w:tcPr>
            <w:tcW w:w="1785" w:type="dxa"/>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continue"/>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28" w:hRule="atLeast"/>
          <w:jc w:val="center"/>
        </w:trPr>
        <w:tc>
          <w:tcPr>
            <w:tcW w:w="940" w:type="dxa"/>
            <w:vMerge w:val="restart"/>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随意倾倒、抛撒或者堆放建筑垃圾</w:t>
            </w:r>
          </w:p>
        </w:tc>
        <w:tc>
          <w:tcPr>
            <w:tcW w:w="2789" w:type="dxa"/>
            <w:vMerge w:val="restart"/>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违反条款：第十五条；处罚条款：第二十六条：责令限期改正，给予警告，并对单位处5000元以上5万元以下罚款，对个人处200元以下罚款。</w:t>
            </w:r>
          </w:p>
        </w:tc>
        <w:tc>
          <w:tcPr>
            <w:tcW w:w="851"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w:t>
            </w:r>
            <w:r>
              <w:rPr>
                <w:rFonts w:asciiTheme="minorEastAsia" w:hAnsiTheme="minorEastAsia" w:eastAsiaTheme="minorEastAsia"/>
                <w:color w:val="auto"/>
                <w:sz w:val="15"/>
                <w:szCs w:val="15"/>
                <w:highlight w:val="none"/>
              </w:rPr>
              <w:t>为</w:t>
            </w:r>
            <w:r>
              <w:rPr>
                <w:rFonts w:hint="eastAsia" w:asciiTheme="minorEastAsia" w:hAnsiTheme="minorEastAsia" w:eastAsiaTheme="minorEastAsia"/>
                <w:color w:val="auto"/>
                <w:sz w:val="15"/>
                <w:szCs w:val="15"/>
                <w:highlight w:val="none"/>
              </w:rPr>
              <w:t>2，以此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.将垃圾</w:t>
            </w:r>
            <w:r>
              <w:rPr>
                <w:rFonts w:hint="eastAsia" w:cs="宋体" w:asciiTheme="minorEastAsia" w:hAnsiTheme="minorEastAsia" w:eastAsiaTheme="minorEastAsia"/>
                <w:color w:val="auto"/>
                <w:kern w:val="0"/>
                <w:sz w:val="15"/>
                <w:szCs w:val="15"/>
                <w:highlight w:val="none"/>
              </w:rPr>
              <w:t>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8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vMerge w:val="restart"/>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180"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18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参照基准规定，并根据实际情况处罚。</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9"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16" w:name="_Toc110851440"/>
            <w:bookmarkStart w:id="17" w:name="_Toc80602247"/>
            <w:bookmarkStart w:id="18" w:name="_Toc1046440714"/>
            <w:r>
              <w:rPr>
                <w:rFonts w:hint="eastAsia" w:asciiTheme="minorEastAsia" w:hAnsiTheme="minorEastAsia" w:eastAsiaTheme="minorEastAsia"/>
                <w:color w:val="auto"/>
                <w:sz w:val="20"/>
                <w:szCs w:val="20"/>
                <w:highlight w:val="none"/>
              </w:rPr>
              <w:t>《中华人民共和国固体废物污染环境防治法》案由</w:t>
            </w:r>
            <w:r>
              <w:rPr>
                <w:rFonts w:hint="eastAsia" w:asciiTheme="minorEastAsia" w:hAnsiTheme="minorEastAsia" w:eastAsiaTheme="minorEastAsia"/>
                <w:color w:val="auto"/>
                <w:sz w:val="20"/>
                <w:szCs w:val="20"/>
                <w:highlight w:val="none"/>
                <w:lang w:val="en-US" w:eastAsia="zh-CN"/>
              </w:rPr>
              <w:t>9</w:t>
            </w:r>
            <w:r>
              <w:rPr>
                <w:rFonts w:hint="eastAsia" w:asciiTheme="minorEastAsia" w:hAnsiTheme="minorEastAsia" w:eastAsiaTheme="minorEastAsia"/>
                <w:color w:val="auto"/>
                <w:sz w:val="20"/>
                <w:szCs w:val="20"/>
                <w:highlight w:val="none"/>
              </w:rPr>
              <w:t>项</w:t>
            </w:r>
            <w:bookmarkEnd w:id="16"/>
            <w:bookmarkEnd w:id="17"/>
            <w:bookmarkEnd w:id="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4"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拒绝、阻扰固体废物污染环境防治监督检查或在接受监督检查时弄虚作假</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违反条款:第一百零三条;处罚条款：第一百零三条  责令改正，处五万元以上二十万元以下的罚款；对直接负责的主管人员和其他直接责任人员，处二万元以上十万元以下的罚款。</w:t>
            </w:r>
          </w:p>
        </w:tc>
        <w:tc>
          <w:tcPr>
            <w:tcW w:w="851"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196"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造成严重</w:t>
            </w:r>
            <w:r>
              <w:rPr>
                <w:rFonts w:hint="eastAsia" w:cs="宋体" w:asciiTheme="minorEastAsia" w:hAnsiTheme="minorEastAsia" w:eastAsiaTheme="minorEastAsia"/>
                <w:color w:val="auto"/>
                <w:kern w:val="0"/>
                <w:sz w:val="15"/>
                <w:szCs w:val="15"/>
                <w:highlight w:val="none"/>
                <w:lang w:eastAsia="zh-CN"/>
              </w:rPr>
              <w:t>影响</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2-3。</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96"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19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19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8"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r>
              <w:rPr>
                <w:rFonts w:asciiTheme="minorEastAsia" w:hAnsiTheme="minorEastAsia" w:eastAsiaTheme="minorEastAsia"/>
                <w:color w:val="auto"/>
                <w:sz w:val="15"/>
                <w:szCs w:val="15"/>
                <w:highlight w:val="none"/>
              </w:rPr>
              <w:t>主管人员或负责人）</w:t>
            </w:r>
          </w:p>
        </w:tc>
        <w:tc>
          <w:tcPr>
            <w:tcW w:w="840"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造成严重</w:t>
            </w:r>
            <w:r>
              <w:rPr>
                <w:rFonts w:hint="eastAsia" w:cs="宋体" w:asciiTheme="minorEastAsia" w:hAnsiTheme="minorEastAsia" w:eastAsiaTheme="minorEastAsia"/>
                <w:color w:val="auto"/>
                <w:kern w:val="0"/>
                <w:sz w:val="15"/>
                <w:szCs w:val="15"/>
                <w:highlight w:val="none"/>
                <w:lang w:eastAsia="zh-CN"/>
              </w:rPr>
              <w:t>影响</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96"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6"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9"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工程施工单位未编制建筑垃圾处理方案报备案</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lang w:val="en"/>
              </w:rPr>
            </w:pPr>
            <w:r>
              <w:rPr>
                <w:rFonts w:hint="eastAsia" w:asciiTheme="minorEastAsia" w:hAnsiTheme="minorEastAsia" w:eastAsiaTheme="minorEastAsia"/>
                <w:color w:val="auto"/>
                <w:sz w:val="15"/>
                <w:szCs w:val="15"/>
                <w:highlight w:val="none"/>
              </w:rPr>
              <w:t>违反条款：第六十三条第一款；处罚条款：第一百一十一条第一款第（三）项、第二款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196"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pacing w:line="232" w:lineRule="exact"/>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工程建筑面积在300㎡及以下的，系数0；300㎡以上5000㎡及以下的，系数1-3；5000㎡以上2万㎡及以下的，系数4-6；2万㎡以上的，系数7-9。2.未备案时间持续10天及以内的，系数0；11-20天的，系数1；以此类推，101天及以上的，系数9。</w:t>
            </w:r>
            <w:r>
              <w:rPr>
                <w:rFonts w:hint="eastAsia" w:cs="宋体" w:asciiTheme="minorEastAsia" w:hAnsiTheme="minorEastAsia" w:eastAsiaTheme="minorEastAsia"/>
                <w:color w:val="auto"/>
                <w:sz w:val="15"/>
                <w:szCs w:val="15"/>
                <w:highlight w:val="none"/>
                <w:lang w:val="en-US" w:eastAsia="zh-CN"/>
              </w:rPr>
              <w:t>3.造</w:t>
            </w:r>
            <w:r>
              <w:rPr>
                <w:rFonts w:hint="eastAsia" w:cs="宋体" w:asciiTheme="minorEastAsia" w:hAnsiTheme="minorEastAsia" w:eastAsiaTheme="minorEastAsia"/>
                <w:color w:val="auto"/>
                <w:sz w:val="15"/>
                <w:szCs w:val="15"/>
                <w:highlight w:val="none"/>
              </w:rPr>
              <w:t>成环境秩序较严重影响的，系数5-9。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96"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3</w:t>
            </w:r>
          </w:p>
        </w:tc>
        <w:tc>
          <w:tcPr>
            <w:tcW w:w="1500" w:type="dxa"/>
            <w:shd w:val="clear" w:color="auto" w:fill="auto"/>
            <w:vAlign w:val="center"/>
          </w:tcPr>
          <w:p>
            <w:pPr>
              <w:spacing w:line="196" w:lineRule="exact"/>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单位未在指定的地点分类投放生活垃圾情节</w:t>
            </w:r>
            <w:r>
              <w:rPr>
                <w:rFonts w:cs="宋体" w:asciiTheme="minorEastAsia" w:hAnsiTheme="minorEastAsia" w:eastAsiaTheme="minorEastAsia"/>
                <w:color w:val="auto"/>
                <w:sz w:val="15"/>
                <w:szCs w:val="15"/>
                <w:highlight w:val="none"/>
              </w:rPr>
              <w:t>严重</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违反条款：第四十九条第二款；</w:t>
            </w:r>
            <w:r>
              <w:rPr>
                <w:rFonts w:cs="宋体" w:asciiTheme="minorEastAsia" w:hAnsiTheme="minorEastAsia" w:eastAsiaTheme="minorEastAsia"/>
                <w:color w:val="auto"/>
                <w:sz w:val="15"/>
                <w:szCs w:val="15"/>
                <w:highlight w:val="none"/>
              </w:rPr>
              <w:t>处罚条款：</w:t>
            </w:r>
            <w:r>
              <w:rPr>
                <w:rFonts w:hint="eastAsia" w:cs="宋体" w:asciiTheme="minorEastAsia" w:hAnsiTheme="minorEastAsia" w:eastAsiaTheme="minorEastAsia"/>
                <w:color w:val="auto"/>
                <w:sz w:val="15"/>
                <w:szCs w:val="15"/>
                <w:highlight w:val="none"/>
              </w:rPr>
              <w:t>第一百一十一条第三款 责令</w:t>
            </w:r>
            <w:r>
              <w:rPr>
                <w:rFonts w:cs="宋体" w:asciiTheme="minorEastAsia" w:hAnsiTheme="minorEastAsia" w:eastAsiaTheme="minorEastAsia"/>
                <w:color w:val="auto"/>
                <w:sz w:val="15"/>
                <w:szCs w:val="15"/>
                <w:highlight w:val="none"/>
              </w:rPr>
              <w:t>改正；情节严重的</w:t>
            </w:r>
            <w:r>
              <w:rPr>
                <w:rFonts w:hint="eastAsia" w:cs="宋体" w:asciiTheme="minorEastAsia" w:hAnsiTheme="minorEastAsia" w:eastAsiaTheme="minorEastAsia"/>
                <w:color w:val="auto"/>
                <w:sz w:val="15"/>
                <w:szCs w:val="15"/>
                <w:highlight w:val="none"/>
              </w:rPr>
              <w:t>，对单位处五万元以上五十万元以下的罚款。</w:t>
            </w:r>
          </w:p>
        </w:tc>
        <w:tc>
          <w:tcPr>
            <w:tcW w:w="851"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32" w:lineRule="exact"/>
              <w:jc w:val="center"/>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1．垃圾占地面积6－10㎡，系数1；</w:t>
            </w:r>
            <w:r>
              <w:rPr>
                <w:rFonts w:hint="eastAsia" w:asciiTheme="minorEastAsia" w:hAnsiTheme="minorEastAsia" w:eastAsiaTheme="minorEastAsia"/>
                <w:color w:val="auto"/>
                <w:sz w:val="15"/>
                <w:szCs w:val="15"/>
                <w:highlight w:val="none"/>
                <w:lang w:val="en-US" w:eastAsia="zh-CN"/>
              </w:rPr>
              <w:t>11-15</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kern w:val="0"/>
                <w:sz w:val="15"/>
                <w:szCs w:val="15"/>
                <w:highlight w:val="none"/>
              </w:rPr>
              <w:t>随意倾倒、丢弃、堆放至城市道路、绿地、林地、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总量较大、违法行为持续时间较长，系数4-6；4.对环境秩序造成较严重影响的，系数6-9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196"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构成变量系数、常量系数情形的，视为”情节严重“</w:t>
            </w:r>
          </w:p>
          <w:p>
            <w:pPr>
              <w:pStyle w:val="8"/>
              <w:rPr>
                <w:rFonts w:hint="eastAsia" w:asciiTheme="minorEastAsia" w:hAnsiTheme="minorEastAsia" w:eastAsiaTheme="minorEastAsia"/>
                <w:color w:val="auto"/>
                <w:sz w:val="15"/>
                <w:szCs w:val="15"/>
                <w:highlight w:val="none"/>
                <w:lang w:eastAsia="zh-CN"/>
              </w:rPr>
            </w:pPr>
          </w:p>
          <w:p>
            <w:pPr>
              <w:pStyle w:val="9"/>
              <w:rPr>
                <w:rFonts w:hint="eastAsia"/>
                <w:color w:val="auto"/>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3" w:hRule="atLeast"/>
          <w:jc w:val="center"/>
        </w:trPr>
        <w:tc>
          <w:tcPr>
            <w:tcW w:w="940" w:type="dxa"/>
            <w:vMerge w:val="restart"/>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vMerge w:val="restart"/>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随意倾倒、抛撒或者堆放生活垃圾</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违反条款：第四十九条第二款；处罚条款：第一百一十一条第一款第（一）项、第二款，责令改正，没收违法所得</w:t>
            </w:r>
            <w:r>
              <w:rPr>
                <w:rFonts w:hint="eastAsia" w:asciiTheme="minorEastAsia" w:hAnsiTheme="minorEastAsia" w:eastAsiaTheme="minorEastAsia"/>
                <w:color w:val="0000FF"/>
                <w:sz w:val="15"/>
                <w:szCs w:val="15"/>
                <w:highlight w:val="none"/>
                <w:lang w:eastAsia="zh-CN"/>
              </w:rPr>
              <w:t>；</w:t>
            </w:r>
            <w:r>
              <w:rPr>
                <w:rFonts w:hint="eastAsia" w:asciiTheme="minorEastAsia" w:hAnsiTheme="minorEastAsia" w:eastAsiaTheme="minorEastAsia"/>
                <w:color w:val="auto"/>
                <w:sz w:val="15"/>
                <w:szCs w:val="15"/>
                <w:highlight w:val="none"/>
              </w:rPr>
              <w:t>单位有前款第一项、第七项行为之一，处五万元以上五十万元以下的罚款；……个人有前款第一项、第五项、第七项行为之一，处一百元以上五百元以下的罚款。</w:t>
            </w:r>
          </w:p>
        </w:tc>
        <w:tc>
          <w:tcPr>
            <w:tcW w:w="851"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r>
              <w:rPr>
                <w:rFonts w:asciiTheme="minorEastAsia" w:hAnsiTheme="minorEastAsia" w:eastAsiaTheme="minorEastAsia"/>
                <w:color w:val="auto"/>
                <w:sz w:val="15"/>
                <w:szCs w:val="15"/>
                <w:highlight w:val="none"/>
              </w:rPr>
              <w:t>0</w:t>
            </w:r>
          </w:p>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vMerge w:val="restart"/>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垃圾占地面积在5</w:t>
            </w:r>
            <w:r>
              <w:rPr>
                <w:rFonts w:hint="eastAsia" w:cs="Microsoft JhengHei"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下的，系数</w:t>
            </w:r>
            <w:r>
              <w:rPr>
                <w:rFonts w:hint="eastAsia" w:asciiTheme="minorEastAsia" w:hAnsiTheme="minorEastAsia" w:eastAsiaTheme="minorEastAsia"/>
                <w:color w:val="auto"/>
                <w:sz w:val="15"/>
                <w:szCs w:val="15"/>
                <w:highlight w:val="none"/>
              </w:rPr>
              <w:t>0；6－10</w:t>
            </w:r>
            <w:r>
              <w:rPr>
                <w:rFonts w:hint="eastAsia" w:cs="Microsoft JhengHei"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1；以此类推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vMerge w:val="restart"/>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5" w:hRule="atLeast"/>
          <w:jc w:val="center"/>
        </w:trPr>
        <w:tc>
          <w:tcPr>
            <w:tcW w:w="940" w:type="dxa"/>
            <w:vMerge w:val="continue"/>
            <w:shd w:val="clear" w:color="auto" w:fill="auto"/>
            <w:vAlign w:val="center"/>
          </w:tcPr>
          <w:p>
            <w:pPr>
              <w:spacing w:line="190" w:lineRule="exact"/>
              <w:jc w:val="center"/>
              <w:rPr>
                <w:rFonts w:cs="宋体"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190"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19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w:t>
            </w:r>
          </w:p>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vMerge w:val="continue"/>
            <w:shd w:val="clear" w:color="auto" w:fill="auto"/>
          </w:tcPr>
          <w:p>
            <w:pPr>
              <w:spacing w:line="190"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vMerge w:val="continue"/>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15"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sz w:val="15"/>
                <w:szCs w:val="15"/>
                <w:highlight w:val="none"/>
                <w:lang w:val="en-US" w:eastAsia="zh-CN"/>
              </w:rPr>
              <w:t>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工程施工单位未及时清运施工过程中产生的固体废物</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违反条款：第六十三条第二款；处罚条款：第一百一十一条第一款第（三）项、第二款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1.垃圾占地面积10㎡</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0；11－15㎡</w:t>
            </w:r>
            <w:r>
              <w:rPr>
                <w:rFonts w:hint="eastAsia" w:cs="仿宋_GB2312" w:asciiTheme="minorEastAsia" w:hAnsiTheme="minorEastAsia" w:eastAsiaTheme="minorEastAsia"/>
                <w:color w:val="auto"/>
                <w:sz w:val="15"/>
                <w:szCs w:val="15"/>
                <w:highlight w:val="none"/>
              </w:rPr>
              <w:t>的，系</w:t>
            </w:r>
            <w:r>
              <w:rPr>
                <w:rFonts w:hint="eastAsia" w:cs="宋体" w:asciiTheme="minorEastAsia" w:hAnsiTheme="minorEastAsia" w:eastAsiaTheme="minorEastAsia"/>
                <w:color w:val="auto"/>
                <w:sz w:val="15"/>
                <w:szCs w:val="15"/>
                <w:highlight w:val="none"/>
              </w:rPr>
              <w:t>数1；16－20㎡</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。2.逾期不清的，每逾期2天，系数为１，以此累加</w:t>
            </w:r>
            <w:r>
              <w:rPr>
                <w:rFonts w:hint="eastAsia" w:cs="宋体" w:asciiTheme="minorEastAsia" w:hAnsiTheme="minorEastAsia" w:eastAsiaTheme="minorEastAsia"/>
                <w:color w:val="auto"/>
                <w:sz w:val="15"/>
                <w:szCs w:val="15"/>
                <w:highlight w:val="none"/>
                <w:lang w:eastAsia="zh-CN"/>
              </w:rPr>
              <w:t>，逾期</w:t>
            </w:r>
            <w:r>
              <w:rPr>
                <w:rFonts w:hint="eastAsia" w:cs="宋体" w:asciiTheme="minorEastAsia" w:hAnsiTheme="minorEastAsia" w:eastAsiaTheme="minorEastAsia"/>
                <w:color w:val="auto"/>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b/>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b/>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2" w:hRule="atLeast"/>
          <w:jc w:val="center"/>
        </w:trPr>
        <w:tc>
          <w:tcPr>
            <w:tcW w:w="940"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工程施工单位擅自倾倒、抛撒或者堆放工程施工过程中产生的建筑垃圾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违反条款：第六十三条第三款；处罚条款：第一百一十一条第一款第（四）项、第二款责令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b/>
                <w:bCs/>
                <w:color w:val="auto"/>
                <w:sz w:val="15"/>
                <w:szCs w:val="15"/>
                <w:highlight w:val="none"/>
                <w:lang w:val="en-US" w:eastAsia="zh-CN"/>
              </w:rPr>
              <w:t>2</w:t>
            </w:r>
            <w:r>
              <w:rPr>
                <w:rFonts w:hint="eastAsia" w:asciiTheme="minorEastAsia" w:hAnsiTheme="minorEastAsia" w:eastAsiaTheme="minorEastAsia"/>
                <w:b w:val="0"/>
                <w:bCs w:val="0"/>
                <w:color w:val="auto"/>
                <w:sz w:val="15"/>
                <w:szCs w:val="15"/>
                <w:highlight w:val="none"/>
                <w:lang w:val="en-US" w:eastAsia="zh-CN"/>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的，系数为</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系数为</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系数</w:t>
            </w:r>
            <w:r>
              <w:rPr>
                <w:rFonts w:asciiTheme="minorEastAsia" w:hAnsiTheme="minorEastAsia" w:eastAsiaTheme="minorEastAsia"/>
                <w:b w:val="0"/>
                <w:bCs w:val="0"/>
                <w:color w:val="auto"/>
                <w:sz w:val="15"/>
                <w:szCs w:val="15"/>
                <w:highlight w:val="none"/>
              </w:rPr>
              <w:t>为</w:t>
            </w:r>
            <w:r>
              <w:rPr>
                <w:rFonts w:hint="eastAsia" w:asciiTheme="minorEastAsia" w:hAnsiTheme="minorEastAsia" w:eastAsiaTheme="minorEastAsia"/>
                <w:b w:val="0"/>
                <w:bCs w:val="0"/>
                <w:color w:val="auto"/>
                <w:sz w:val="15"/>
                <w:szCs w:val="15"/>
                <w:highlight w:val="none"/>
              </w:rPr>
              <w:t>2，以此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.将垃圾随意倾倒、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b/>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b/>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04" w:hRule="atLeast"/>
          <w:jc w:val="center"/>
        </w:trPr>
        <w:tc>
          <w:tcPr>
            <w:tcW w:w="940"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工程施工单位未按照规定对施工过程中产生的固体废物进行利用或者处置的</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违反条款：第六十三条第二款；处罚条款：第一百一十一条第一款第（四）项、第二款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r>
              <w:rPr>
                <w:rFonts w:cs="宋体" w:asciiTheme="minorEastAsia" w:hAnsiTheme="minorEastAsia" w:eastAsiaTheme="minorEastAsia"/>
                <w:color w:val="auto"/>
                <w:kern w:val="0"/>
                <w:sz w:val="15"/>
                <w:szCs w:val="15"/>
                <w:highlight w:val="none"/>
              </w:rPr>
              <w:t>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w:t>
            </w:r>
            <w:r>
              <w:rPr>
                <w:rFonts w:cs="宋体" w:asciiTheme="minorEastAsia" w:hAnsiTheme="minorEastAsia" w:eastAsiaTheme="minorEastAsia"/>
                <w:color w:val="auto"/>
                <w:kern w:val="0"/>
                <w:sz w:val="15"/>
                <w:szCs w:val="15"/>
                <w:highlight w:val="none"/>
              </w:rPr>
              <w:t>利用或处置的固体废物</w:t>
            </w:r>
            <w:r>
              <w:rPr>
                <w:rFonts w:hint="eastAsia" w:cs="宋体" w:asciiTheme="minorEastAsia" w:hAnsiTheme="minorEastAsia" w:eastAsiaTheme="minorEastAsia"/>
                <w:color w:val="auto"/>
                <w:kern w:val="0"/>
                <w:sz w:val="15"/>
                <w:szCs w:val="15"/>
                <w:highlight w:val="none"/>
              </w:rPr>
              <w:t>占地面积10</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b/>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b/>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7" w:hRule="atLeast"/>
          <w:jc w:val="center"/>
        </w:trPr>
        <w:tc>
          <w:tcPr>
            <w:tcW w:w="940" w:type="dxa"/>
            <w:vMerge w:val="restart"/>
            <w:shd w:val="clear" w:color="auto" w:fill="auto"/>
            <w:vAlign w:val="center"/>
          </w:tcPr>
          <w:p>
            <w:pPr>
              <w:spacing w:line="232" w:lineRule="exact"/>
              <w:jc w:val="center"/>
              <w:rPr>
                <w:rFonts w:hint="eastAsia"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kern w:val="0"/>
                <w:sz w:val="15"/>
                <w:szCs w:val="15"/>
                <w:highlight w:val="none"/>
                <w:lang w:val="en-US" w:eastAsia="zh-CN"/>
              </w:rPr>
              <w:t>8</w:t>
            </w:r>
          </w:p>
        </w:tc>
        <w:tc>
          <w:tcPr>
            <w:tcW w:w="1500" w:type="dxa"/>
            <w:vMerge w:val="restart"/>
            <w:shd w:val="clear" w:color="auto" w:fill="auto"/>
            <w:vAlign w:val="center"/>
          </w:tcPr>
          <w:p>
            <w:pPr>
              <w:spacing w:line="232" w:lineRule="exact"/>
              <w:jc w:val="left"/>
              <w:rPr>
                <w:rFonts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未将厨余垃圾交由具备相应资质条件的单位进行无害化处理</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违反条款：第五十七条第二款；处罚条款：第一百一十一条第一款第（五）项、第二款 责令改正，没收违法所得</w:t>
            </w:r>
            <w:r>
              <w:rPr>
                <w:rFonts w:hint="eastAsia" w:asciiTheme="minorEastAsia" w:hAnsiTheme="minorEastAsia" w:eastAsiaTheme="minorEastAsia"/>
                <w:color w:val="0000FF"/>
                <w:sz w:val="15"/>
                <w:szCs w:val="15"/>
                <w:highlight w:val="none"/>
                <w:lang w:eastAsia="zh-CN"/>
              </w:rPr>
              <w:t>；</w:t>
            </w:r>
            <w:r>
              <w:rPr>
                <w:rFonts w:hint="eastAsia" w:asciiTheme="minorEastAsia" w:hAnsiTheme="minorEastAsia" w:eastAsiaTheme="minorEastAsia"/>
                <w:color w:val="auto"/>
                <w:sz w:val="15"/>
                <w:szCs w:val="15"/>
                <w:highlight w:val="none"/>
              </w:rPr>
              <w:t>单位有前款第二项、第三项、第四项、第五项、第六项行为之一，处十万元以上一百万元以下的罚款；个人有前款第一项、第五项、第七项行为之一，处一百元以上五百元以下的罚款。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特大型、大型餐饮经营者，变量系数为1；（以餐饮服务许可标注的类别为准。）2.将厨余垃圾随意倾倒、丢弃、堆放城市道路、绿地、林地、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燃气、供暖、石油长输管道、供水、排水、电力、通信等公用管道和设施保护（管理）范围的，系数为3</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厨余垃圾总量较大、持续时间较长、对环境秩序造成较严重影响的，系数3-9；</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4.知道或者应当知道无资质收运单位和个人收集厨余垃圾用于生产“地沟油”而继续交运的，系数9。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jc w:val="lef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特大型、大型餐饮经营者，变量系数为1（以餐饮服务许可标注的类别为准）；2.将厨余垃圾随意倾倒、丢弃、堆放</w:t>
            </w:r>
            <w:r>
              <w:rPr>
                <w:rFonts w:hint="eastAsia" w:cs="宋体" w:asciiTheme="minorEastAsia" w:hAnsiTheme="minorEastAsia" w:eastAsiaTheme="minorEastAsia"/>
                <w:strike w:val="0"/>
                <w:dstrike w:val="0"/>
                <w:color w:val="auto"/>
                <w:kern w:val="0"/>
                <w:sz w:val="15"/>
                <w:szCs w:val="15"/>
                <w:highlight w:val="none"/>
              </w:rPr>
              <w:t>至</w:t>
            </w:r>
            <w:r>
              <w:rPr>
                <w:rFonts w:hint="eastAsia" w:cs="宋体" w:asciiTheme="minorEastAsia" w:hAnsiTheme="minorEastAsia" w:eastAsiaTheme="minorEastAsia"/>
                <w:color w:val="auto"/>
                <w:kern w:val="0"/>
                <w:sz w:val="15"/>
                <w:szCs w:val="15"/>
                <w:highlight w:val="none"/>
              </w:rPr>
              <w:t>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w:t>
            </w:r>
            <w:r>
              <w:rPr>
                <w:rFonts w:hint="eastAsia" w:cs="宋体" w:asciiTheme="minorEastAsia" w:hAnsiTheme="minorEastAsia" w:eastAsiaTheme="minorEastAsia"/>
                <w:color w:val="auto"/>
                <w:spacing w:val="-4"/>
                <w:kern w:val="0"/>
                <w:sz w:val="15"/>
                <w:szCs w:val="15"/>
                <w:highlight w:val="none"/>
                <w:lang w:val="en-US" w:eastAsia="zh-CN"/>
              </w:rPr>
              <w:t>2-4</w:t>
            </w:r>
            <w:r>
              <w:rPr>
                <w:rFonts w:hint="eastAsia" w:cs="宋体" w:asciiTheme="minorEastAsia" w:hAnsiTheme="minorEastAsia" w:eastAsiaTheme="minorEastAsia"/>
                <w:color w:val="auto"/>
                <w:spacing w:val="-4"/>
                <w:kern w:val="0"/>
                <w:sz w:val="15"/>
                <w:szCs w:val="15"/>
                <w:highlight w:val="none"/>
              </w:rPr>
              <w:t>；</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4.知道或者应当知道无资质收运单位和个人收集厨余垃圾用于生产“地沟油”而继续交运的，系数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区域台帐与变量系数中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点位重叠时，系数不累加计算。</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9</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运输过程中沿途丢弃、遗撒生活垃圾</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违反条款：第二十条第一款；处罚条款：第一百一十一条第一款第（七）项、第二款，责令改正</w:t>
            </w:r>
            <w:r>
              <w:rPr>
                <w:rFonts w:asciiTheme="minorEastAsia" w:hAnsiTheme="minorEastAsia" w:eastAsiaTheme="minorEastAsia"/>
                <w:color w:val="auto"/>
                <w:sz w:val="15"/>
                <w:szCs w:val="15"/>
                <w:highlight w:val="none"/>
              </w:rPr>
              <w:t>，没收违法所得</w:t>
            </w:r>
            <w:r>
              <w:rPr>
                <w:rFonts w:hint="eastAsia" w:asciiTheme="minorEastAsia" w:hAnsiTheme="minorEastAsia" w:eastAsiaTheme="minorEastAsia"/>
                <w:color w:val="auto"/>
                <w:sz w:val="15"/>
                <w:szCs w:val="15"/>
                <w:highlight w:val="none"/>
              </w:rPr>
              <w:t>，对单位五万元以上五十万元以下的罚款；对个人处一百元以上五百元以下的罚款。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r>
              <w:rPr>
                <w:rFonts w:asciiTheme="minorEastAsia" w:hAnsiTheme="minorEastAsia" w:eastAsiaTheme="minorEastAsia"/>
                <w:color w:val="auto"/>
                <w:sz w:val="15"/>
                <w:szCs w:val="15"/>
                <w:highlight w:val="none"/>
              </w:rPr>
              <w:t>0</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p>
            <w:pPr>
              <w:numPr>
                <w:ilvl w:val="0"/>
                <w:numId w:val="0"/>
              </w:numP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随意倾</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w:t>
            </w:r>
            <w:r>
              <w:rPr>
                <w:rFonts w:hint="eastAsia" w:cs="宋体" w:asciiTheme="minorEastAsia" w:hAnsiTheme="minorEastAsia" w:eastAsiaTheme="minorEastAsia"/>
                <w:color w:val="auto"/>
                <w:kern w:val="0"/>
                <w:sz w:val="15"/>
                <w:szCs w:val="15"/>
                <w:highlight w:val="none"/>
                <w:lang w:val="en-US" w:eastAsia="zh-CN"/>
              </w:rPr>
              <w:t>3-9</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总量较大、违法行为持续时间较长，系数4-6；</w:t>
            </w:r>
          </w:p>
          <w:p>
            <w:p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4.对环境秩序造成较严重影响的，系数6-9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区域台帐与变量系数中丢弃、遗撒点位重叠时，系数不累加计算。</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numPr>
                <w:ilvl w:val="0"/>
                <w:numId w:val="0"/>
              </w:num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燃气、供暖、石油长输管道、供水、排水、电力、通信等公用管道和设施保护（管理）范围的，系数为</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总量较大、违法行为持续时间较长，系数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rPr>
              <w:t>；</w:t>
            </w:r>
          </w:p>
          <w:p>
            <w:p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4.对环境秩序造成较严重影响的，系数</w:t>
            </w:r>
            <w:r>
              <w:rPr>
                <w:rFonts w:hint="eastAsia" w:asciiTheme="minorEastAsia" w:hAnsiTheme="minorEastAsia" w:eastAsiaTheme="minorEastAsia"/>
                <w:color w:val="auto"/>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区域台帐与变量系数中丢弃、遗撒点位重叠时，系数不累加计算。</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2"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19" w:name="_Toc110851441"/>
            <w:bookmarkStart w:id="20" w:name="_Toc812078872"/>
            <w:bookmarkStart w:id="21" w:name="_Toc1531171604"/>
            <w:r>
              <w:rPr>
                <w:rFonts w:hint="eastAsia" w:asciiTheme="minorEastAsia" w:hAnsiTheme="minorEastAsia" w:eastAsiaTheme="minorEastAsia"/>
                <w:color w:val="auto"/>
                <w:sz w:val="20"/>
                <w:szCs w:val="20"/>
                <w:highlight w:val="none"/>
              </w:rPr>
              <w:t>《北京市“门前三包”责任制管理办法》案由1项</w:t>
            </w:r>
            <w:bookmarkEnd w:id="19"/>
            <w:bookmarkEnd w:id="20"/>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未落实“门前三包”责任制</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违反条款：第三条第（一）项、第（二）项、第（三）项；处罚条款：第八条，对违反本办法的单位应当责令改正，并视情节轻重，处200元以上1000元以下的罚款，并对单位负责人处20元以上50元以下的罚款。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w:t>
            </w:r>
          </w:p>
        </w:tc>
        <w:tc>
          <w:tcPr>
            <w:tcW w:w="8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 xml:space="preserve"> </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（对单位负责人）</w:t>
            </w:r>
          </w:p>
        </w:tc>
        <w:tc>
          <w:tcPr>
            <w:tcW w:w="8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对单位责任人的罚款，由执法部门酌情决定；单位是个体户的，仅处罚单位即可。</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22" w:name="_Toc1567388814"/>
            <w:bookmarkStart w:id="23" w:name="_Toc110851442"/>
            <w:bookmarkStart w:id="24" w:name="_Toc1169203885"/>
            <w:r>
              <w:rPr>
                <w:rFonts w:hint="eastAsia" w:asciiTheme="minorEastAsia" w:hAnsiTheme="minorEastAsia" w:eastAsiaTheme="minorEastAsia"/>
                <w:color w:val="auto"/>
                <w:sz w:val="20"/>
                <w:szCs w:val="20"/>
                <w:highlight w:val="none"/>
              </w:rPr>
              <w:t>《北京市人民政府关于扫雪铲冰管理的规定》案由1项</w:t>
            </w:r>
            <w:bookmarkEnd w:id="22"/>
            <w:bookmarkEnd w:id="23"/>
            <w:bookmarkEnd w:id="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6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未按规定扫雪铲冰</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违反条款：第三条第一款、第二款；处罚条款：第六条，责令改正，并处200元以上1000元以下罚款。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按照《基准》的有关规定执行。</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9"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25" w:name="_Toc110851443"/>
            <w:bookmarkStart w:id="26" w:name="_Toc764526123"/>
            <w:bookmarkStart w:id="27" w:name="_Toc114467569"/>
            <w:r>
              <w:rPr>
                <w:rFonts w:hint="eastAsia" w:asciiTheme="minorEastAsia" w:hAnsiTheme="minorEastAsia" w:eastAsiaTheme="minorEastAsia"/>
                <w:color w:val="auto"/>
                <w:sz w:val="20"/>
                <w:szCs w:val="20"/>
                <w:highlight w:val="none"/>
              </w:rPr>
              <w:t>《北京市户外广告设施、牌匾标识和标语宣传品设置管理条例》案由14项</w:t>
            </w:r>
            <w:bookmarkEnd w:id="25"/>
            <w:bookmarkEnd w:id="26"/>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napToGrid w:val="0"/>
                <w:color w:val="auto"/>
                <w:kern w:val="32"/>
                <w:sz w:val="15"/>
                <w:szCs w:val="15"/>
                <w:highlight w:val="none"/>
              </w:rPr>
              <w:t>违法设置户外广告设施</w:t>
            </w:r>
          </w:p>
        </w:tc>
        <w:tc>
          <w:tcPr>
            <w:tcW w:w="2789" w:type="dxa"/>
            <w:shd w:val="clear" w:color="auto" w:fill="auto"/>
            <w:vAlign w:val="center"/>
          </w:tcPr>
          <w:p>
            <w:pPr>
              <w:spacing w:line="232" w:lineRule="exact"/>
              <w:rPr>
                <w:rFonts w:asciiTheme="minorEastAsia" w:hAnsiTheme="minorEastAsia" w:eastAsiaTheme="minorEastAsia"/>
                <w:snapToGrid w:val="0"/>
                <w:color w:val="auto"/>
                <w:kern w:val="32"/>
                <w:sz w:val="15"/>
                <w:szCs w:val="15"/>
                <w:highlight w:val="none"/>
              </w:rPr>
            </w:pPr>
            <w:r>
              <w:rPr>
                <w:rFonts w:hint="eastAsia" w:asciiTheme="minorEastAsia" w:hAnsiTheme="minorEastAsia" w:eastAsiaTheme="minorEastAsia"/>
                <w:color w:val="auto"/>
                <w:sz w:val="15"/>
                <w:szCs w:val="15"/>
                <w:highlight w:val="none"/>
              </w:rPr>
              <w:t>违反条款：第十五条；第十六条第一款；第十七条；第十八条第三款；第二十四条；第二十五条；</w:t>
            </w:r>
            <w:r>
              <w:rPr>
                <w:rFonts w:hint="eastAsia" w:asciiTheme="minorEastAsia" w:hAnsiTheme="minorEastAsia" w:eastAsiaTheme="minorEastAsia"/>
                <w:snapToGrid w:val="0"/>
                <w:color w:val="auto"/>
                <w:kern w:val="32"/>
                <w:sz w:val="15"/>
                <w:szCs w:val="15"/>
                <w:highlight w:val="none"/>
              </w:rPr>
              <w:t>（根据发生违法行为选择适用）</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处罚条款：第四十九条第一款，以及《北京市市容环境卫生条例》第三十八条第二款，责令限期拆除，逾期未拆除的，强制拆除，并可处1万元以上10万元以下罚款。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asciiTheme="minorEastAsia" w:hAnsiTheme="minorEastAsia" w:eastAsiaTheme="minorEastAsia"/>
                <w:color w:val="auto"/>
                <w:sz w:val="15"/>
                <w:szCs w:val="15"/>
                <w:highlight w:val="none"/>
              </w:rPr>
              <w:t>.违法设置大型户外广告设施的，系数为2；2.违法设置距地十米以上户外广告设施的，系数为2；</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3.违法设置2处</w:t>
            </w:r>
            <w:r>
              <w:rPr>
                <w:rFonts w:hint="eastAsia" w:asciiTheme="minorEastAsia" w:hAnsiTheme="minorEastAsia" w:eastAsiaTheme="minorEastAsia"/>
                <w:color w:val="auto"/>
                <w:sz w:val="15"/>
                <w:szCs w:val="15"/>
                <w:highlight w:val="none"/>
                <w:lang w:eastAsia="zh-CN"/>
              </w:rPr>
              <w:t>户外广告设施</w:t>
            </w:r>
            <w:r>
              <w:rPr>
                <w:rFonts w:hint="eastAsia"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　</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pPr>
              <w:spacing w:line="232" w:lineRule="exact"/>
              <w:rPr>
                <w:rFonts w:hint="eastAsia" w:asciiTheme="minorEastAsia" w:hAnsiTheme="minorEastAsia" w:eastAsiaTheme="minorEastAsia"/>
                <w:strike/>
                <w:dstrike w:val="0"/>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9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为违法设置的户外广告设施提供载体</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w:t>
            </w:r>
            <w:r>
              <w:rPr>
                <w:rFonts w:asciiTheme="minorEastAsia" w:hAnsiTheme="minorEastAsia" w:eastAsiaTheme="minorEastAsia"/>
                <w:color w:val="auto"/>
                <w:sz w:val="15"/>
                <w:szCs w:val="15"/>
                <w:highlight w:val="none"/>
              </w:rPr>
              <w:t>十八条第二款</w:t>
            </w:r>
            <w:r>
              <w:rPr>
                <w:rFonts w:hint="eastAsia" w:asciiTheme="minorEastAsia" w:hAnsiTheme="minorEastAsia" w:eastAsiaTheme="minorEastAsia"/>
                <w:color w:val="auto"/>
                <w:sz w:val="15"/>
                <w:szCs w:val="15"/>
                <w:highlight w:val="none"/>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第四十九条第二款，</w:t>
            </w:r>
            <w:r>
              <w:rPr>
                <w:rFonts w:hint="eastAsia" w:asciiTheme="minorEastAsia" w:hAnsiTheme="minorEastAsia" w:eastAsiaTheme="minorEastAsia"/>
                <w:color w:val="auto"/>
                <w:sz w:val="15"/>
                <w:szCs w:val="15"/>
                <w:highlight w:val="none"/>
              </w:rPr>
              <w:t>责令限期改正；逾期不改正的，处一万元以上十万元以下罚款。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1.违法设置大型户外广告设施的，系数为2；2.违法设置距地十米以上的户外广告设施的，系数为2；</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3.为2处违法设置户外广告设施提供载体的，系数为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5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违法设置固定式牌匾标识</w:t>
            </w:r>
          </w:p>
          <w:p>
            <w:pPr>
              <w:spacing w:line="232" w:lineRule="exact"/>
              <w:rPr>
                <w:rFonts w:cs="宋体" w:asciiTheme="minorEastAsia" w:hAnsiTheme="minorEastAsia" w:eastAsiaTheme="minorEastAsia"/>
                <w:color w:val="auto"/>
                <w:kern w:val="0"/>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snapToGrid w:val="0"/>
                <w:color w:val="auto"/>
                <w:kern w:val="32"/>
                <w:sz w:val="15"/>
                <w:szCs w:val="15"/>
                <w:highlight w:val="none"/>
              </w:rPr>
            </w:pPr>
            <w:r>
              <w:rPr>
                <w:rFonts w:hint="eastAsia" w:asciiTheme="minorEastAsia" w:hAnsiTheme="minorEastAsia" w:eastAsiaTheme="minorEastAsia"/>
                <w:color w:val="auto"/>
                <w:sz w:val="15"/>
                <w:szCs w:val="15"/>
                <w:highlight w:val="none"/>
              </w:rPr>
              <w:t>违反条款：第三十条；第三十一条；第三十五条第二款；</w:t>
            </w:r>
            <w:r>
              <w:rPr>
                <w:rFonts w:hint="eastAsia" w:asciiTheme="minorEastAsia" w:hAnsiTheme="minorEastAsia" w:eastAsiaTheme="minorEastAsia"/>
                <w:snapToGrid w:val="0"/>
                <w:color w:val="auto"/>
                <w:kern w:val="32"/>
                <w:sz w:val="15"/>
                <w:szCs w:val="15"/>
                <w:highlight w:val="none"/>
              </w:rPr>
              <w:t>（根据发生违法行为选择适用）</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处罚条款：第四十九条第三款，以及《北京市市容环境卫生条例》第三十九条第一款，责令限期改正，逾期不改正的，予以强制拆除，并可处500元以上5000元以下罚款。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1.违法设置大型固定式牌匾标识的，系数为2；2.违法设置距地十米以上的固定式牌匾标识的，系数为2；3.违法设置2处牌匾标识的，系数为</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both"/>
              <w:textAlignment w:val="auto"/>
              <w:rPr>
                <w:color w:val="auto"/>
                <w:highlight w:val="none"/>
              </w:rPr>
            </w:pPr>
            <w:r>
              <w:rPr>
                <w:rFonts w:hint="eastAsia" w:cs="Times New Roman" w:asciiTheme="minorEastAsia" w:hAnsiTheme="minorEastAsia" w:eastAsiaTheme="minorEastAsia"/>
                <w:color w:val="auto"/>
                <w:kern w:val="2"/>
                <w:sz w:val="15"/>
                <w:szCs w:val="15"/>
                <w:highlight w:val="none"/>
                <w:lang w:val="en-US" w:eastAsia="zh-CN" w:bidi="ar-SA"/>
              </w:rPr>
              <w:t>大型固定式牌匾标识，是指任意边长大于等于四米，或者面积大于等于十平方米的牌匾标识。</w:t>
            </w:r>
          </w:p>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电子显示装置不符合设置规范（或者运行时间要求）</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处罚条款：第五十条，责令限期改正；逾期不改正的，处一千元以上一万元以下罚款。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1.大型电子显示装置，系数为2；</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2.距地十米以上的电子显示装置，系数为2。</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未按照公共汽电车车身户外广告设置方案设置户外广告</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处罚条款：第五十一条，责令限期改正；逾期不改正的，按照每辆车五千元处以罚款。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罚款数额＝5000×N（N为车辆数）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在非公共汽电车车身上设置广告</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违反条款：第二十六条第二款。</w:t>
            </w:r>
          </w:p>
          <w:p>
            <w:pPr>
              <w:spacing w:line="232" w:lineRule="exact"/>
              <w:rPr>
                <w:rFonts w:asciiTheme="minorEastAsia" w:hAnsiTheme="minorEastAsia" w:eastAsiaTheme="minorEastAsia"/>
                <w:color w:val="auto"/>
                <w:spacing w:val="-6"/>
                <w:sz w:val="15"/>
                <w:szCs w:val="15"/>
                <w:highlight w:val="none"/>
              </w:rPr>
            </w:pPr>
            <w:r>
              <w:rPr>
                <w:rFonts w:hint="eastAsia" w:asciiTheme="minorEastAsia" w:hAnsiTheme="minorEastAsia" w:eastAsiaTheme="minorEastAsia"/>
                <w:color w:val="auto"/>
                <w:spacing w:val="-6"/>
                <w:sz w:val="15"/>
                <w:szCs w:val="15"/>
                <w:highlight w:val="none"/>
              </w:rPr>
              <w:t>处罚条款：第五十一条，责令限期改正；逾期不改正的，按照每辆车五千元处以罚款。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罚款数额＝5000×N（N为车辆数）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公交候车亭户外广告设施不符合设置方案</w:t>
            </w:r>
          </w:p>
          <w:p>
            <w:pPr>
              <w:spacing w:line="232" w:lineRule="exact"/>
              <w:rPr>
                <w:rFonts w:cs="宋体" w:asciiTheme="minorEastAsia" w:hAnsiTheme="minorEastAsia" w:eastAsiaTheme="minorEastAsia"/>
                <w:color w:val="auto"/>
                <w:kern w:val="0"/>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违反条款：第二十七条第二款。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处罚条款：第五十二条，责令限期改正；逾期不改正的，按照每个公交候车亭五千元处以罚款。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罚款数额＝5000×N（N为公交候车亭数）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设置的车身标识不符合要求</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处罚条款：第五十三条，责令限期改正；逾期不改正的，按照每辆车二千元处以罚款。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罚款数额＝2000×N（N为车辆数）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4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未经许可设置标语宣传品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处罚条款：第五十四条第一款，责令立即改正；造成恶劣影响或者拒不改正的，处五百元以上五千元以下罚款。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1.利用交通、照明、电力、通信、邮政、环境卫生等公共设施设置的，系数为2；2.影响设施载体正常使用的，系数为2；3.未经许可设置标语宣传品引发有关事故的，系数为4。</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4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设置标语宣传品不符合相关要求</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违反条款：第三十七条、第三十八条、第三十九条；（根据不同情形选择适用）</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处罚条款：第五十四条第一款，责令立即改正；造成恶劣影响或者拒不改正的，处五百元以上五千元以下罚款。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1.设置2个不符合要求标语宣传品的，系数为2，以此类推</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9个及以上的，系数9</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color w:val="auto"/>
                <w:sz w:val="15"/>
                <w:szCs w:val="15"/>
                <w:highlight w:val="none"/>
              </w:rPr>
              <w:t>2.影响设施载体正常使用的，系数为2；3.设置标语宣传品不符合要求引发有关事故的，系数为4。</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9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所有人未履行安全管理责任</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违反条款：第四十条第一款第(一)项、第(三)项、第(四)项、第(五)项；（根据不同情形选择适用）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处罚条款：第五十五条第一款，责令其履行相关责任，恢复相关设施正常功能，处一千元以上一万元以下罚款。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eastAsiaTheme="minorEastAsia"/>
                <w:color w:val="auto"/>
                <w:highlight w:val="none"/>
                <w:lang w:val="en-US" w:eastAsia="zh-CN"/>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2；2.大型户外广告设施、固定式牌匾标识，系数为2；3.距地十米以上的户外广告设施、牌匾标识，系数为2。</w:t>
            </w:r>
            <w:r>
              <w:rPr>
                <w:rFonts w:hint="eastAsia" w:asciiTheme="minorEastAsia" w:hAnsiTheme="minorEastAsia" w:eastAsiaTheme="minorEastAsia"/>
                <w:color w:val="auto"/>
                <w:sz w:val="15"/>
                <w:szCs w:val="15"/>
                <w:highlight w:val="none"/>
                <w:lang w:val="en-US" w:eastAsia="zh-CN"/>
              </w:rPr>
              <w:t>4.其他存在严重安全隐患或者造成安全事故的，系数9。</w:t>
            </w:r>
          </w:p>
        </w:tc>
        <w:tc>
          <w:tcPr>
            <w:tcW w:w="1785" w:type="dxa"/>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tc>
        <w:tc>
          <w:tcPr>
            <w:tcW w:w="824"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4"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9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未定期对大型（或者距地十米以上的）户外广告设施进行安全鉴定</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处罚条款：第五十五条第二款，责令限期改正；逾期不改正的，按照违法设置户外广告设施的行为处理，</w:t>
            </w:r>
            <w:r>
              <w:rPr>
                <w:rFonts w:asciiTheme="minorEastAsia" w:hAnsiTheme="minorEastAsia" w:eastAsiaTheme="minorEastAsia"/>
                <w:color w:val="auto"/>
                <w:sz w:val="15"/>
                <w:szCs w:val="15"/>
                <w:highlight w:val="none"/>
              </w:rPr>
              <w:t>以及</w:t>
            </w:r>
            <w:r>
              <w:rPr>
                <w:rFonts w:hint="eastAsia" w:asciiTheme="minorEastAsia" w:hAnsiTheme="minorEastAsia" w:eastAsiaTheme="minorEastAsia"/>
                <w:color w:val="auto"/>
                <w:sz w:val="15"/>
                <w:szCs w:val="15"/>
                <w:highlight w:val="none"/>
              </w:rPr>
              <w:t>《北京市市容环境卫生条例》第三十八条第二款，责令限期拆除，逾期未拆除的，强制拆除，并可处1万元以上10万元以下罚款。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为2；2.因未安全鉴定引发户外广告设施掉落等行为影响公共安全的，系数为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实施处罚援引法律依据时，应当同时援引《条例》第五十五条第二款，以及《北京市市容环境卫生条例》第三十八条第二款规定</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4"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未定期对大型（或者距地十米以上的）固定式牌匾标识进行安全鉴定</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处罚条款：第五十五条第二款，责令限期改正；逾期不改正的，按照违法设置固定式牌匾标识的行为处理，</w:t>
            </w:r>
            <w:r>
              <w:rPr>
                <w:rFonts w:asciiTheme="minorEastAsia" w:hAnsiTheme="minorEastAsia" w:eastAsiaTheme="minorEastAsia"/>
                <w:color w:val="auto"/>
                <w:sz w:val="15"/>
                <w:szCs w:val="15"/>
                <w:highlight w:val="none"/>
              </w:rPr>
              <w:t>以及</w:t>
            </w:r>
            <w:r>
              <w:rPr>
                <w:rFonts w:hint="eastAsia" w:asciiTheme="minorEastAsia" w:hAnsiTheme="minorEastAsia" w:eastAsiaTheme="minorEastAsia"/>
                <w:color w:val="auto"/>
                <w:sz w:val="15"/>
                <w:szCs w:val="15"/>
                <w:highlight w:val="none"/>
              </w:rPr>
              <w:t>《北京市市容环境卫生条例》第三十九条第一款，责令限期改正，逾期不改正的，予以强制拆除，并可处500元以上5000元以下罚款。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1.设置在车站、机场、居民小区、医院、学校、体育场馆、影剧院、繁华商业街区、旅游景区等人口集中地区的，系数为2；2.因未安全鉴定引发牌匾标识掉落等行为影响公共安全的，系数为9。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实施处罚援引法律依据时，应当同时援引《条例》第五十五条第二款，以及《北京市市容环境卫生条例》第三十九条第一款规定</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3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所有人未履行日常维护责任</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违反条款：第四十一条第(一)项、第（二）项、第(三)项、第(四)项；（根据不同情形选择适用）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处罚条款：第五十五条第一款，责令其履行相关责任，恢复相关设施正常功能，处一千元以上一万元以下罚款。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1.设置在环路、高（快）速路两侧，或者车站、机场、居民小区、医院、学校、体育场馆、影剧院、繁华商业街区、旅游景区等人口集中地区的，系数2；2.大型户外广告设施、固定式牌匾标识，变量系数为2；</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3.距地十米以上的户外广告设施、牌匾标识，变量系数为2。</w:t>
            </w:r>
          </w:p>
        </w:tc>
        <w:tc>
          <w:tcPr>
            <w:tcW w:w="1785" w:type="dxa"/>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2"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28" w:name="_Toc110851445"/>
            <w:bookmarkStart w:id="29" w:name="_Toc295250662"/>
            <w:bookmarkStart w:id="30" w:name="_Toc1597132697"/>
            <w:r>
              <w:rPr>
                <w:rFonts w:hint="eastAsia" w:asciiTheme="minorEastAsia" w:hAnsiTheme="minorEastAsia" w:eastAsiaTheme="minorEastAsia"/>
                <w:color w:val="auto"/>
                <w:sz w:val="21"/>
                <w:szCs w:val="21"/>
                <w:highlight w:val="none"/>
              </w:rPr>
              <w:t>《北京市标语宣传品设置管理规定》案由6项</w:t>
            </w:r>
            <w:bookmarkEnd w:id="28"/>
            <w:bookmarkEnd w:id="29"/>
            <w:bookmarkEnd w:id="3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标语宣传品含有商业广告内容</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 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改变固定宣传设施的使用性质用于商业广告</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 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w:t>
            </w:r>
            <w:r>
              <w:rPr>
                <w:rFonts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rPr>
              <w:t>其它处罚额度决定的，说明理由，报案审会决定</w:t>
            </w:r>
            <w:r>
              <w:rPr>
                <w:rFonts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8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未经批准设置标语宣传品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处罚条款：第十九条，责令限期改正，并可处500元以上5000以下罚款。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1.利用交通、照明、电力、通信、邮政、环境卫生等公共设施设置的，系数为2；2.影响设施载体正常使用的，系数为2；3.未经许可设置标语宣传品引发有关事故的，系数为4。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未按批准要求设置标语宣传品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违反条款：第十四条；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处罚条款：第十九条，责令限期改正，并可处500元以上5000以下罚款。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1.设置2个不符合要求标语宣传品的，系数为2，以此类推</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9个及以上的，系数9</w:t>
            </w:r>
            <w:r>
              <w:rPr>
                <w:rFonts w:hint="eastAsia" w:asciiTheme="minorEastAsia" w:hAnsiTheme="minorEastAsia" w:eastAsiaTheme="minorEastAsia"/>
                <w:color w:val="auto"/>
                <w:sz w:val="15"/>
                <w:szCs w:val="15"/>
                <w:highlight w:val="none"/>
              </w:rPr>
              <w:t>；2.影响设施载体正常使用的，系数为2；3.设置标语宣传品不符合要求引发有关事故的，系数为4。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2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未按规定管护宣传设施或者标语宣传品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处罚条款：第二十条第一款 责令限期改正，可处100元以上1000元以下罚款。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车站、机场、居民小区、医院、学校、体育场馆、影剧院、繁华商业街区、旅游景区等人口集中地区的固定宣传设施不安全不牢固的，系数为5；上述区域污损、残缺的，系数为3。</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9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未及时撤除标语宣传品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处罚条款：第二十条第一款 责令限期改正，可处100元以上1000元以下罚款。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按照《基准》的有关规定执行</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w:t>
            </w:r>
            <w:r>
              <w:rPr>
                <w:rFonts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rPr>
              <w:t>其它处罚额度决定的，说明理由，报案审会决定</w:t>
            </w:r>
            <w:r>
              <w:rPr>
                <w:rFonts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7"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31" w:name="_Toc2072230684"/>
            <w:bookmarkStart w:id="32" w:name="_Toc110851446"/>
            <w:bookmarkStart w:id="33" w:name="_Toc1608572295"/>
            <w:r>
              <w:rPr>
                <w:rFonts w:hint="eastAsia" w:asciiTheme="minorEastAsia" w:hAnsiTheme="minorEastAsia" w:eastAsiaTheme="minorEastAsia"/>
                <w:color w:val="auto"/>
                <w:sz w:val="21"/>
                <w:szCs w:val="21"/>
                <w:highlight w:val="none"/>
              </w:rPr>
              <w:t>《北京市城市道路和公共场所环境卫生管理若干规定》案由7项</w:t>
            </w:r>
            <w:bookmarkEnd w:id="31"/>
            <w:bookmarkEnd w:id="32"/>
            <w:bookmarkEnd w:id="3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8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未按规定清扫保洁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违反条款：第六条第（一）项、第（二）项、第（三）项、第（四）项、第（五）项、第（七）项；处罚条款：第十条第（一）项，责令改正，并可处100元以上1000元以下罚款。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存在较大隐患或者造成较大社会影响的，系数5-9。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根据实际情况，选择对应款项。</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不及时清理果皮箱、垃圾箱</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造成较大社会影响的，系数5-9。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未保持果皮箱、垃圾箱箱体整洁</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造成较大社会影响的，系数5-9。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果皮箱、垃圾箱周围严重脏乱</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造成较大社会影响的，系数5-9。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公共设施管护作业（绿化作业）未按规定清除废弃物</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违反条款：第七条第二款；处罚条款：第十条第（三）项，责令限期清理，并可处500元以上5000元以下罚款。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严重影响市容环境卫生或者造成较大社会影响的，系数5-9。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lang w:eastAsia="zh-CN"/>
              </w:rPr>
              <w:t>＋变量系数</w:t>
            </w:r>
            <w:r>
              <w:rPr>
                <w:rFonts w:hint="eastAsia" w:cs="宋体" w:asciiTheme="minorEastAsia" w:hAnsiTheme="minorEastAsia" w:eastAsiaTheme="minorEastAsia"/>
                <w:color w:val="auto"/>
                <w:kern w:val="0"/>
                <w:sz w:val="15"/>
                <w:szCs w:val="15"/>
                <w:highlight w:val="none"/>
                <w:lang w:eastAsia="zh-CN"/>
              </w:rPr>
              <w:t>＋区域系数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6" w:hRule="atLeast"/>
          <w:jc w:val="center"/>
        </w:trPr>
        <w:tc>
          <w:tcPr>
            <w:tcW w:w="9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未做好施工期间压尘和清扫保洁</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违反条款：第八条；处罚条款：第十条第（四）项，责令限期改正，并处2000元以上2万元以下罚款。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50" w:hRule="atLeast"/>
          <w:jc w:val="center"/>
        </w:trPr>
        <w:tc>
          <w:tcPr>
            <w:tcW w:w="9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建设工程竣工后未及时清除弃物弃料、围挡</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违反条款：第八条；处罚条款：第十条第（四）项，责令限期改正，并处2000元以上2万元以下罚款。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经责令改正</w:t>
            </w:r>
            <w:r>
              <w:rPr>
                <w:rFonts w:hint="eastAsia" w:cs="宋体" w:asciiTheme="minorEastAsia" w:hAnsiTheme="minorEastAsia" w:eastAsiaTheme="minorEastAsia"/>
                <w:color w:val="auto"/>
                <w:kern w:val="0"/>
                <w:sz w:val="15"/>
                <w:szCs w:val="15"/>
                <w:highlight w:val="none"/>
              </w:rPr>
              <w:t>逾期不清除</w:t>
            </w:r>
            <w:r>
              <w:rPr>
                <w:rFonts w:hint="eastAsia" w:cs="宋体" w:asciiTheme="minorEastAsia" w:hAnsiTheme="minorEastAsia" w:eastAsiaTheme="minorEastAsia"/>
                <w:color w:val="auto"/>
                <w:kern w:val="0"/>
                <w:sz w:val="15"/>
                <w:szCs w:val="15"/>
                <w:highlight w:val="none"/>
                <w:lang w:eastAsia="zh-CN"/>
              </w:rPr>
              <w:t>围挡</w:t>
            </w:r>
            <w:r>
              <w:rPr>
                <w:rFonts w:hint="eastAsia" w:cs="宋体" w:asciiTheme="minorEastAsia" w:hAnsiTheme="minorEastAsia" w:eastAsiaTheme="minorEastAsia"/>
                <w:color w:val="auto"/>
                <w:kern w:val="0"/>
                <w:sz w:val="15"/>
                <w:szCs w:val="15"/>
                <w:highlight w:val="none"/>
              </w:rPr>
              <w:t>的，每逾期2天，系数为１，以此累加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5" w:hRule="atLeast"/>
          <w:jc w:val="center"/>
        </w:trPr>
        <w:tc>
          <w:tcPr>
            <w:tcW w:w="14218" w:type="dxa"/>
            <w:gridSpan w:val="9"/>
            <w:shd w:val="clear" w:color="auto" w:fill="auto"/>
            <w:vAlign w:val="center"/>
          </w:tcPr>
          <w:p>
            <w:pPr>
              <w:keepNext w:val="0"/>
              <w:keepLines w:val="0"/>
              <w:pageBreakBefore w:val="0"/>
              <w:widowControl w:val="0"/>
              <w:tabs>
                <w:tab w:val="left" w:pos="5156"/>
              </w:tabs>
              <w:kinsoku/>
              <w:wordWrap/>
              <w:overflowPunct/>
              <w:topLinePunct w:val="0"/>
              <w:autoSpaceDE/>
              <w:autoSpaceDN/>
              <w:bidi w:val="0"/>
              <w:adjustRightInd/>
              <w:snapToGrid/>
              <w:spacing w:line="280" w:lineRule="exact"/>
              <w:jc w:val="center"/>
              <w:textAlignment w:val="auto"/>
              <w:rPr>
                <w:rStyle w:val="32"/>
                <w:rFonts w:asciiTheme="minorEastAsia" w:hAnsiTheme="minorEastAsia" w:eastAsiaTheme="minorEastAsia"/>
                <w:color w:val="auto"/>
                <w:sz w:val="15"/>
                <w:szCs w:val="15"/>
                <w:highlight w:val="none"/>
              </w:rPr>
            </w:pPr>
            <w:bookmarkStart w:id="34" w:name="_Toc110851447"/>
            <w:bookmarkStart w:id="35" w:name="_Toc660874911"/>
            <w:bookmarkStart w:id="36" w:name="_Toc873097592"/>
            <w:r>
              <w:rPr>
                <w:rStyle w:val="32"/>
                <w:rFonts w:hint="eastAsia" w:asciiTheme="minorEastAsia" w:hAnsiTheme="minorEastAsia" w:eastAsiaTheme="minorEastAsia"/>
                <w:color w:val="auto"/>
                <w:sz w:val="21"/>
                <w:szCs w:val="21"/>
                <w:highlight w:val="none"/>
              </w:rPr>
              <w:t>《北京市建筑</w:t>
            </w:r>
            <w:r>
              <w:rPr>
                <w:rStyle w:val="32"/>
                <w:rFonts w:asciiTheme="minorEastAsia" w:hAnsiTheme="minorEastAsia" w:eastAsiaTheme="minorEastAsia"/>
                <w:color w:val="auto"/>
                <w:sz w:val="21"/>
                <w:szCs w:val="21"/>
                <w:highlight w:val="none"/>
              </w:rPr>
              <w:t>垃圾处置管理规定</w:t>
            </w:r>
            <w:r>
              <w:rPr>
                <w:rStyle w:val="32"/>
                <w:rFonts w:hint="eastAsia" w:asciiTheme="minorEastAsia" w:hAnsiTheme="minorEastAsia" w:eastAsiaTheme="minorEastAsia"/>
                <w:color w:val="auto"/>
                <w:sz w:val="21"/>
                <w:szCs w:val="21"/>
                <w:highlight w:val="none"/>
              </w:rPr>
              <w:t>》案由</w:t>
            </w:r>
            <w:r>
              <w:rPr>
                <w:rStyle w:val="32"/>
                <w:rFonts w:hint="eastAsia" w:asciiTheme="minorEastAsia" w:hAnsiTheme="minorEastAsia" w:eastAsiaTheme="minorEastAsia"/>
                <w:color w:val="auto"/>
                <w:sz w:val="21"/>
                <w:szCs w:val="21"/>
                <w:highlight w:val="none"/>
                <w:lang w:val="en-US" w:eastAsia="zh-CN"/>
              </w:rPr>
              <w:t>22</w:t>
            </w:r>
            <w:r>
              <w:rPr>
                <w:rStyle w:val="32"/>
                <w:rFonts w:hint="eastAsia" w:asciiTheme="minorEastAsia" w:hAnsiTheme="minorEastAsia" w:eastAsiaTheme="minorEastAsia"/>
                <w:color w:val="auto"/>
                <w:sz w:val="21"/>
                <w:szCs w:val="21"/>
                <w:highlight w:val="none"/>
              </w:rPr>
              <w:t>项</w:t>
            </w:r>
            <w:bookmarkEnd w:id="34"/>
          </w:p>
          <w:bookmarkEnd w:id="35"/>
          <w:bookmarkEnd w:id="36"/>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随意倾倒、抛撒或者堆放建筑垃圾</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处罚条款：第三十四条第一款 责令限期改正，给予警告，对单位处10万元以上100万元以下罚款，对产生建筑垃圾的个人处200元以下罚款。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系数为</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rPr>
              <w:t>系数2，以此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asciiTheme="minorEastAsia" w:hAnsiTheme="minorEastAsia" w:eastAsiaTheme="minorEastAsia"/>
                <w:b w:val="0"/>
                <w:bCs w:val="0"/>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污染道路长21－30米的，系数1；31－40米的，系数2；以此类推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stheme="minorEastAsia"/>
                <w:b w:val="0"/>
                <w:bCs w:val="0"/>
                <w:color w:val="auto"/>
                <w:sz w:val="15"/>
                <w:szCs w:val="15"/>
                <w:highlight w:val="none"/>
                <w:lang w:val="en-US" w:eastAsia="zh-CN"/>
              </w:rPr>
              <w:t>3.建筑垃圾重量在4.5吨以下的，系数0；4.5-9吨的，系数1，以此类推，40.5吨及以上的，系数9；在面积和长度无法取证的情况下，可以适用此情形。</w:t>
            </w:r>
            <w:r>
              <w:rPr>
                <w:rFonts w:hint="default"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.将垃圾随意倾倒、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燃气、供暖、石油长输管道、供水、排水、电力、通信等公用管道和设施保护（管理）范围的，系数3；</w:t>
            </w:r>
            <w:r>
              <w:rPr>
                <w:rFonts w:hint="default"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default" w:cs="宋体" w:asciiTheme="minorEastAsia" w:hAnsiTheme="minorEastAsia" w:eastAsiaTheme="minorEastAsia"/>
                <w:strike w:val="0"/>
                <w:dstrike w:val="0"/>
                <w:color w:val="auto"/>
                <w:kern w:val="0"/>
                <w:sz w:val="15"/>
                <w:szCs w:val="15"/>
                <w:highlight w:val="none"/>
                <w:lang w:val="en-US" w:eastAsia="zh-CN"/>
              </w:rPr>
              <w:t xml:space="preserve"> </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区域台帐与倾倒、抛撒、堆放点位重叠时，系数不累加计算。</w:t>
            </w:r>
          </w:p>
          <w:p>
            <w:pPr>
              <w:pStyle w:val="8"/>
              <w:rPr>
                <w:rFonts w:hint="eastAsia"/>
                <w:color w:val="auto"/>
                <w:highlight w:val="none"/>
                <w:lang w:eastAsia="zh-CN"/>
              </w:rPr>
            </w:pPr>
          </w:p>
          <w:p>
            <w:pPr>
              <w:pStyle w:val="8"/>
              <w:rPr>
                <w:color w:val="auto"/>
                <w:highlight w:val="none"/>
              </w:rPr>
            </w:pPr>
          </w:p>
        </w:tc>
        <w:tc>
          <w:tcPr>
            <w:tcW w:w="824" w:type="dxa"/>
            <w:vMerge w:val="restart"/>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180" w:lineRule="exact"/>
              <w:jc w:val="center"/>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8" w:hRule="atLeast"/>
          <w:jc w:val="center"/>
        </w:trPr>
        <w:tc>
          <w:tcPr>
            <w:tcW w:w="94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参照基准规定，并根据实际情况处罚。</w:t>
            </w:r>
          </w:p>
        </w:tc>
        <w:tc>
          <w:tcPr>
            <w:tcW w:w="824" w:type="dxa"/>
            <w:vMerge w:val="continue"/>
            <w:shd w:val="clear" w:color="auto" w:fill="auto"/>
            <w:vAlign w:val="center"/>
          </w:tcPr>
          <w:p>
            <w:pPr>
              <w:spacing w:line="204"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04"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建筑垃圾与其他</w:t>
            </w:r>
            <w:r>
              <w:rPr>
                <w:rFonts w:asciiTheme="minorEastAsia" w:hAnsiTheme="minorEastAsia" w:eastAsiaTheme="minorEastAsia"/>
                <w:color w:val="auto"/>
                <w:sz w:val="15"/>
                <w:szCs w:val="15"/>
                <w:highlight w:val="none"/>
              </w:rPr>
              <w:t>生活垃圾</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危险</w:t>
            </w:r>
            <w:r>
              <w:rPr>
                <w:rFonts w:hint="eastAsia" w:asciiTheme="minorEastAsia" w:hAnsiTheme="minorEastAsia" w:eastAsiaTheme="minorEastAsia"/>
                <w:color w:val="auto"/>
                <w:sz w:val="15"/>
                <w:szCs w:val="15"/>
                <w:highlight w:val="none"/>
              </w:rPr>
              <w:t>废物</w:t>
            </w:r>
            <w:r>
              <w:rPr>
                <w:rFonts w:asciiTheme="minorEastAsia" w:hAnsiTheme="minorEastAsia" w:eastAsiaTheme="minorEastAsia"/>
                <w:color w:val="auto"/>
                <w:sz w:val="15"/>
                <w:szCs w:val="15"/>
                <w:highlight w:val="none"/>
              </w:rPr>
              <w:t>混合</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第六条第二款；</w:t>
            </w:r>
            <w:r>
              <w:rPr>
                <w:rFonts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w:t>
            </w:r>
            <w:r>
              <w:rPr>
                <w:rFonts w:asciiTheme="minorEastAsia" w:hAnsiTheme="minorEastAsia" w:eastAsiaTheme="minorEastAsia"/>
                <w:color w:val="auto"/>
                <w:sz w:val="15"/>
                <w:szCs w:val="15"/>
                <w:highlight w:val="none"/>
              </w:rPr>
              <w:t>四条第三款</w:t>
            </w:r>
            <w:r>
              <w:rPr>
                <w:rFonts w:hint="eastAsia" w:asciiTheme="minorEastAsia" w:hAnsiTheme="minorEastAsia" w:eastAsiaTheme="minorEastAsia"/>
                <w:color w:val="auto"/>
                <w:sz w:val="15"/>
                <w:szCs w:val="15"/>
                <w:highlight w:val="none"/>
              </w:rPr>
              <w:t xml:space="preserve"> 责令立即改正，处1000元罚款；再次违反规定的，处1万元以上5万元以下罚款。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（单位初次</w:t>
            </w:r>
            <w:r>
              <w:rPr>
                <w:rFonts w:asciiTheme="minorEastAsia" w:hAnsiTheme="minorEastAsia" w:eastAsiaTheme="minorEastAsia"/>
                <w:color w:val="auto"/>
                <w:sz w:val="15"/>
                <w:szCs w:val="15"/>
                <w:highlight w:val="none"/>
              </w:rPr>
              <w:t>违反</w:t>
            </w:r>
            <w:r>
              <w:rPr>
                <w:rFonts w:hint="eastAsia" w:asciiTheme="minorEastAsia" w:hAnsiTheme="minorEastAsia" w:eastAsiaTheme="minorEastAsia"/>
                <w:color w:val="auto"/>
                <w:sz w:val="15"/>
                <w:szCs w:val="15"/>
                <w:highlight w:val="none"/>
              </w:rPr>
              <w:t>）</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w:t>
            </w:r>
            <w:r>
              <w:rPr>
                <w:rFonts w:asciiTheme="minorEastAsia" w:hAnsiTheme="minorEastAsia" w:eastAsiaTheme="minorEastAsia"/>
                <w:color w:val="auto"/>
                <w:sz w:val="15"/>
                <w:szCs w:val="15"/>
                <w:highlight w:val="none"/>
              </w:rPr>
              <w:t>规定执行</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4"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（单位</w:t>
            </w:r>
            <w:r>
              <w:rPr>
                <w:rFonts w:asciiTheme="minorEastAsia" w:hAnsiTheme="minorEastAsia" w:eastAsiaTheme="minorEastAsia"/>
                <w:color w:val="auto"/>
                <w:sz w:val="15"/>
                <w:szCs w:val="15"/>
                <w:highlight w:val="none"/>
              </w:rPr>
              <w:t>再次违反）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.建筑垃圾混合危险废物的，系数为2；</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.建筑垃圾同时混合生活垃圾、危险废物，系数为3；</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违法事件持续较长，建筑垃圾与其他生活垃圾、危险废物混合产生量较大，造成环境秩序较严重影响的，系数为4</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曾因此违法行为受到过行政处罚，再次违反的适用此情形。</w:t>
            </w:r>
          </w:p>
        </w:tc>
        <w:tc>
          <w:tcPr>
            <w:tcW w:w="824" w:type="dxa"/>
            <w:vMerge w:val="restart"/>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04"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处罚条款：第三十四条第四款 给予书面警告，再次违反规定的，处50元以上200元以下罚款。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警告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个人初次</w:t>
            </w:r>
            <w:r>
              <w:rPr>
                <w:rFonts w:asciiTheme="minorEastAsia" w:hAnsiTheme="minorEastAsia" w:eastAsiaTheme="minorEastAsia"/>
                <w:color w:val="auto"/>
                <w:sz w:val="15"/>
                <w:szCs w:val="15"/>
                <w:highlight w:val="none"/>
              </w:rPr>
              <w:t>违反）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个人拒不听从生活垃圾分类管理责任人劝阻，且拒不改正的，适用此情形。初次违反的，书面警告。</w:t>
            </w:r>
          </w:p>
        </w:tc>
        <w:tc>
          <w:tcPr>
            <w:tcW w:w="824"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r>
              <w:rPr>
                <w:rFonts w:asciiTheme="minorEastAsia" w:hAnsiTheme="minorEastAsia" w:eastAsiaTheme="minorEastAsia"/>
                <w:color w:val="auto"/>
                <w:sz w:val="15"/>
                <w:szCs w:val="15"/>
                <w:highlight w:val="none"/>
              </w:rPr>
              <w:t>再次违反</w:t>
            </w:r>
            <w:r>
              <w:rPr>
                <w:rFonts w:hint="eastAsia" w:asciiTheme="minorEastAsia" w:hAnsiTheme="minorEastAsia" w:eastAsiaTheme="minorEastAsia"/>
                <w:color w:val="auto"/>
                <w:sz w:val="15"/>
                <w:szCs w:val="15"/>
                <w:highlight w:val="none"/>
              </w:rPr>
              <w:t>）</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个人拒不听从生活垃圾分类管理责任人劝阻，且拒不改正的，适用此情形。</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2.曾因此违法行为受过到行政处罚，再次违反的适用此情形。</w:t>
            </w:r>
          </w:p>
        </w:tc>
        <w:tc>
          <w:tcPr>
            <w:tcW w:w="824"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生活垃圾</w:t>
            </w:r>
            <w:r>
              <w:rPr>
                <w:rFonts w:asciiTheme="minorEastAsia" w:hAnsiTheme="minorEastAsia" w:eastAsiaTheme="minorEastAsia"/>
                <w:color w:val="auto"/>
                <w:sz w:val="15"/>
                <w:szCs w:val="15"/>
                <w:highlight w:val="none"/>
              </w:rPr>
              <w:t>分类管理</w:t>
            </w:r>
            <w:r>
              <w:rPr>
                <w:rFonts w:hint="eastAsia" w:asciiTheme="minorEastAsia" w:hAnsiTheme="minorEastAsia" w:eastAsiaTheme="minorEastAsia"/>
                <w:color w:val="auto"/>
                <w:sz w:val="15"/>
                <w:szCs w:val="15"/>
                <w:highlight w:val="none"/>
                <w:shd w:val="clear" w:fill="FF0000"/>
                <w:lang w:eastAsia="zh-CN"/>
              </w:rPr>
              <w:t>责任</w:t>
            </w:r>
            <w:r>
              <w:rPr>
                <w:rFonts w:asciiTheme="minorEastAsia" w:hAnsiTheme="minorEastAsia" w:eastAsiaTheme="minorEastAsia"/>
                <w:color w:val="auto"/>
                <w:sz w:val="15"/>
                <w:szCs w:val="15"/>
                <w:highlight w:val="none"/>
              </w:rPr>
              <w:t>人</w:t>
            </w:r>
            <w:r>
              <w:rPr>
                <w:rFonts w:hint="eastAsia" w:asciiTheme="minorEastAsia" w:hAnsiTheme="minorEastAsia" w:eastAsiaTheme="minorEastAsia"/>
                <w:color w:val="auto"/>
                <w:sz w:val="15"/>
                <w:szCs w:val="15"/>
                <w:highlight w:val="none"/>
              </w:rPr>
              <w:t>对居民装饰装修产生的建筑垃圾未制定治理方案</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第三十五条 责令立即改正，处3000元以上3万元以下罚款。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3000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对环境造成影响的</w:t>
            </w:r>
            <w:r>
              <w:rPr>
                <w:rFonts w:hint="eastAsia" w:asciiTheme="minorEastAsia" w:hAnsiTheme="minorEastAsia" w:eastAsiaTheme="minorEastAsia"/>
                <w:color w:val="auto"/>
                <w:sz w:val="15"/>
                <w:szCs w:val="15"/>
                <w:highlight w:val="none"/>
                <w:lang w:eastAsia="zh-CN"/>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lang w:val="en-US" w:eastAsia="zh-CN"/>
              </w:rPr>
              <w:t>6-9。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30</w:t>
            </w:r>
            <w:r>
              <w:rPr>
                <w:rFonts w:asciiTheme="minorEastAsia" w:hAnsiTheme="minorEastAsia" w:eastAsiaTheme="minorEastAsia"/>
                <w:color w:val="auto"/>
                <w:sz w:val="15"/>
                <w:szCs w:val="15"/>
                <w:highlight w:val="none"/>
              </w:rPr>
              <w:t>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13"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w:t>
            </w:r>
            <w:r>
              <w:rPr>
                <w:rFonts w:asciiTheme="minorEastAsia" w:hAnsiTheme="minorEastAsia" w:eastAsiaTheme="minorEastAsia"/>
                <w:color w:val="auto"/>
                <w:sz w:val="15"/>
                <w:szCs w:val="15"/>
                <w:highlight w:val="none"/>
              </w:rPr>
              <w:t>垃圾分类管理责任人</w:t>
            </w:r>
            <w:r>
              <w:rPr>
                <w:rFonts w:hint="eastAsia" w:asciiTheme="minorEastAsia" w:hAnsiTheme="minorEastAsia" w:eastAsiaTheme="minorEastAsia"/>
                <w:color w:val="auto"/>
                <w:sz w:val="15"/>
                <w:szCs w:val="15"/>
                <w:highlight w:val="none"/>
              </w:rPr>
              <w:t>未明确建筑垃圾投放规范、时间和地点、监督投诉方式等事项</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处罚条款：第三十五条 责令立即改正，处3000元以上3万元以下罚款。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1.有</w:t>
            </w:r>
            <w:r>
              <w:rPr>
                <w:rFonts w:asciiTheme="minorEastAsia" w:hAnsiTheme="minorEastAsia" w:eastAsiaTheme="minorEastAsia"/>
                <w:color w:val="auto"/>
                <w:sz w:val="15"/>
                <w:szCs w:val="15"/>
                <w:highlight w:val="none"/>
              </w:rPr>
              <w:t>治理方案的</w:t>
            </w:r>
            <w:r>
              <w:rPr>
                <w:rFonts w:hint="eastAsia" w:asciiTheme="minorEastAsia" w:hAnsiTheme="minorEastAsia" w:eastAsiaTheme="minorEastAsia"/>
                <w:color w:val="auto"/>
                <w:sz w:val="15"/>
                <w:szCs w:val="15"/>
                <w:highlight w:val="none"/>
              </w:rPr>
              <w:t>，但明确</w:t>
            </w:r>
            <w:r>
              <w:rPr>
                <w:rFonts w:asciiTheme="minorEastAsia" w:hAnsiTheme="minorEastAsia" w:eastAsiaTheme="minorEastAsia"/>
                <w:color w:val="auto"/>
                <w:sz w:val="15"/>
                <w:szCs w:val="15"/>
                <w:highlight w:val="none"/>
              </w:rPr>
              <w:t>事项造成缺项，系数为</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；2.有</w:t>
            </w:r>
            <w:r>
              <w:rPr>
                <w:rFonts w:asciiTheme="minorEastAsia" w:hAnsiTheme="minorEastAsia" w:eastAsiaTheme="minorEastAsia"/>
                <w:color w:val="auto"/>
                <w:sz w:val="15"/>
                <w:szCs w:val="15"/>
                <w:highlight w:val="none"/>
              </w:rPr>
              <w:t>治理方案的，</w:t>
            </w:r>
            <w:r>
              <w:rPr>
                <w:rFonts w:hint="eastAsia" w:asciiTheme="minorEastAsia" w:hAnsiTheme="minorEastAsia" w:eastAsiaTheme="minorEastAsia"/>
                <w:color w:val="auto"/>
                <w:sz w:val="15"/>
                <w:szCs w:val="15"/>
                <w:highlight w:val="none"/>
              </w:rPr>
              <w:t>明确</w:t>
            </w:r>
            <w:r>
              <w:rPr>
                <w:rFonts w:asciiTheme="minorEastAsia" w:hAnsiTheme="minorEastAsia" w:eastAsiaTheme="minorEastAsia"/>
                <w:color w:val="auto"/>
                <w:sz w:val="15"/>
                <w:szCs w:val="15"/>
                <w:highlight w:val="none"/>
              </w:rPr>
              <w:t>事项造成缺项，且对环境</w:t>
            </w:r>
            <w:r>
              <w:rPr>
                <w:rFonts w:hint="eastAsia" w:asciiTheme="minorEastAsia" w:hAnsiTheme="minorEastAsia" w:eastAsiaTheme="minorEastAsia"/>
                <w:color w:val="auto"/>
                <w:sz w:val="15"/>
                <w:szCs w:val="15"/>
                <w:highlight w:val="none"/>
              </w:rPr>
              <w:t>秩序</w:t>
            </w:r>
            <w:r>
              <w:rPr>
                <w:rFonts w:asciiTheme="minorEastAsia" w:hAnsiTheme="minorEastAsia" w:eastAsiaTheme="minorEastAsia"/>
                <w:color w:val="auto"/>
                <w:sz w:val="15"/>
                <w:szCs w:val="15"/>
                <w:highlight w:val="none"/>
              </w:rPr>
              <w:t>造成影响的，系数为</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；3.要素</w:t>
            </w:r>
            <w:r>
              <w:rPr>
                <w:rFonts w:asciiTheme="minorEastAsia" w:hAnsiTheme="minorEastAsia" w:eastAsiaTheme="minorEastAsia"/>
                <w:color w:val="auto"/>
                <w:sz w:val="15"/>
                <w:szCs w:val="15"/>
                <w:highlight w:val="none"/>
              </w:rPr>
              <w:t>全部缺失</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对环境秩序造成</w:t>
            </w:r>
            <w:r>
              <w:rPr>
                <w:rFonts w:hint="eastAsia" w:asciiTheme="minorEastAsia" w:hAnsiTheme="minorEastAsia" w:eastAsiaTheme="minorEastAsia"/>
                <w:color w:val="auto"/>
                <w:sz w:val="15"/>
                <w:szCs w:val="15"/>
                <w:highlight w:val="none"/>
              </w:rPr>
              <w:t>较</w:t>
            </w:r>
            <w:r>
              <w:rPr>
                <w:rFonts w:asciiTheme="minorEastAsia" w:hAnsiTheme="minorEastAsia" w:eastAsiaTheme="minorEastAsia"/>
                <w:color w:val="auto"/>
                <w:sz w:val="15"/>
                <w:szCs w:val="15"/>
                <w:highlight w:val="none"/>
              </w:rPr>
              <w:t>严重影响的，系数为</w:t>
            </w:r>
            <w:r>
              <w:rPr>
                <w:rFonts w:hint="eastAsia" w:asciiTheme="minorEastAsia" w:hAnsiTheme="minorEastAsia" w:eastAsiaTheme="minorEastAsia"/>
                <w:color w:val="auto"/>
                <w:sz w:val="15"/>
                <w:szCs w:val="15"/>
                <w:highlight w:val="none"/>
              </w:rPr>
              <w:t>5</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罚款数额＝3000×（1＋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63"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建设单位（或生活垃圾分类管理责任人）委托他人</w:t>
            </w:r>
            <w:r>
              <w:rPr>
                <w:rFonts w:asciiTheme="minorEastAsia" w:hAnsiTheme="minorEastAsia" w:eastAsiaTheme="minorEastAsia"/>
                <w:color w:val="auto"/>
                <w:sz w:val="15"/>
                <w:szCs w:val="15"/>
                <w:highlight w:val="none"/>
              </w:rPr>
              <w:t>处置建筑垃圾未选择有资质的运输服务单位</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第十三条第一款第(二)项</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第三十六条 责令立即改正，处以1万元以上10万元以下罚款。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生活垃圾分类管理责任单位（</w:t>
            </w:r>
            <w:r>
              <w:rPr>
                <w:rFonts w:hint="eastAsia" w:asciiTheme="minorEastAsia" w:hAnsiTheme="minorEastAsia" w:eastAsiaTheme="minorEastAsia"/>
                <w:color w:val="auto"/>
                <w:sz w:val="15"/>
                <w:szCs w:val="15"/>
                <w:highlight w:val="none"/>
              </w:rPr>
              <w:t>不含</w:t>
            </w:r>
            <w:r>
              <w:rPr>
                <w:rFonts w:asciiTheme="minorEastAsia" w:hAnsiTheme="minorEastAsia" w:eastAsiaTheme="minorEastAsia"/>
                <w:color w:val="auto"/>
                <w:sz w:val="15"/>
                <w:szCs w:val="15"/>
                <w:highlight w:val="none"/>
              </w:rPr>
              <w:t>建设单位）</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系数为0-2</w:t>
            </w:r>
            <w:r>
              <w:rPr>
                <w:rFonts w:hint="eastAsia" w:asciiTheme="minorEastAsia" w:hAnsiTheme="minorEastAsia" w:eastAsiaTheme="minorEastAsia"/>
                <w:color w:val="auto"/>
                <w:sz w:val="15"/>
                <w:szCs w:val="15"/>
                <w:highlight w:val="none"/>
                <w:lang w:eastAsia="zh-CN"/>
              </w:rPr>
              <w:t>；</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建设单位违反规定的，系数3；3.违法行为持续时间较长、建筑垃圾产生量较大、造成环境秩序较严重影响的，系数</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2"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6</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未经许可擅自设置建筑垃圾消纳场所</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处罚条款：第三十七条第一款 责令限期清除建筑垃圾及相关设施设备，并恢复场地原状，对单位处5000元以上1万元以下罚款，对个人处3000元以下罚款；有违法所得的，没收违法所得；接收、消纳建筑垃圾，污染环境、破坏生态的，处10万元以上100万元以下罚款。没有条件恢复或者拒不恢复的，城市管理综合执法部门可以委托市容环境卫生企业代为恢复，所需费用由当事人承担，对不支付费用的，可以依法申请人民法院执行。</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按照《基准》的有关规定执行</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7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宋体"/>
                <w:b w:val="0"/>
                <w:bCs w:val="0"/>
                <w:color w:val="auto"/>
                <w:sz w:val="15"/>
                <w:szCs w:val="15"/>
                <w:highlight w:val="none"/>
                <w:lang w:val="en-US" w:eastAsia="zh-CN"/>
              </w:rPr>
            </w:pPr>
            <w:r>
              <w:rPr>
                <w:rFonts w:hint="eastAsia" w:asciiTheme="minorEastAsia" w:hAnsiTheme="minorEastAsia" w:eastAsiaTheme="minorEastAsia"/>
                <w:b w:val="0"/>
                <w:bCs w:val="0"/>
                <w:color w:val="auto"/>
                <w:sz w:val="15"/>
                <w:szCs w:val="15"/>
                <w:highlight w:val="none"/>
                <w:lang w:val="en-US" w:eastAsia="zh-CN"/>
              </w:rPr>
              <w:t>1.</w:t>
            </w:r>
            <w:r>
              <w:rPr>
                <w:rFonts w:hint="eastAsia" w:asciiTheme="minorEastAsia" w:hAnsiTheme="minorEastAsia" w:eastAsiaTheme="minorEastAsia"/>
                <w:b w:val="0"/>
                <w:bCs w:val="0"/>
                <w:color w:val="auto"/>
                <w:sz w:val="15"/>
                <w:szCs w:val="15"/>
                <w:highlight w:val="none"/>
              </w:rPr>
              <w:t>占</w:t>
            </w:r>
            <w:r>
              <w:rPr>
                <w:rFonts w:hint="eastAsia" w:eastAsia="宋体"/>
                <w:b w:val="0"/>
                <w:bCs w:val="0"/>
                <w:color w:val="auto"/>
                <w:sz w:val="15"/>
                <w:szCs w:val="15"/>
                <w:highlight w:val="none"/>
                <w:lang w:val="en-US" w:eastAsia="zh-CN"/>
              </w:rPr>
              <w:t>用基本农田、饮用水水源保护区、自然保护地核心保护区等依法确定的重点保护区域面积达到2亩的，系数为1，3亩的，系数为2，以此类推，面积8亩及以上的，系数为9；2.占用公共用地面积3-6亩（含3亩）的，系数为1，6-9亩（含6亩），系数为2，以此类推，面积24亩及以上的，系数为9；3.存在其他严重污染环境、破坏生态情形的，系数为5-9。</w:t>
            </w:r>
          </w:p>
          <w:p>
            <w:pPr>
              <w:pStyle w:val="8"/>
              <w:rPr>
                <w:rFonts w:hint="default"/>
                <w:color w:val="auto"/>
                <w:highlight w:val="none"/>
                <w:lang w:val="en-US" w:eastAsia="zh-CN"/>
              </w:rPr>
            </w:pPr>
          </w:p>
        </w:tc>
        <w:tc>
          <w:tcPr>
            <w:tcW w:w="1785"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asciiTheme="minorEastAsia" w:hAnsiTheme="minorEastAsia" w:eastAsiaTheme="minorEastAsia"/>
                <w:color w:val="auto"/>
                <w:sz w:val="15"/>
                <w:szCs w:val="15"/>
                <w:highlight w:val="none"/>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hint="default" w:eastAsia="宋体" w:cs="宋体" w:asciiTheme="minorEastAsia" w:hAnsiTheme="minorEastAsia"/>
                <w:color w:val="auto"/>
                <w:kern w:val="0"/>
                <w:sz w:val="15"/>
                <w:szCs w:val="15"/>
                <w:highlight w:val="none"/>
                <w:lang w:val="en-US" w:eastAsia="zh-CN"/>
              </w:rPr>
            </w:pPr>
            <w:r>
              <w:rPr>
                <w:rFonts w:hint="eastAsia"/>
                <w:b w:val="0"/>
                <w:bCs w:val="0"/>
                <w:color w:val="auto"/>
                <w:sz w:val="15"/>
                <w:szCs w:val="15"/>
                <w:highlight w:val="none"/>
                <w:lang w:eastAsia="zh-CN"/>
              </w:rPr>
              <w:t>存在以下情形之一的，视为“污染环境、破坏生态”：</w:t>
            </w:r>
            <w:r>
              <w:rPr>
                <w:rFonts w:hint="eastAsia"/>
                <w:b w:val="0"/>
                <w:bCs w:val="0"/>
                <w:color w:val="auto"/>
                <w:sz w:val="15"/>
                <w:szCs w:val="15"/>
                <w:highlight w:val="none"/>
                <w:lang w:val="en-US" w:eastAsia="zh-CN"/>
              </w:rPr>
              <w:t>1.占用基本农田、饮用水水源保护区、自然保护地核心保护区等依法确定的重点保护区域的；；2.占用公共用地面积3亩以上的（含3亩）；3.经环</w:t>
            </w:r>
            <w:r>
              <w:rPr>
                <w:rFonts w:hint="eastAsia" w:eastAsia="宋体"/>
                <w:b w:val="0"/>
                <w:bCs w:val="0"/>
                <w:color w:val="auto"/>
                <w:sz w:val="15"/>
                <w:szCs w:val="15"/>
                <w:highlight w:val="none"/>
                <w:lang w:val="en-US" w:eastAsia="zh-CN"/>
              </w:rPr>
              <w:t>境保护等部门认定污染环境、破坏生态的；4.其他存在严重污染环境、破坏生态情形的。</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8" w:hRule="atLeast"/>
          <w:jc w:val="center"/>
        </w:trPr>
        <w:tc>
          <w:tcPr>
            <w:tcW w:w="940"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建筑垃圾消纳场所（或临时处置点经营单位）未按照</w:t>
            </w:r>
            <w:r>
              <w:rPr>
                <w:rFonts w:asciiTheme="minorEastAsia" w:hAnsiTheme="minorEastAsia" w:eastAsiaTheme="minorEastAsia"/>
                <w:color w:val="auto"/>
                <w:sz w:val="15"/>
                <w:szCs w:val="15"/>
                <w:highlight w:val="none"/>
              </w:rPr>
              <w:t>规定设置双向称重系统</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第十七条第一款第(三)项</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三十八条第三款</w:t>
            </w:r>
            <w:r>
              <w:rPr>
                <w:rFonts w:hint="eastAsia" w:asciiTheme="minorEastAsia" w:hAnsiTheme="minorEastAsia" w:eastAsiaTheme="minorEastAsia"/>
                <w:color w:val="auto"/>
                <w:sz w:val="15"/>
                <w:szCs w:val="15"/>
                <w:highlight w:val="none"/>
              </w:rPr>
              <w:t xml:space="preserve"> 责令限期改正，处1万元以上10万元以下罚款。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1.持续时间5天及以下的，系数0；6-10天的，系数1；以此类推，21天及以上的，系数4。2.</w:t>
            </w:r>
            <w:r>
              <w:rPr>
                <w:rFonts w:hint="eastAsia" w:asciiTheme="minorEastAsia" w:hAnsiTheme="minorEastAsia" w:eastAsiaTheme="minorEastAsia"/>
                <w:color w:val="auto"/>
                <w:sz w:val="15"/>
                <w:szCs w:val="15"/>
                <w:highlight w:val="none"/>
              </w:rPr>
              <w:t>作业</w:t>
            </w:r>
            <w:r>
              <w:rPr>
                <w:rFonts w:asciiTheme="minorEastAsia" w:hAnsiTheme="minorEastAsia" w:eastAsiaTheme="minorEastAsia"/>
                <w:color w:val="auto"/>
                <w:sz w:val="15"/>
                <w:szCs w:val="15"/>
                <w:highlight w:val="none"/>
              </w:rPr>
              <w:t>场所</w:t>
            </w:r>
            <w:r>
              <w:rPr>
                <w:rFonts w:hint="eastAsia" w:asciiTheme="minorEastAsia" w:hAnsiTheme="minorEastAsia" w:eastAsiaTheme="minorEastAsia"/>
                <w:color w:val="auto"/>
                <w:sz w:val="15"/>
                <w:szCs w:val="15"/>
                <w:highlight w:val="none"/>
              </w:rPr>
              <w:t>20亩以下</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亩，系数为</w:t>
            </w: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亩-</w:t>
            </w:r>
            <w:r>
              <w:rPr>
                <w:rFonts w:asciiTheme="minorEastAsia" w:hAnsiTheme="minorEastAsia" w:eastAsiaTheme="minorEastAsia"/>
                <w:color w:val="auto"/>
                <w:sz w:val="15"/>
                <w:szCs w:val="15"/>
                <w:highlight w:val="none"/>
              </w:rPr>
              <w:t>40</w:t>
            </w:r>
            <w:r>
              <w:rPr>
                <w:rFonts w:hint="eastAsia" w:asciiTheme="minorEastAsia" w:hAnsiTheme="minorEastAsia" w:eastAsiaTheme="minorEastAsia"/>
                <w:color w:val="auto"/>
                <w:sz w:val="15"/>
                <w:szCs w:val="15"/>
                <w:highlight w:val="none"/>
              </w:rPr>
              <w:t>亩，系数为</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50亩及以上的，系数为4</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作业场所面积：建筑垃圾消纳场所（临时处置点经营单位）的消纳、处置建筑垃圾的占地面积。可在“北京市建筑垃圾管理与服务平台”查询</w:t>
            </w:r>
            <w:r>
              <w:rPr>
                <w:rFonts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38" w:hRule="atLeast"/>
          <w:jc w:val="center"/>
        </w:trPr>
        <w:tc>
          <w:tcPr>
            <w:tcW w:w="940"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建筑垃圾消纳场所（或临时处置点经营单位）未保持双向称重系统正常运转</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处罚条款：第三十八条第三款 责令限期改正，处1万元以上10万元以下罚款。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0"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建筑垃圾消纳场所（或临时处置点经营单位）未如实记录进出场的建筑垃圾运输车辆载重状况</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处罚条款：第三十八条第三款 责令限期改正，处1万元以上10万元以下罚款。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3"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建筑垃圾消纳场所（或临时处置点经营单位）在</w:t>
            </w:r>
            <w:r>
              <w:rPr>
                <w:rFonts w:asciiTheme="minorEastAsia" w:hAnsiTheme="minorEastAsia" w:eastAsiaTheme="minorEastAsia"/>
                <w:color w:val="auto"/>
                <w:sz w:val="15"/>
                <w:szCs w:val="15"/>
                <w:highlight w:val="none"/>
              </w:rPr>
              <w:t>作业场所</w:t>
            </w:r>
            <w:r>
              <w:rPr>
                <w:rFonts w:hint="eastAsia" w:asciiTheme="minorEastAsia" w:hAnsiTheme="minorEastAsia" w:eastAsiaTheme="minorEastAsia"/>
                <w:color w:val="auto"/>
                <w:sz w:val="15"/>
                <w:szCs w:val="15"/>
                <w:highlight w:val="none"/>
              </w:rPr>
              <w:t>未安装运输车辆识别装置（或扬尘污染实时监控装置）</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十七条第一款第（</w:t>
            </w:r>
            <w:r>
              <w:rPr>
                <w:rFonts w:hint="eastAsia" w:asciiTheme="minorEastAsia" w:hAnsiTheme="minorEastAsia" w:eastAsiaTheme="minorEastAsia"/>
                <w:color w:val="auto"/>
                <w:sz w:val="15"/>
                <w:szCs w:val="15"/>
                <w:highlight w:val="none"/>
              </w:rPr>
              <w:t>四</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条款：第三十八条第四款</w:t>
            </w:r>
            <w:r>
              <w:rPr>
                <w:rFonts w:hint="eastAsia" w:asciiTheme="minorEastAsia" w:hAnsiTheme="minorEastAsia" w:eastAsiaTheme="minorEastAsia"/>
                <w:color w:val="auto"/>
                <w:sz w:val="15"/>
                <w:szCs w:val="15"/>
                <w:highlight w:val="none"/>
              </w:rPr>
              <w:t xml:space="preserve"> 责令限期改正，处2000元以上2万元以下罚款。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72"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建筑垃圾消纳场所（或临时处置点经营单位）在作业场所未</w:t>
            </w:r>
            <w:r>
              <w:rPr>
                <w:rFonts w:asciiTheme="minorEastAsia" w:hAnsiTheme="minorEastAsia" w:eastAsiaTheme="minorEastAsia"/>
                <w:color w:val="auto"/>
                <w:sz w:val="15"/>
                <w:szCs w:val="15"/>
                <w:highlight w:val="none"/>
              </w:rPr>
              <w:t>正常使用</w:t>
            </w:r>
            <w:r>
              <w:rPr>
                <w:rFonts w:hint="eastAsia" w:asciiTheme="minorEastAsia" w:hAnsiTheme="minorEastAsia" w:eastAsiaTheme="minorEastAsia"/>
                <w:color w:val="auto"/>
                <w:sz w:val="15"/>
                <w:szCs w:val="15"/>
                <w:highlight w:val="none"/>
              </w:rPr>
              <w:t>运输车辆识别装置（或扬尘污染实时监控装置）</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违反条款：第十七条第一款第（四）项</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处罚条款：第三十八条第四款 责令限期改正，处2000元以上2万元以下罚款。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作业场所20亩以下，系数为0；20-30亩，系数为1；3.30亩-40亩，系数为2；以此类</w:t>
            </w:r>
            <w:r>
              <w:rPr>
                <w:rFonts w:hint="eastAsia" w:asciiTheme="minorEastAsia" w:hAnsiTheme="minorEastAsia" w:eastAsiaTheme="minorEastAsia"/>
                <w:color w:val="auto"/>
                <w:sz w:val="15"/>
                <w:szCs w:val="15"/>
                <w:highlight w:val="none"/>
                <w:lang w:eastAsia="zh-CN"/>
              </w:rPr>
              <w:t>推，</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18"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建筑垃圾消纳场所（或临时处置点经营单位）未将建筑垃圾接收量（或处置量或再生产品生产供应等）数据</w:t>
            </w:r>
            <w:r>
              <w:rPr>
                <w:rFonts w:asciiTheme="minorEastAsia" w:hAnsiTheme="minorEastAsia" w:eastAsiaTheme="minorEastAsia"/>
                <w:color w:val="auto"/>
                <w:sz w:val="15"/>
                <w:szCs w:val="15"/>
                <w:highlight w:val="none"/>
              </w:rPr>
              <w:t>实时传输至</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垃圾管理和服务平台</w:t>
            </w:r>
          </w:p>
        </w:tc>
        <w:tc>
          <w:tcPr>
            <w:tcW w:w="2789"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违反条款：第十七条第一款第（五）项</w:t>
            </w: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处罚条款：第三十八条第四款 责令限期改正，处2000元以上2万元以下罚款。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1.持续时间5天及以下的，系数0；6-10天的，系数1；以此类推，46天及以上的，系数9。2.</w:t>
            </w:r>
            <w:r>
              <w:rPr>
                <w:rFonts w:hint="eastAsia" w:asciiTheme="minorEastAsia" w:hAnsiTheme="minorEastAsia" w:eastAsiaTheme="minorEastAsia"/>
                <w:color w:val="auto"/>
                <w:sz w:val="15"/>
                <w:szCs w:val="15"/>
                <w:highlight w:val="none"/>
              </w:rPr>
              <w:t>作业场所20亩以下，系数为0；20-30亩，系数为1；30亩-40亩，系数为2；以此类推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100亩及以上的，系数为9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07"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未取得生活垃圾运输经营许可擅自运输建筑垃圾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第十八条第一款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：第</w:t>
            </w:r>
            <w:r>
              <w:rPr>
                <w:rFonts w:hint="eastAsia" w:asciiTheme="minorEastAsia" w:hAnsiTheme="minorEastAsia" w:eastAsiaTheme="minorEastAsia"/>
                <w:color w:val="auto"/>
                <w:sz w:val="15"/>
                <w:szCs w:val="15"/>
                <w:highlight w:val="none"/>
              </w:rPr>
              <w:t>三十九条 责令限期改正，给予警告，处5000元以上3万元以下罚款</w:t>
            </w:r>
            <w:r>
              <w:rPr>
                <w:rFonts w:asciiTheme="minorEastAsia" w:hAnsiTheme="minorEastAsia" w:eastAsiaTheme="minorEastAsia"/>
                <w:color w:val="auto"/>
                <w:sz w:val="15"/>
                <w:szCs w:val="15"/>
                <w:highlight w:val="none"/>
              </w:rPr>
              <w:t>。</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违法时间</w:t>
            </w:r>
            <w:r>
              <w:rPr>
                <w:rFonts w:asciiTheme="minorEastAsia" w:hAnsiTheme="minorEastAsia" w:eastAsiaTheme="minorEastAsia"/>
                <w:color w:val="auto"/>
                <w:sz w:val="15"/>
                <w:szCs w:val="15"/>
                <w:highlight w:val="none"/>
              </w:rPr>
              <w:t>持续较长，造成严重环境秩序影响的，系数为</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30"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使用不符合</w:t>
            </w:r>
            <w:r>
              <w:rPr>
                <w:rFonts w:asciiTheme="minorEastAsia" w:hAnsiTheme="minorEastAsia" w:eastAsiaTheme="minorEastAsia"/>
                <w:color w:val="auto"/>
                <w:sz w:val="15"/>
                <w:szCs w:val="15"/>
                <w:highlight w:val="none"/>
              </w:rPr>
              <w:t>标准的车辆（</w:t>
            </w:r>
            <w:r>
              <w:rPr>
                <w:rFonts w:hint="eastAsia" w:asciiTheme="minorEastAsia" w:hAnsiTheme="minorEastAsia" w:eastAsiaTheme="minorEastAsia"/>
                <w:color w:val="auto"/>
                <w:sz w:val="15"/>
                <w:szCs w:val="15"/>
                <w:highlight w:val="none"/>
              </w:rPr>
              <w:t>或未取得建筑垃圾准运许可</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运输建筑垃圾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条款：第十八条第一款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第三十九条 责令限期改正，并处1万元以上3万元以下罚款；情节严重的，由城市管理综合执法部门吊销生活垃圾运输经营许可。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不符合标准的运输车辆，系数为</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；2.无</w:t>
            </w:r>
            <w:r>
              <w:rPr>
                <w:rFonts w:asciiTheme="minorEastAsia" w:hAnsiTheme="minorEastAsia" w:eastAsiaTheme="minorEastAsia"/>
                <w:color w:val="auto"/>
                <w:sz w:val="15"/>
                <w:szCs w:val="15"/>
                <w:highlight w:val="none"/>
              </w:rPr>
              <w:t>准运证的，系数为</w:t>
            </w:r>
            <w:r>
              <w:rPr>
                <w:rFonts w:hint="eastAsia" w:asciiTheme="minorEastAsia" w:hAnsiTheme="minorEastAsia" w:eastAsiaTheme="minorEastAsia"/>
                <w:color w:val="auto"/>
                <w:sz w:val="15"/>
                <w:szCs w:val="15"/>
                <w:highlight w:val="none"/>
              </w:rPr>
              <w:t>2。</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变量系数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numPr>
                <w:ilvl w:val="0"/>
                <w:numId w:val="2"/>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共同会商；对于可能影响公共利益的，提请城市管理部门拟定接管方案。</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24"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未采取措施防止建筑垃圾遗撒、泄漏</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处罚条款：第四十条第一款 责令立即改正并清除遗撒、泄漏的建筑垃圾，处2万元以上10万元以下罚款；情节严重的，由城市管理综合执法部门吊销生活垃圾运输经营许可；没有条件清除或者拒不清除的，城市管理综合执法部门可以委托市容环境卫生企业代为清除，所需费用由当事人承担，对不支付费用的，可以依法申请人民法院执行。</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widowControl w:val="0"/>
              <w:numPr>
                <w:ilvl w:val="0"/>
                <w:numId w:val="0"/>
              </w:numPr>
              <w:jc w:val="both"/>
              <w:rPr>
                <w:rFonts w:hint="eastAsia"/>
                <w:color w:val="auto"/>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未造成</w:t>
            </w:r>
            <w:r>
              <w:rPr>
                <w:rFonts w:asciiTheme="minorEastAsia" w:hAnsiTheme="minorEastAsia" w:eastAsiaTheme="minorEastAsia"/>
                <w:color w:val="auto"/>
                <w:sz w:val="15"/>
                <w:szCs w:val="15"/>
                <w:highlight w:val="none"/>
              </w:rPr>
              <w:t>遗撒、泄漏的，系数</w:t>
            </w:r>
            <w:r>
              <w:rPr>
                <w:rFonts w:hint="eastAsia" w:asciiTheme="minorEastAsia" w:hAnsiTheme="minorEastAsia" w:eastAsiaTheme="minorEastAsia"/>
                <w:color w:val="auto"/>
                <w:sz w:val="15"/>
                <w:szCs w:val="15"/>
                <w:highlight w:val="none"/>
              </w:rPr>
              <w:t>0；污染道路长21－30米的，系数1；31－40米的，系数2；以此类推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p>
          <w:p>
            <w:pPr>
              <w:widowControl w:val="0"/>
              <w:numPr>
                <w:ilvl w:val="0"/>
                <w:numId w:val="0"/>
              </w:numPr>
              <w:jc w:val="both"/>
              <w:rPr>
                <w:rFonts w:hint="eastAsia" w:asciiTheme="minorEastAsia" w:hAnsiTheme="minorEastAsia" w:eastAsiaTheme="minorEastAsia" w:cstheme="minorEastAsia"/>
                <w:b w:val="0"/>
                <w:bCs w:val="0"/>
                <w:strike w:val="0"/>
                <w:dstrike w:val="0"/>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2.建筑垃圾占地面积10㎡以下的，系数0；11—15㎡，系数为1；16-20㎡，系数2，以此类推，面积26㎡及以上的，系数4；</w:t>
            </w:r>
          </w:p>
          <w:p>
            <w:pPr>
              <w:widowControl w:val="0"/>
              <w:numPr>
                <w:ilvl w:val="0"/>
                <w:numId w:val="0"/>
              </w:numPr>
              <w:jc w:val="both"/>
              <w:rPr>
                <w:rFonts w:hint="eastAsia" w:asciiTheme="minorEastAsia" w:hAnsiTheme="minorEastAsia" w:eastAsiaTheme="minorEastAsia" w:cstheme="minorEastAsia"/>
                <w:b w:val="0"/>
                <w:bCs w:val="0"/>
                <w:strike w:val="0"/>
                <w:dstrike w:val="0"/>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3.建筑垃圾重量在4.5吨以下的，系数0；4.5-9吨的，系数1，以此类推，18吨及以上的，系数4；在面积和长度无法取证的情况下，可以适用此情形。</w:t>
            </w:r>
          </w:p>
          <w:p>
            <w:pPr>
              <w:widowControl w:val="0"/>
              <w:numPr>
                <w:ilvl w:val="0"/>
                <w:numId w:val="0"/>
              </w:numPr>
              <w:jc w:val="both"/>
              <w:rPr>
                <w:rFonts w:hint="eastAsia" w:cs="Times New Roman" w:asciiTheme="minorEastAsia" w:hAnsiTheme="minorEastAsia" w:eastAsiaTheme="minorEastAsia"/>
                <w:color w:val="auto"/>
                <w:kern w:val="2"/>
                <w:sz w:val="15"/>
                <w:szCs w:val="15"/>
                <w:highlight w:val="none"/>
                <w:lang w:val="en-US" w:eastAsia="zh-CN" w:bidi="ar-SA"/>
              </w:rPr>
            </w:pP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产生较大环境污染或者社会影响的，系数</w:t>
            </w:r>
            <w:r>
              <w:rPr>
                <w:rFonts w:hint="eastAsia" w:asciiTheme="minorEastAsia" w:hAnsiTheme="minorEastAsia" w:eastAsiaTheme="minorEastAsia"/>
                <w:color w:val="auto"/>
                <w:sz w:val="15"/>
                <w:szCs w:val="15"/>
                <w:highlight w:val="none"/>
                <w:lang w:val="en-US" w:eastAsia="zh-CN"/>
              </w:rPr>
              <w:t>2-4。</w:t>
            </w:r>
          </w:p>
          <w:p>
            <w:pPr>
              <w:spacing w:line="232" w:lineRule="exact"/>
              <w:rPr>
                <w:rFonts w:cs="宋体" w:asciiTheme="minorEastAsia" w:hAnsiTheme="minorEastAsia" w:eastAsiaTheme="minorEastAsia"/>
                <w:b/>
                <w:bCs/>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numPr>
                <w:ilvl w:val="0"/>
                <w:numId w:val="3"/>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拟定接管方案。</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90"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w:t>
            </w:r>
            <w:r>
              <w:rPr>
                <w:rFonts w:hint="eastAsia" w:asciiTheme="minorEastAsia" w:hAnsiTheme="minorEastAsia" w:eastAsiaTheme="minorEastAsia"/>
                <w:color w:val="auto"/>
                <w:sz w:val="15"/>
                <w:szCs w:val="15"/>
                <w:highlight w:val="none"/>
              </w:rPr>
              <w:t>运输</w:t>
            </w:r>
            <w:r>
              <w:rPr>
                <w:rFonts w:asciiTheme="minorEastAsia" w:hAnsiTheme="minorEastAsia" w:eastAsiaTheme="minorEastAsia"/>
                <w:color w:val="auto"/>
                <w:sz w:val="15"/>
                <w:szCs w:val="15"/>
                <w:highlight w:val="none"/>
              </w:rPr>
              <w:t>服务单位</w:t>
            </w:r>
            <w:r>
              <w:rPr>
                <w:rFonts w:hint="eastAsia" w:asciiTheme="minorEastAsia" w:hAnsiTheme="minorEastAsia" w:eastAsiaTheme="minorEastAsia"/>
                <w:color w:val="auto"/>
                <w:sz w:val="15"/>
                <w:szCs w:val="15"/>
                <w:highlight w:val="none"/>
              </w:rPr>
              <w:t>将建筑垃圾与其他生活垃圾、危险废物混装混运</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条款：第十九条第一款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条款：第四十条</w:t>
            </w:r>
            <w:r>
              <w:rPr>
                <w:rFonts w:hint="eastAsia" w:asciiTheme="minorEastAsia" w:hAnsiTheme="minorEastAsia" w:eastAsiaTheme="minorEastAsia"/>
                <w:color w:val="auto"/>
                <w:sz w:val="15"/>
                <w:szCs w:val="15"/>
                <w:highlight w:val="none"/>
              </w:rPr>
              <w:t>第一款 责令立即改正，处2万元以上10万元以下罚款；情节严重的，由城市管理综合执法部门吊销生活垃圾运输经营许可</w:t>
            </w:r>
            <w:r>
              <w:rPr>
                <w:rFonts w:asciiTheme="minorEastAsia" w:hAnsiTheme="minorEastAsia" w:eastAsiaTheme="minorEastAsia"/>
                <w:color w:val="auto"/>
                <w:sz w:val="15"/>
                <w:szCs w:val="15"/>
                <w:highlight w:val="none"/>
              </w:rPr>
              <w:t xml:space="preserve"> </w:t>
            </w:r>
            <w:r>
              <w:rPr>
                <w:rFonts w:hint="eastAsia" w:asciiTheme="minorEastAsia" w:hAnsiTheme="minorEastAsia" w:eastAsiaTheme="minorEastAsia"/>
                <w:color w:val="auto"/>
                <w:sz w:val="15"/>
                <w:szCs w:val="15"/>
                <w:highlight w:val="none"/>
              </w:rPr>
              <w:t>。</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运输车辆</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4.5吨</w:t>
            </w:r>
            <w:r>
              <w:rPr>
                <w:rFonts w:asciiTheme="minorEastAsia" w:hAnsiTheme="minorEastAsia" w:eastAsiaTheme="minorEastAsia"/>
                <w:color w:val="auto"/>
                <w:sz w:val="15"/>
                <w:szCs w:val="15"/>
                <w:highlight w:val="none"/>
              </w:rPr>
              <w:t>以上）</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.与</w:t>
            </w:r>
            <w:r>
              <w:rPr>
                <w:rFonts w:asciiTheme="minorEastAsia" w:hAnsiTheme="minorEastAsia" w:eastAsiaTheme="minorEastAsia"/>
                <w:color w:val="auto"/>
                <w:sz w:val="15"/>
                <w:szCs w:val="15"/>
                <w:highlight w:val="none"/>
              </w:rPr>
              <w:t>危险废物混装</w:t>
            </w:r>
            <w:r>
              <w:rPr>
                <w:rFonts w:hint="eastAsia" w:asciiTheme="minorEastAsia" w:hAnsiTheme="minorEastAsia" w:eastAsiaTheme="minorEastAsia"/>
                <w:color w:val="auto"/>
                <w:sz w:val="15"/>
                <w:szCs w:val="15"/>
                <w:highlight w:val="none"/>
              </w:rPr>
              <w:t>混运</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3.同一运输单位存在多辆车辆混装混运的，系数为2-4。</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numPr>
                <w:ilvl w:val="0"/>
                <w:numId w:val="4"/>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京政发〔2017〕32号），拟作出吊销处罚的，作出处罚决定前，要邀请城市管理部门共同会商；对于可能影响公共利益的，提请城市管理部门拟定接管方案。</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33"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按照规定使用电子运单</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如实记录建筑垃圾处置情况</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十九条第</w:t>
            </w:r>
            <w:r>
              <w:rPr>
                <w:rFonts w:hint="eastAsia" w:asciiTheme="minorEastAsia" w:hAnsiTheme="minorEastAsia" w:eastAsiaTheme="minorEastAsia"/>
                <w:color w:val="auto"/>
                <w:sz w:val="15"/>
                <w:szCs w:val="15"/>
                <w:highlight w:val="none"/>
              </w:rPr>
              <w:t>二</w:t>
            </w:r>
            <w:r>
              <w:rPr>
                <w:rFonts w:asciiTheme="minorEastAsia" w:hAnsiTheme="minorEastAsia" w:eastAsiaTheme="minorEastAsia"/>
                <w:color w:val="auto"/>
                <w:sz w:val="15"/>
                <w:szCs w:val="15"/>
                <w:highlight w:val="none"/>
              </w:rPr>
              <w:t>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四十条第二款</w:t>
            </w:r>
            <w:r>
              <w:rPr>
                <w:rFonts w:hint="eastAsia" w:asciiTheme="minorEastAsia" w:hAnsiTheme="minorEastAsia" w:eastAsiaTheme="minorEastAsia"/>
                <w:color w:val="auto"/>
                <w:sz w:val="15"/>
                <w:szCs w:val="15"/>
                <w:highlight w:val="none"/>
              </w:rPr>
              <w:t xml:space="preserve"> 责令限期改正，处1000元以上1万元以下罚款；情节严重的，由城市管理综合执法部门依法吊销生活垃圾运输经营许可。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同一运输单位多辆车辆存在违规的，系数为5-9。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numPr>
                <w:ilvl w:val="0"/>
                <w:numId w:val="5"/>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京政发〔2017〕32号），拟作出吊销处罚的，作出处罚决定前，要邀请城市管理部门共同会商；对于可能影响公共利益的，提请城市管理部门拟定接管方案。</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5"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w:t>
            </w:r>
            <w:r>
              <w:rPr>
                <w:rFonts w:asciiTheme="minorEastAsia" w:hAnsiTheme="minorEastAsia" w:eastAsiaTheme="minorEastAsia"/>
                <w:color w:val="auto"/>
                <w:sz w:val="15"/>
                <w:szCs w:val="15"/>
                <w:highlight w:val="none"/>
              </w:rPr>
              <w:t>单位</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编制建筑垃圾处理方案</w:t>
            </w:r>
            <w:r>
              <w:rPr>
                <w:rFonts w:hint="eastAsia" w:asciiTheme="minorEastAsia" w:hAnsiTheme="minorEastAsia" w:eastAsiaTheme="minorEastAsia"/>
                <w:color w:val="auto"/>
                <w:sz w:val="15"/>
                <w:szCs w:val="15"/>
                <w:highlight w:val="none"/>
              </w:rPr>
              <w:t>报备案</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处罚条款：第四十一条第一款 责令限期改正，处10万元以上100万元以下罚款。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widowControl w:val="0"/>
              <w:numPr>
                <w:ilvl w:val="0"/>
                <w:numId w:val="0"/>
              </w:numPr>
              <w:jc w:val="both"/>
              <w:rPr>
                <w:rFonts w:hint="eastAsia" w:cs="宋体"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工程建筑面积在300㎡及以下的，系数0；300㎡以上5000㎡及以下的，系数1-3；5000㎡以上2万㎡及以下的，系数4-6；2万㎡以上的，系数7-9。2.未备案时间持续10天及以内的，系数0；11-20天的，系数1；以此类推，91天及以上的，系数9。</w:t>
            </w:r>
            <w:r>
              <w:rPr>
                <w:rFonts w:hint="eastAsia" w:cs="宋体" w:asciiTheme="minorEastAsia" w:hAnsiTheme="minorEastAsia" w:eastAsiaTheme="minorEastAsia"/>
                <w:color w:val="auto"/>
                <w:sz w:val="15"/>
                <w:szCs w:val="15"/>
                <w:highlight w:val="none"/>
                <w:lang w:val="en-US" w:eastAsia="zh-CN"/>
              </w:rPr>
              <w:t>3.造</w:t>
            </w:r>
            <w:r>
              <w:rPr>
                <w:rFonts w:hint="eastAsia" w:cs="宋体" w:asciiTheme="minorEastAsia" w:hAnsiTheme="minorEastAsia" w:eastAsiaTheme="minorEastAsia"/>
                <w:color w:val="auto"/>
                <w:sz w:val="15"/>
                <w:szCs w:val="15"/>
                <w:highlight w:val="none"/>
              </w:rPr>
              <w:t>成环境秩序较严重影响的，系数5-9。</w:t>
            </w:r>
          </w:p>
        </w:tc>
        <w:tc>
          <w:tcPr>
            <w:tcW w:w="1785" w:type="dxa"/>
            <w:shd w:val="clear" w:color="auto" w:fill="auto"/>
            <w:vAlign w:val="center"/>
          </w:tcPr>
          <w:p>
            <w:pPr>
              <w:widowControl w:val="0"/>
              <w:numPr>
                <w:ilvl w:val="0"/>
                <w:numId w:val="0"/>
              </w:numPr>
              <w:jc w:val="both"/>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罚款数额＝100000×（1＋常量系数＋变量系数＋区域系数）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8"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w:t>
            </w:r>
            <w:r>
              <w:rPr>
                <w:rFonts w:asciiTheme="minorEastAsia" w:hAnsiTheme="minorEastAsia" w:eastAsiaTheme="minorEastAsia"/>
                <w:color w:val="auto"/>
                <w:sz w:val="15"/>
                <w:szCs w:val="15"/>
                <w:highlight w:val="none"/>
              </w:rPr>
              <w:t>未及时清运建筑垃圾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条款：第二十条第二款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四十一条第二款</w:t>
            </w:r>
            <w:r>
              <w:rPr>
                <w:rFonts w:hint="eastAsia" w:asciiTheme="minorEastAsia" w:hAnsiTheme="minorEastAsia" w:eastAsiaTheme="minorEastAsia"/>
                <w:color w:val="auto"/>
                <w:sz w:val="15"/>
                <w:szCs w:val="15"/>
                <w:highlight w:val="none"/>
              </w:rPr>
              <w:t xml:space="preserve">  责令限期改正，处10万元以上100万元以下罚款。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widowControl w:val="0"/>
              <w:numPr>
                <w:ilvl w:val="0"/>
                <w:numId w:val="0"/>
              </w:numPr>
              <w:jc w:val="both"/>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sz w:val="15"/>
                <w:szCs w:val="15"/>
                <w:highlight w:val="none"/>
              </w:rPr>
              <w:t>1.垃圾占地面积10㎡</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0；11－15㎡</w:t>
            </w:r>
            <w:r>
              <w:rPr>
                <w:rFonts w:hint="eastAsia" w:cs="仿宋_GB2312" w:asciiTheme="minorEastAsia" w:hAnsiTheme="minorEastAsia" w:eastAsiaTheme="minorEastAsia"/>
                <w:color w:val="auto"/>
                <w:sz w:val="15"/>
                <w:szCs w:val="15"/>
                <w:highlight w:val="none"/>
              </w:rPr>
              <w:t>的，系</w:t>
            </w:r>
            <w:r>
              <w:rPr>
                <w:rFonts w:hint="eastAsia" w:cs="宋体" w:asciiTheme="minorEastAsia" w:hAnsiTheme="minorEastAsia" w:eastAsiaTheme="minorEastAsia"/>
                <w:color w:val="auto"/>
                <w:sz w:val="15"/>
                <w:szCs w:val="15"/>
                <w:highlight w:val="none"/>
              </w:rPr>
              <w:t>数1；16－20㎡</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。2.逾期不清的，每逾期2天，系数为１，以此累加</w:t>
            </w:r>
            <w:r>
              <w:rPr>
                <w:rFonts w:hint="eastAsia" w:cs="宋体" w:asciiTheme="minorEastAsia" w:hAnsiTheme="minorEastAsia" w:eastAsiaTheme="minorEastAsia"/>
                <w:color w:val="auto"/>
                <w:sz w:val="15"/>
                <w:szCs w:val="15"/>
                <w:highlight w:val="none"/>
                <w:lang w:eastAsia="zh-CN"/>
              </w:rPr>
              <w:t>，逾期</w:t>
            </w:r>
            <w:r>
              <w:rPr>
                <w:rFonts w:hint="eastAsia" w:cs="宋体" w:asciiTheme="minorEastAsia" w:hAnsiTheme="minorEastAsia" w:eastAsiaTheme="minorEastAsia"/>
                <w:color w:val="auto"/>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01"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20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b w:val="0"/>
                <w:bCs w:val="0"/>
                <w:color w:val="auto"/>
                <w:sz w:val="15"/>
                <w:szCs w:val="15"/>
                <w:highlight w:val="none"/>
              </w:rPr>
              <w:t>施工</w:t>
            </w:r>
            <w:r>
              <w:rPr>
                <w:rFonts w:asciiTheme="minorEastAsia" w:hAnsiTheme="minorEastAsia" w:eastAsiaTheme="minorEastAsia"/>
                <w:b w:val="0"/>
                <w:bCs w:val="0"/>
                <w:color w:val="auto"/>
                <w:sz w:val="15"/>
                <w:szCs w:val="15"/>
                <w:highlight w:val="none"/>
              </w:rPr>
              <w:t>单位</w:t>
            </w:r>
            <w:r>
              <w:rPr>
                <w:rFonts w:hint="eastAsia" w:asciiTheme="minorEastAsia" w:hAnsiTheme="minorEastAsia" w:eastAsiaTheme="minorEastAsia"/>
                <w:b w:val="0"/>
                <w:bCs w:val="0"/>
                <w:color w:val="auto"/>
                <w:sz w:val="15"/>
                <w:szCs w:val="15"/>
                <w:highlight w:val="none"/>
              </w:rPr>
              <w:t>未按照规定对施工过程中产生的建筑垃圾进行资源化利用或者处置</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第二十条第二款</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第四十</w:t>
            </w:r>
            <w:r>
              <w:rPr>
                <w:rFonts w:asciiTheme="minorEastAsia" w:hAnsiTheme="minorEastAsia" w:eastAsiaTheme="minorEastAsia"/>
                <w:color w:val="auto"/>
                <w:sz w:val="15"/>
                <w:szCs w:val="15"/>
                <w:highlight w:val="none"/>
              </w:rPr>
              <w:t>一条第二款</w:t>
            </w:r>
            <w:r>
              <w:rPr>
                <w:rFonts w:hint="eastAsia" w:asciiTheme="minorEastAsia" w:hAnsiTheme="minorEastAsia" w:eastAsiaTheme="minorEastAsia"/>
                <w:color w:val="auto"/>
                <w:sz w:val="15"/>
                <w:szCs w:val="15"/>
                <w:highlight w:val="none"/>
              </w:rPr>
              <w:t xml:space="preserve"> 责令限期改正，处1</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万元以上10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r>
              <w:rPr>
                <w:rFonts w:asciiTheme="minorEastAsia" w:hAnsiTheme="minorEastAsia" w:eastAsiaTheme="minorEastAsia"/>
                <w:color w:val="auto"/>
                <w:sz w:val="15"/>
                <w:szCs w:val="15"/>
                <w:highlight w:val="none"/>
              </w:rPr>
              <w:t>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hint="eastAsia" w:cs="宋体" w:asciiTheme="minorEastAsia" w:hAnsiTheme="minorEastAsia" w:eastAsiaTheme="minorEastAsia"/>
                <w:b/>
                <w:bCs/>
                <w:color w:val="auto"/>
                <w:kern w:val="0"/>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按规定利用或</w:t>
            </w:r>
            <w:r>
              <w:rPr>
                <w:rFonts w:hint="eastAsia" w:asciiTheme="minorEastAsia" w:hAnsiTheme="minorEastAsia" w:eastAsiaTheme="minorEastAsia"/>
                <w:color w:val="auto"/>
                <w:sz w:val="15"/>
                <w:szCs w:val="15"/>
                <w:highlight w:val="none"/>
              </w:rPr>
              <w:t>处置</w:t>
            </w:r>
            <w:r>
              <w:rPr>
                <w:rFonts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的，系数为</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w:t>
            </w:r>
            <w:r>
              <w:rPr>
                <w:rFonts w:asciiTheme="minorEastAsia" w:hAnsiTheme="minorEastAsia" w:eastAsiaTheme="minorEastAsia"/>
                <w:color w:val="auto"/>
                <w:sz w:val="15"/>
                <w:szCs w:val="15"/>
                <w:highlight w:val="none"/>
              </w:rPr>
              <w:t>为</w:t>
            </w:r>
            <w:r>
              <w:rPr>
                <w:rFonts w:hint="eastAsia" w:asciiTheme="minorEastAsia" w:hAnsiTheme="minorEastAsia" w:eastAsiaTheme="minorEastAsia"/>
                <w:color w:val="auto"/>
                <w:sz w:val="15"/>
                <w:szCs w:val="15"/>
                <w:highlight w:val="none"/>
              </w:rPr>
              <w:t>2，以此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2.未按规定进行资源化利用或者处置建筑垃圾数量较大的、</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造成其他严重社会影响的，系数5-9。</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asciiTheme="minorEastAsia" w:hAnsiTheme="minorEastAsia" w:eastAsiaTheme="minorEastAsia"/>
                <w:color w:val="auto"/>
                <w:sz w:val="15"/>
                <w:szCs w:val="15"/>
                <w:highlight w:val="none"/>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8"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21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施工单位未按照规定对现场贮存的建筑垃圾采取扬尘防治措施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第二十条第二款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第四十</w:t>
            </w:r>
            <w:r>
              <w:rPr>
                <w:rFonts w:asciiTheme="minorEastAsia" w:hAnsiTheme="minorEastAsia" w:eastAsiaTheme="minorEastAsia"/>
                <w:color w:val="auto"/>
                <w:sz w:val="15"/>
                <w:szCs w:val="15"/>
                <w:highlight w:val="none"/>
              </w:rPr>
              <w:t>一条第二款</w:t>
            </w:r>
            <w:r>
              <w:rPr>
                <w:rFonts w:hint="eastAsia" w:asciiTheme="minorEastAsia" w:hAnsiTheme="minorEastAsia" w:eastAsiaTheme="minorEastAsia"/>
                <w:color w:val="auto"/>
                <w:sz w:val="15"/>
                <w:szCs w:val="15"/>
                <w:highlight w:val="none"/>
              </w:rPr>
              <w:t xml:space="preserve"> 责令限期改正，处1万元以上10万元以下罚款；拒不改正的，责令停工整治。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numPr>
                <w:ilvl w:val="0"/>
                <w:numId w:val="0"/>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9。</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asciiTheme="minorEastAsia" w:hAnsiTheme="minorEastAsia" w:eastAsiaTheme="minorEastAsia"/>
                <w:color w:val="auto"/>
                <w:sz w:val="15"/>
                <w:szCs w:val="15"/>
                <w:highlight w:val="none"/>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38" w:hRule="atLeast"/>
          <w:jc w:val="center"/>
        </w:trPr>
        <w:tc>
          <w:tcPr>
            <w:tcW w:w="94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22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未按照规定建立台账并如实报告建筑垃圾处置情况</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asciiTheme="minorEastAsia" w:hAnsiTheme="minorEastAsia" w:eastAsiaTheme="minorEastAsia"/>
                <w:color w:val="auto"/>
                <w:sz w:val="15"/>
                <w:szCs w:val="15"/>
                <w:highlight w:val="none"/>
              </w:rPr>
              <w:t>：第二十七条</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四十三条</w:t>
            </w:r>
            <w:r>
              <w:rPr>
                <w:rFonts w:hint="eastAsia" w:asciiTheme="minorEastAsia" w:hAnsiTheme="minorEastAsia" w:eastAsiaTheme="minorEastAsia"/>
                <w:color w:val="auto"/>
                <w:sz w:val="15"/>
                <w:szCs w:val="15"/>
                <w:highlight w:val="none"/>
              </w:rPr>
              <w:t xml:space="preserve"> 责令限期改正，处1000元以上1万元以下罚款；情节严重的，由城市管理综合执法部门依法吊销生活垃圾运输经营许可或者建筑垃圾消纳场所设置许可。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1.已记录</w:t>
            </w:r>
            <w:r>
              <w:rPr>
                <w:rFonts w:asciiTheme="minorEastAsia" w:hAnsiTheme="minorEastAsia" w:eastAsiaTheme="minorEastAsia"/>
                <w:color w:val="auto"/>
                <w:sz w:val="15"/>
                <w:szCs w:val="15"/>
                <w:highlight w:val="none"/>
              </w:rPr>
              <w:t>台账而记录内容不完整的，系数为</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；2.未建立台账的</w:t>
            </w:r>
            <w:r>
              <w:rPr>
                <w:rFonts w:asciiTheme="minorEastAsia" w:hAnsiTheme="minorEastAsia" w:eastAsiaTheme="minorEastAsia"/>
                <w:color w:val="auto"/>
                <w:sz w:val="15"/>
                <w:szCs w:val="15"/>
                <w:highlight w:val="none"/>
              </w:rPr>
              <w:t>或者台账弄虚作假的，系数为</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；3.同时造成</w:t>
            </w:r>
            <w:r>
              <w:rPr>
                <w:rFonts w:asciiTheme="minorEastAsia" w:hAnsiTheme="minorEastAsia" w:eastAsiaTheme="minorEastAsia"/>
                <w:color w:val="auto"/>
                <w:sz w:val="15"/>
                <w:szCs w:val="15"/>
                <w:highlight w:val="none"/>
              </w:rPr>
              <w:t>环境秩序严重影响的</w:t>
            </w:r>
            <w:r>
              <w:rPr>
                <w:rFonts w:hint="eastAsia" w:asciiTheme="minorEastAsia" w:hAnsiTheme="minorEastAsia" w:eastAsiaTheme="minorEastAsia"/>
                <w:color w:val="auto"/>
                <w:sz w:val="15"/>
                <w:szCs w:val="15"/>
                <w:highlight w:val="none"/>
              </w:rPr>
              <w:t>为7</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numPr>
                <w:ilvl w:val="0"/>
                <w:numId w:val="6"/>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其它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京政发〔2017〕32号），拟作出吊销处罚的，作出处罚决定前，邀请城市管理部门划出部门共同会商；对于可能影响公共利益的，提请城市管理部门拟定接管方案。</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1"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37" w:name="_Toc110851448"/>
            <w:bookmarkStart w:id="38" w:name="_Toc495418307"/>
            <w:bookmarkStart w:id="39" w:name="_Toc1184987992"/>
            <w:r>
              <w:rPr>
                <w:rFonts w:hint="eastAsia" w:asciiTheme="minorEastAsia" w:hAnsiTheme="minorEastAsia" w:eastAsiaTheme="minorEastAsia"/>
                <w:color w:val="auto"/>
                <w:sz w:val="21"/>
                <w:szCs w:val="21"/>
                <w:highlight w:val="none"/>
              </w:rPr>
              <w:t>《北京市养犬管理规定》案由1项</w:t>
            </w:r>
            <w:bookmarkEnd w:id="37"/>
            <w:bookmarkEnd w:id="38"/>
            <w:bookmarkEnd w:id="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携犬人未清除户外犬粪便</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违反条款：第十七条第（六）项；处罚条款：第三十条：责令改正，并可处50元罚款。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40" w:name="_Toc110851449"/>
            <w:bookmarkStart w:id="41" w:name="_Toc1993366508"/>
            <w:bookmarkStart w:id="42" w:name="_Toc986557284"/>
            <w:r>
              <w:rPr>
                <w:rFonts w:hint="eastAsia" w:asciiTheme="minorEastAsia" w:hAnsiTheme="minorEastAsia" w:eastAsiaTheme="minorEastAsia"/>
                <w:color w:val="auto"/>
                <w:sz w:val="21"/>
                <w:szCs w:val="21"/>
                <w:highlight w:val="none"/>
              </w:rPr>
              <w:t>《北京市长城保护管理办法》案由1项</w:t>
            </w:r>
            <w:bookmarkEnd w:id="40"/>
            <w:bookmarkEnd w:id="41"/>
            <w:bookmarkEnd w:id="4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在长城保护范围和建设控制地带内设置</w:t>
            </w:r>
            <w:r>
              <w:rPr>
                <w:rFonts w:hint="eastAsia" w:cs="宋体" w:asciiTheme="minorEastAsia" w:hAnsiTheme="minorEastAsia" w:eastAsiaTheme="minorEastAsia"/>
                <w:color w:val="auto"/>
                <w:kern w:val="0"/>
                <w:sz w:val="15"/>
                <w:szCs w:val="15"/>
                <w:highlight w:val="none"/>
              </w:rPr>
              <w:t>不符合要求</w:t>
            </w:r>
            <w:r>
              <w:rPr>
                <w:rFonts w:cs="宋体" w:asciiTheme="minorEastAsia" w:hAnsiTheme="minorEastAsia" w:eastAsiaTheme="minorEastAsia"/>
                <w:color w:val="auto"/>
                <w:kern w:val="0"/>
                <w:sz w:val="15"/>
                <w:szCs w:val="15"/>
                <w:highlight w:val="none"/>
              </w:rPr>
              <w:t>的标志标牌</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第十二条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第十七条</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 xml:space="preserve">责令拆除或者更换，并可处200元以上1000元以下的罚款。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5"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43" w:name="_Toc1034265769"/>
            <w:bookmarkStart w:id="44" w:name="_Toc703776516"/>
            <w:bookmarkStart w:id="45" w:name="_Toc110851450"/>
            <w:r>
              <w:rPr>
                <w:rFonts w:hint="eastAsia" w:asciiTheme="minorEastAsia" w:hAnsiTheme="minorEastAsia" w:eastAsiaTheme="minorEastAsia"/>
                <w:color w:val="auto"/>
                <w:sz w:val="21"/>
                <w:szCs w:val="21"/>
                <w:highlight w:val="none"/>
              </w:rPr>
              <w:t>《北京历史文化名城保护条例》案由1项</w:t>
            </w:r>
            <w:bookmarkEnd w:id="43"/>
            <w:bookmarkEnd w:id="44"/>
            <w:bookmarkEnd w:id="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任何单位或个人擅自设置、移动、拆除或者损毁、涂改、遮挡保护标志</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违反条款：第五十二条第二款；处罚条款：第七十四条  责令限期改正；逾期不改正的，对单位处一万元以上五万元以下罚款，对个人处一千元以上一万元以下罚款。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1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4"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92" w:lineRule="exact"/>
              <w:jc w:val="center"/>
              <w:textAlignment w:val="auto"/>
              <w:rPr>
                <w:rFonts w:asciiTheme="minorEastAsia" w:hAnsiTheme="minorEastAsia" w:eastAsiaTheme="minorEastAsia"/>
                <w:color w:val="auto"/>
                <w:sz w:val="15"/>
                <w:szCs w:val="15"/>
                <w:highlight w:val="none"/>
              </w:rPr>
            </w:pPr>
            <w:bookmarkStart w:id="46" w:name="_Toc1198219356"/>
            <w:bookmarkStart w:id="47" w:name="_Toc110851451"/>
            <w:bookmarkStart w:id="48" w:name="_Toc958675012"/>
            <w:r>
              <w:rPr>
                <w:rFonts w:hint="eastAsia" w:asciiTheme="minorEastAsia" w:hAnsiTheme="minorEastAsia" w:eastAsiaTheme="minorEastAsia"/>
                <w:color w:val="auto"/>
                <w:sz w:val="21"/>
                <w:szCs w:val="21"/>
                <w:highlight w:val="none"/>
              </w:rPr>
              <w:t>《北京市架空线管理若干规定》案由</w:t>
            </w:r>
            <w:r>
              <w:rPr>
                <w:rFonts w:asciiTheme="minorEastAsia" w:hAnsiTheme="minorEastAsia" w:eastAsiaTheme="minorEastAsia"/>
                <w:color w:val="auto"/>
                <w:sz w:val="21"/>
                <w:szCs w:val="21"/>
                <w:highlight w:val="none"/>
              </w:rPr>
              <w:t>7</w:t>
            </w:r>
            <w:r>
              <w:rPr>
                <w:rFonts w:hint="eastAsia" w:asciiTheme="minorEastAsia" w:hAnsiTheme="minorEastAsia" w:eastAsiaTheme="minorEastAsia"/>
                <w:color w:val="auto"/>
                <w:sz w:val="21"/>
                <w:szCs w:val="21"/>
                <w:highlight w:val="none"/>
              </w:rPr>
              <w:t>项</w:t>
            </w:r>
            <w:bookmarkEnd w:id="46"/>
            <w:bookmarkEnd w:id="47"/>
            <w:bookmarkEnd w:id="4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设置架空线不符合设置架空线行政许可决定</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违反条款：第九条第一款；处罚条款：第十九条第一款 责令限期改正，可以处200元以上2000元以下罚款。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numPr>
                <w:ilvl w:val="0"/>
                <w:numId w:val="0"/>
              </w:num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对其它管线正常使用造成影响的，系数4；</w:t>
            </w:r>
          </w:p>
          <w:p>
            <w:pPr>
              <w:numPr>
                <w:ilvl w:val="0"/>
                <w:numId w:val="0"/>
              </w:num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影响交通通行，或者造成其它安全隐患的，系数4。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7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行政许可有效期届满未清除架空线</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违反条款：第九条第二款；处罚条款：第十九条第二款 ，责令限期改正，可以处300元以上3000元以下罚款。逾期不改正的，由区县市政市容行政管理部门组织清除。</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罚款数额＝300×（1＋区域系数＋变量系数）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未按要求在架空线的显著位置设置标识信息</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违反条款：第十条第(一)项；处罚条款：第二十条第一款；责令限期改正，可以处200元以上2000元以下罚款。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对其它管线正常使用造成影响，或者造成其它安全隐患的，系数4。</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发现架空线存在影响安全或者市容景观情况未</w:t>
            </w:r>
            <w:r>
              <w:rPr>
                <w:rFonts w:hint="eastAsia" w:asciiTheme="minorEastAsia" w:hAnsiTheme="minorEastAsia" w:eastAsiaTheme="minorEastAsia"/>
                <w:color w:val="auto"/>
                <w:sz w:val="15"/>
                <w:szCs w:val="15"/>
                <w:highlight w:val="none"/>
                <w:lang w:eastAsia="zh-CN"/>
              </w:rPr>
              <w:t>立即</w:t>
            </w:r>
            <w:r>
              <w:rPr>
                <w:rFonts w:hint="eastAsia" w:asciiTheme="minorEastAsia" w:hAnsiTheme="minorEastAsia" w:eastAsiaTheme="minorEastAsia"/>
                <w:color w:val="auto"/>
                <w:sz w:val="15"/>
                <w:szCs w:val="15"/>
                <w:highlight w:val="none"/>
              </w:rPr>
              <w:t xml:space="preserve">处理 </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违反条款：第十条第(四)项；处罚条款：第二十条第一款；责令限期改正，可以处200元以上2000元以下罚款。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经责令改正仍未及时处理的，自责改之日起每逾期1天，系数1，以此累加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罚款数额＝200×（1＋区域系数＋变量系数）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发现擅自搭挂的线缆，未按要求清除或者报告</w:t>
            </w:r>
          </w:p>
        </w:tc>
        <w:tc>
          <w:tcPr>
            <w:tcW w:w="2789" w:type="dxa"/>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违反条款：第十条第(六)项；处罚条款：第二十条第一款；责令限期改正，可以处200元以上2000元以下罚款。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经责令改正仍未及时清除或者报告的，自责改之日起每逾期1天，系数1，以此累加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罚款数额＝200×（1＋区域系数＋变量系数）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未及时清除废弃架空线</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违反条款：第十条第(五)项；处罚条款：第二十条第二款；责令限期改正，可以处300元以上3000元以下罚款。逾期不改正的，由区县市政市容行政管理部门组织清除。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经责令改正仍未及时处理的，自责改之日起每逾期1天，系数1，以此累加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罚款数额＝300×（1＋区域系数＋变量系数）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5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未按要求实施架空线埋设入地</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违反条款：第十三条第二款；处罚条款：第二十一条；责令限期改正，可以处3000元以上3万元以下罚款。架空线管理人逾期不改正的，由区县市政市容行政管理部门组织清除。</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经责令改正，仍未制定入地方案，并及时采取入地措施的，自责改之日起每逾期5天，系数1，以此累加</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45天及以上的，系数9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×（1＋区域系数＋变量系数）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4"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rPr>
                <w:rFonts w:asciiTheme="minorEastAsia" w:hAnsiTheme="minorEastAsia" w:eastAsiaTheme="minorEastAsia"/>
                <w:color w:val="auto"/>
                <w:sz w:val="15"/>
                <w:szCs w:val="15"/>
                <w:highlight w:val="none"/>
              </w:rPr>
            </w:pPr>
            <w:bookmarkStart w:id="49" w:name="_Toc275604405"/>
            <w:bookmarkStart w:id="50" w:name="_Toc110851453"/>
            <w:bookmarkStart w:id="51" w:name="_Toc1065874877"/>
            <w:r>
              <w:rPr>
                <w:rFonts w:hint="eastAsia" w:asciiTheme="minorEastAsia" w:hAnsiTheme="minorEastAsia" w:eastAsiaTheme="minorEastAsia"/>
                <w:color w:val="auto"/>
                <w:sz w:val="21"/>
                <w:szCs w:val="21"/>
                <w:highlight w:val="none"/>
              </w:rPr>
              <w:t>《北京市</w:t>
            </w:r>
            <w:r>
              <w:rPr>
                <w:rFonts w:asciiTheme="minorEastAsia" w:hAnsiTheme="minorEastAsia" w:eastAsiaTheme="minorEastAsia"/>
                <w:color w:val="auto"/>
                <w:sz w:val="21"/>
                <w:szCs w:val="21"/>
                <w:highlight w:val="none"/>
              </w:rPr>
              <w:t>物业管理条例</w:t>
            </w:r>
            <w:r>
              <w:rPr>
                <w:rFonts w:hint="eastAsia" w:asciiTheme="minorEastAsia" w:hAnsiTheme="minorEastAsia" w:eastAsiaTheme="minorEastAsia"/>
                <w:color w:val="auto"/>
                <w:sz w:val="21"/>
                <w:szCs w:val="21"/>
                <w:highlight w:val="none"/>
              </w:rPr>
              <w:t>》案由1项</w:t>
            </w:r>
            <w:bookmarkEnd w:id="49"/>
            <w:bookmarkEnd w:id="50"/>
            <w:bookmarkEnd w:id="5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3" w:hRule="atLeast"/>
          <w:jc w:val="center"/>
        </w:trPr>
        <w:tc>
          <w:tcPr>
            <w:tcW w:w="94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占用、堵塞、封闭其他共用部位（或者损坏其他共用设施设备）</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违反条款：第七十八条第二款第(十)项。</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处罚条款：第九十八条第(十)项，责令改正，给予警告，对单位处二千元以上二万元以下的罚款，对个人处二百元以上五百元以下的罚款。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占用、堵塞、封闭共用部位空间较大、损坏共用设施设备较为严重的，系数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做</w:t>
            </w:r>
            <w:r>
              <w:rPr>
                <w:rFonts w:hint="eastAsia" w:cs="宋体" w:asciiTheme="minorEastAsia" w:hAnsiTheme="minorEastAsia" w:eastAsiaTheme="minorEastAsia"/>
                <w:color w:val="auto"/>
                <w:kern w:val="0"/>
                <w:sz w:val="15"/>
                <w:szCs w:val="15"/>
                <w:highlight w:val="none"/>
              </w:rPr>
              <w:t>好与本市机动车停车管理法规、规章，以及与消防部门职责分工的衔接。</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6" w:hRule="atLeast"/>
          <w:jc w:val="center"/>
        </w:trPr>
        <w:tc>
          <w:tcPr>
            <w:tcW w:w="94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占用、堵塞、封闭共用部位空间较大、损坏共用设施设备较为严重的，系数</w:t>
            </w: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 w:eastAsia="zh-CN"/>
              </w:rPr>
              <w:t>.5</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406" w:hRule="atLeast"/>
          <w:jc w:val="center"/>
        </w:trPr>
        <w:tc>
          <w:tcPr>
            <w:tcW w:w="14218" w:type="dxa"/>
            <w:gridSpan w:val="9"/>
            <w:tcBorders>
              <w:left w:val="single" w:color="000000" w:sz="4" w:space="0"/>
              <w:bottom w:val="single" w:color="000000" w:sz="4" w:space="0"/>
              <w:right w:val="single" w:color="000000" w:sz="4" w:space="0"/>
            </w:tcBorders>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auto"/>
              <w:rPr>
                <w:rFonts w:asciiTheme="minorEastAsia" w:hAnsiTheme="minorEastAsia" w:eastAsiaTheme="minorEastAsia"/>
                <w:color w:val="auto"/>
                <w:sz w:val="15"/>
                <w:szCs w:val="15"/>
                <w:highlight w:val="none"/>
              </w:rPr>
            </w:pPr>
            <w:bookmarkStart w:id="52" w:name="_Toc110851454"/>
            <w:bookmarkStart w:id="53" w:name="_Toc54194176"/>
            <w:bookmarkStart w:id="54" w:name="_Toc68918608"/>
            <w:r>
              <w:rPr>
                <w:rFonts w:hint="eastAsia" w:asciiTheme="minorEastAsia" w:hAnsiTheme="minorEastAsia" w:eastAsiaTheme="minorEastAsia"/>
                <w:color w:val="auto"/>
                <w:sz w:val="21"/>
                <w:szCs w:val="21"/>
                <w:highlight w:val="none"/>
              </w:rPr>
              <w:t>《</w:t>
            </w:r>
            <w:r>
              <w:rPr>
                <w:rFonts w:hint="eastAsia" w:asciiTheme="minorEastAsia" w:hAnsiTheme="minorEastAsia" w:eastAsiaTheme="minorEastAsia"/>
                <w:color w:val="auto"/>
                <w:sz w:val="21"/>
                <w:szCs w:val="21"/>
                <w:highlight w:val="none"/>
                <w:lang w:val="zh-CN"/>
              </w:rPr>
              <w:t>北京市国际交往语言环境建设条例</w:t>
            </w:r>
            <w:r>
              <w:rPr>
                <w:rFonts w:hint="eastAsia" w:asciiTheme="minorEastAsia" w:hAnsiTheme="minorEastAsia" w:eastAsiaTheme="minorEastAsia"/>
                <w:color w:val="auto"/>
                <w:sz w:val="21"/>
                <w:szCs w:val="21"/>
                <w:highlight w:val="none"/>
              </w:rPr>
              <w:t>》案由4项</w:t>
            </w:r>
            <w:bookmarkEnd w:id="52"/>
            <w:bookmarkEnd w:id="53"/>
            <w:bookmarkEnd w:id="54"/>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1090" w:hRule="atLeast"/>
          <w:jc w:val="center"/>
        </w:trPr>
        <w:tc>
          <w:tcPr>
            <w:tcW w:w="94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150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公共场所标识单独使用外语拒不改正</w:t>
            </w:r>
          </w:p>
        </w:tc>
        <w:tc>
          <w:tcPr>
            <w:tcW w:w="2789"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违反条款：第十六条第一款；处罚条款：第三十条  由城市管理综合执法机构责令改正；拒不改正的，给予警告，并可处五千元以上一万元以下罚款。</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5000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1</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属于</w:t>
            </w:r>
            <w:r>
              <w:rPr>
                <w:rFonts w:hint="eastAsia" w:cs="仿宋_GB2312" w:asciiTheme="minorEastAsia" w:hAnsiTheme="minorEastAsia" w:eastAsiaTheme="minorEastAsia"/>
                <w:color w:val="auto"/>
                <w:kern w:val="0"/>
                <w:sz w:val="15"/>
                <w:szCs w:val="15"/>
                <w:highlight w:val="none"/>
                <w:lang w:bidi="ar"/>
              </w:rPr>
              <w:t>第十七条第一款应当设置、使用外语标识的公共场所的，系数为1。</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hint="eastAsia" w:cs="仿宋_GB2312" w:asciiTheme="minorEastAsia" w:hAnsiTheme="minorEastAsia" w:eastAsiaTheme="minorEastAsia"/>
                <w:color w:val="auto"/>
                <w:sz w:val="15"/>
                <w:szCs w:val="15"/>
                <w:highlight w:val="none"/>
                <w:lang w:val="en"/>
              </w:rPr>
              <w:t>5</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拒不改正的情形，不记入本项“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市级</w:t>
            </w:r>
          </w:p>
          <w:p>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1079" w:hRule="atLeast"/>
          <w:jc w:val="center"/>
        </w:trPr>
        <w:tc>
          <w:tcPr>
            <w:tcW w:w="94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2</w:t>
            </w:r>
          </w:p>
        </w:tc>
        <w:tc>
          <w:tcPr>
            <w:tcW w:w="150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应当设置、使用公共场所外语标识而未设置、使用拒不改正</w:t>
            </w:r>
          </w:p>
        </w:tc>
        <w:tc>
          <w:tcPr>
            <w:tcW w:w="2789"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违反条款：第十七条第一款；处罚条款：第三十一条　由城市管理综合执法机构责令改正；拒不改正的，给予警告，并可处二千元以上五千元以下罚款。</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2000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罚款数额＝2000×（1＋区域系数+</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拒不改正的情形，不记入本项“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市级</w:t>
            </w:r>
          </w:p>
          <w:p>
            <w:pPr>
              <w:spacing w:line="232" w:lineRule="exact"/>
              <w:jc w:val="center"/>
              <w:rPr>
                <w:rFonts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区级</w:t>
            </w:r>
          </w:p>
          <w:p>
            <w:pPr>
              <w:spacing w:line="232" w:lineRule="exact"/>
              <w:ind w:firstLine="333"/>
              <w:jc w:val="center"/>
              <w:rPr>
                <w:rFonts w:asciiTheme="minorEastAsia" w:hAnsiTheme="minorEastAsia" w:eastAsiaTheme="minorEastAsia"/>
                <w:color w:val="auto"/>
                <w:sz w:val="15"/>
                <w:szCs w:val="15"/>
                <w:highlight w:val="none"/>
                <w:lang w:val="e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869" w:hRule="atLeast"/>
          <w:jc w:val="center"/>
        </w:trPr>
        <w:tc>
          <w:tcPr>
            <w:tcW w:w="940"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3</w:t>
            </w:r>
          </w:p>
        </w:tc>
        <w:tc>
          <w:tcPr>
            <w:tcW w:w="1500"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公共场所外语标识含有禁止性内容</w:t>
            </w:r>
          </w:p>
        </w:tc>
        <w:tc>
          <w:tcPr>
            <w:tcW w:w="2789"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pacing w:val="-4"/>
                <w:sz w:val="15"/>
                <w:szCs w:val="15"/>
                <w:highlight w:val="none"/>
              </w:rPr>
            </w:pPr>
            <w:r>
              <w:rPr>
                <w:rFonts w:hint="eastAsia" w:cs="仿宋_GB2312" w:asciiTheme="minorEastAsia" w:hAnsiTheme="minorEastAsia" w:eastAsiaTheme="minorEastAsia"/>
                <w:color w:val="auto"/>
                <w:spacing w:val="-4"/>
                <w:kern w:val="0"/>
                <w:sz w:val="15"/>
                <w:szCs w:val="15"/>
                <w:highlight w:val="none"/>
                <w:lang w:bidi="ar"/>
              </w:rPr>
              <w:t>违反条款：第十八条；处罚条款：第三十二条　由城市管理综合执法机构责令改正，处五千元以上一万元以下罚款；情节严重、造成恶劣影响的，处一万元以上三万元以下罚款；构成违反治安管理行为的，由公安机关依法给予治安管理处罚；构成犯罪的，依法追究刑事责任。</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5000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同时存在两项及以上禁止性内容的，系数为1。</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罚款数额＝5000×（1＋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824" w:type="dxa"/>
            <w:vMerge w:val="restart"/>
            <w:tcBorders>
              <w:top w:val="single" w:color="000000" w:sz="4" w:space="0"/>
              <w:left w:val="single" w:color="000000" w:sz="4" w:space="0"/>
              <w:right w:val="single" w:color="000000" w:sz="4" w:space="0"/>
            </w:tcBorders>
            <w:shd w:val="clear" w:color="auto" w:fill="auto"/>
            <w:vAlign w:val="center"/>
          </w:tcPr>
          <w:p>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市级</w:t>
            </w:r>
          </w:p>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1651" w:hRule="atLeast"/>
          <w:jc w:val="center"/>
        </w:trPr>
        <w:tc>
          <w:tcPr>
            <w:tcW w:w="94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p>
        </w:tc>
        <w:tc>
          <w:tcPr>
            <w:tcW w:w="150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Theme="minorEastAsia" w:hAnsiTheme="minorEastAsia" w:eastAsiaTheme="minorEastAsia"/>
                <w:color w:val="auto"/>
                <w:sz w:val="15"/>
                <w:szCs w:val="15"/>
                <w:highlight w:val="none"/>
              </w:rPr>
            </w:pPr>
          </w:p>
        </w:tc>
        <w:tc>
          <w:tcPr>
            <w:tcW w:w="278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Theme="minorEastAsia" w:hAnsiTheme="minorEastAsia" w:eastAsiaTheme="minorEastAsia"/>
                <w:color w:val="auto"/>
                <w:sz w:val="15"/>
                <w:szCs w:val="15"/>
                <w:highlight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10000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同时存在两项禁止性内容的，系数为1；同时存在三项以上禁止性内容的，系数为2。</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罚款数额＝10000×（1＋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拒不改正或两次及以上违法的，或者被市级以上媒体曝光，或者造成其它恶劣影响的，视为“情节严重、造成恶劣影响”。</w:t>
            </w:r>
          </w:p>
          <w:p>
            <w:pPr>
              <w:pStyle w:val="22"/>
              <w:keepNext w:val="0"/>
              <w:keepLines w:val="0"/>
              <w:pageBreakBefore w:val="0"/>
              <w:widowControl w:val="0"/>
              <w:tabs>
                <w:tab w:val="left" w:pos="0"/>
                <w:tab w:val="left" w:pos="420"/>
              </w:tabs>
              <w:kinsoku/>
              <w:wordWrap/>
              <w:overflowPunct/>
              <w:topLinePunct w:val="0"/>
              <w:autoSpaceDE/>
              <w:autoSpaceDN/>
              <w:bidi w:val="0"/>
              <w:adjustRightInd/>
              <w:snapToGrid/>
              <w:spacing w:beforeAutospacing="0" w:after="0" w:afterAutospacing="0" w:line="232" w:lineRule="exact"/>
              <w:ind w:left="0" w:leftChars="0" w:firstLine="0" w:firstLineChars="0"/>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
              </w:rPr>
              <w:t>拒不改正或两次及以上违法的，不重复记入本项“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p>
        </w:tc>
        <w:tc>
          <w:tcPr>
            <w:tcW w:w="824" w:type="dxa"/>
            <w:vMerge w:val="continue"/>
            <w:tcBorders>
              <w:left w:val="single" w:color="000000" w:sz="4" w:space="0"/>
              <w:bottom w:val="single" w:color="000000" w:sz="4" w:space="0"/>
              <w:right w:val="single" w:color="000000" w:sz="4" w:space="0"/>
            </w:tcBorders>
            <w:shd w:val="clear" w:color="auto" w:fill="auto"/>
            <w:vAlign w:val="center"/>
          </w:tcPr>
          <w:p>
            <w:pPr>
              <w:pStyle w:val="22"/>
              <w:tabs>
                <w:tab w:val="left" w:pos="0"/>
                <w:tab w:val="left" w:pos="420"/>
              </w:tabs>
              <w:spacing w:line="232" w:lineRule="exact"/>
              <w:ind w:left="0" w:leftChars="0" w:firstLine="0" w:firstLineChars="0"/>
              <w:jc w:val="center"/>
              <w:rPr>
                <w:rFonts w:cs="仿宋_GB2312" w:asciiTheme="minorEastAsia" w:hAnsiTheme="minorEastAsia" w:eastAsiaTheme="minorEastAsia"/>
                <w:color w:val="auto"/>
                <w:sz w:val="15"/>
                <w:szCs w:val="15"/>
                <w:highlight w:val="none"/>
                <w:lang w:val="e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1413" w:hRule="atLeast"/>
          <w:jc w:val="center"/>
        </w:trPr>
        <w:tc>
          <w:tcPr>
            <w:tcW w:w="94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4</w:t>
            </w:r>
          </w:p>
        </w:tc>
        <w:tc>
          <w:tcPr>
            <w:tcW w:w="1500"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公共场所外语标识译写错误或者明显不当拒不改正</w:t>
            </w:r>
          </w:p>
        </w:tc>
        <w:tc>
          <w:tcPr>
            <w:tcW w:w="2789"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lang w:bidi="ar"/>
              </w:rPr>
              <w:t>违反条款：第十九条第一款；处罚条款：第三十三条　由城市管理综合执法机构责令改正；拒不改正的，给予警告，并可处二千元以上五千元以下罚款。</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2000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属于第十七条第一款应当设置、使用外语标识的公共场所的，系数为1；</w:t>
            </w:r>
            <w:r>
              <w:rPr>
                <w:rFonts w:hint="eastAsia" w:cs="仿宋_GB2312" w:asciiTheme="minorEastAsia" w:hAnsiTheme="minorEastAsia" w:eastAsiaTheme="minorEastAsia"/>
                <w:color w:val="auto"/>
                <w:kern w:val="0"/>
                <w:sz w:val="15"/>
                <w:szCs w:val="15"/>
                <w:highlight w:val="none"/>
                <w:lang w:val="en-US" w:eastAsia="zh-CN" w:bidi="ar"/>
              </w:rPr>
              <w:t>2.</w:t>
            </w:r>
            <w:r>
              <w:rPr>
                <w:rFonts w:hint="eastAsia" w:cs="仿宋_GB2312" w:asciiTheme="minorEastAsia" w:hAnsiTheme="minorEastAsia" w:eastAsiaTheme="minorEastAsia"/>
                <w:color w:val="auto"/>
                <w:kern w:val="0"/>
                <w:sz w:val="15"/>
                <w:szCs w:val="15"/>
                <w:highlight w:val="none"/>
                <w:lang w:bidi="ar"/>
              </w:rPr>
              <w:t>被媒体曝光的，系数为1;</w:t>
            </w:r>
            <w:r>
              <w:rPr>
                <w:rFonts w:hint="eastAsia" w:cs="仿宋_GB2312" w:asciiTheme="minorEastAsia" w:hAnsiTheme="minorEastAsia" w:eastAsiaTheme="minorEastAsia"/>
                <w:color w:val="auto"/>
                <w:kern w:val="0"/>
                <w:sz w:val="15"/>
                <w:szCs w:val="15"/>
                <w:highlight w:val="none"/>
                <w:lang w:val="en-US" w:eastAsia="zh-CN" w:bidi="ar"/>
              </w:rPr>
              <w:t>3.</w:t>
            </w:r>
            <w:r>
              <w:rPr>
                <w:rFonts w:hint="eastAsia" w:cs="仿宋_GB2312" w:asciiTheme="minorEastAsia" w:hAnsiTheme="minorEastAsia" w:eastAsiaTheme="minorEastAsia"/>
                <w:color w:val="auto"/>
                <w:kern w:val="0"/>
                <w:sz w:val="15"/>
                <w:szCs w:val="15"/>
                <w:highlight w:val="none"/>
                <w:lang w:bidi="ar"/>
              </w:rPr>
              <w:t>造成恶劣影响的，系数为2。</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hint="eastAsia" w:cs="仿宋_GB2312" w:asciiTheme="minorEastAsia" w:hAnsiTheme="minorEastAsia" w:eastAsiaTheme="minorEastAsia"/>
                <w:color w:val="auto"/>
                <w:sz w:val="15"/>
                <w:szCs w:val="15"/>
                <w:highlight w:val="none"/>
                <w:lang w:val="en"/>
              </w:rPr>
              <w:t>2</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仿宋_GB2312" w:asciiTheme="minorEastAsia" w:hAnsiTheme="minorEastAsia" w:eastAsiaTheme="minorEastAsia"/>
                <w:color w:val="auto"/>
                <w:sz w:val="15"/>
                <w:szCs w:val="15"/>
                <w:highlight w:val="none"/>
                <w:lang w:val="en" w:eastAsia="zh-CN"/>
              </w:rPr>
            </w:pPr>
            <w:r>
              <w:rPr>
                <w:rFonts w:hint="eastAsia" w:cs="仿宋_GB2312" w:asciiTheme="minorEastAsia" w:hAnsiTheme="minorEastAsia" w:eastAsiaTheme="minorEastAsia"/>
                <w:color w:val="auto"/>
                <w:sz w:val="15"/>
                <w:szCs w:val="15"/>
                <w:highlight w:val="none"/>
                <w:lang w:val="en"/>
              </w:rPr>
              <w:t>拒不改正的情形，不记入本项“</w:t>
            </w:r>
            <w:r>
              <w:rPr>
                <w:rFonts w:hint="eastAsia" w:cs="仿宋_GB2312" w:asciiTheme="minorEastAsia" w:hAnsiTheme="minorEastAsia" w:eastAsiaTheme="minorEastAsia"/>
                <w:color w:val="auto"/>
                <w:sz w:val="15"/>
                <w:szCs w:val="15"/>
                <w:highlight w:val="none"/>
                <w:lang w:val="en" w:eastAsia="zh-CN"/>
              </w:rPr>
              <w:t>常量系数</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lang w:val="en" w:eastAsia="zh-CN"/>
              </w:rPr>
              <w:t>。</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市级</w:t>
            </w:r>
          </w:p>
          <w:p>
            <w:pPr>
              <w:spacing w:line="232" w:lineRule="exact"/>
              <w:jc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617" w:hRule="atLeast"/>
          <w:jc w:val="center"/>
        </w:trPr>
        <w:tc>
          <w:tcPr>
            <w:tcW w:w="14218" w:type="dxa"/>
            <w:gridSpan w:val="9"/>
            <w:tcBorders>
              <w:left w:val="single" w:color="000000" w:sz="4" w:space="0"/>
              <w:bottom w:val="single" w:color="000000" w:sz="4" w:space="0"/>
              <w:right w:val="single" w:color="000000" w:sz="4" w:space="0"/>
            </w:tcBorders>
            <w:shd w:val="clear" w:color="auto" w:fill="auto"/>
            <w:vAlign w:val="center"/>
          </w:tcPr>
          <w:p>
            <w:pPr>
              <w:pStyle w:val="2"/>
              <w:bidi w:val="0"/>
              <w:rPr>
                <w:rFonts w:ascii="黑体" w:hAnsi="黑体" w:eastAsia="黑体" w:cs="仿宋_GB2312"/>
                <w:color w:val="auto"/>
                <w:highlight w:val="none"/>
                <w:lang w:val="en"/>
              </w:rPr>
            </w:pPr>
            <w:bookmarkStart w:id="55" w:name="_Toc435705406"/>
            <w:bookmarkStart w:id="56" w:name="_Toc343261123"/>
            <w:r>
              <w:rPr>
                <w:rFonts w:hint="eastAsia" w:ascii="黑体" w:hAnsi="黑体" w:eastAsia="黑体" w:cs="黑体"/>
                <w:b w:val="0"/>
                <w:bCs w:val="0"/>
                <w:color w:val="auto"/>
                <w:highlight w:val="none"/>
              </w:rPr>
              <w:t>市政管理方面</w:t>
            </w:r>
            <w:bookmarkEnd w:id="55"/>
            <w:bookmarkEnd w:id="56"/>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trHeight w:val="453" w:hRule="atLeast"/>
          <w:jc w:val="center"/>
        </w:trPr>
        <w:tc>
          <w:tcPr>
            <w:tcW w:w="14218" w:type="dxa"/>
            <w:gridSpan w:val="9"/>
            <w:tcBorders>
              <w:left w:val="single" w:color="000000" w:sz="4" w:space="0"/>
              <w:bottom w:val="single" w:color="000000" w:sz="4" w:space="0"/>
              <w:right w:val="single" w:color="000000" w:sz="4" w:space="0"/>
            </w:tcBorders>
            <w:shd w:val="clear" w:color="auto" w:fill="auto"/>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hint="default" w:cs="方正小标宋简体" w:asciiTheme="minorEastAsia" w:hAnsiTheme="minorEastAsia" w:eastAsiaTheme="minorEastAsia"/>
                <w:b/>
                <w:bCs/>
                <w:color w:val="auto"/>
                <w:szCs w:val="15"/>
                <w:highlight w:val="none"/>
                <w:lang w:val="en"/>
              </w:rPr>
            </w:pPr>
            <w:bookmarkStart w:id="57" w:name="_Toc1018838380"/>
            <w:bookmarkStart w:id="58" w:name="_Toc1020309817"/>
            <w:r>
              <w:rPr>
                <w:rFonts w:hint="eastAsia"/>
                <w:color w:val="auto"/>
                <w:sz w:val="21"/>
                <w:szCs w:val="21"/>
                <w:highlight w:val="none"/>
                <w:lang w:val="en-US" w:eastAsia="zh-CN"/>
              </w:rPr>
              <w:t>《北京市无障碍环境建设条例》案由6</w:t>
            </w:r>
            <w:bookmarkEnd w:id="57"/>
            <w:r>
              <w:rPr>
                <w:rFonts w:hint="eastAsia"/>
                <w:color w:val="auto"/>
                <w:sz w:val="21"/>
                <w:szCs w:val="21"/>
                <w:highlight w:val="none"/>
                <w:lang w:val="en-US" w:eastAsia="zh-CN"/>
              </w:rPr>
              <w:t>项</w:t>
            </w:r>
            <w:bookmarkEnd w:id="5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0"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城市道路范围内</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无障碍设施</w:t>
            </w:r>
            <w:r>
              <w:rPr>
                <w:rFonts w:hint="eastAsia" w:cs="仿宋_GB2312" w:asciiTheme="minorEastAsia" w:hAnsiTheme="minorEastAsia" w:eastAsiaTheme="minorEastAsia"/>
                <w:color w:val="auto"/>
                <w:sz w:val="15"/>
                <w:szCs w:val="15"/>
                <w:highlight w:val="none"/>
                <w:lang w:val="zh-CN"/>
              </w:rPr>
              <w:t>管理责任人未履行维护管理责任</w:t>
            </w:r>
          </w:p>
        </w:tc>
        <w:tc>
          <w:tcPr>
            <w:tcW w:w="2789" w:type="dxa"/>
            <w:shd w:val="clear" w:color="auto" w:fill="auto"/>
            <w:vAlign w:val="center"/>
          </w:tcPr>
          <w:p>
            <w:pPr>
              <w:spacing w:line="232" w:lineRule="exact"/>
              <w:textAlignment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违反条款：第十四条第一款第（一）项、第（二）项、第（三）项、第（四）项、第（五）项（需根据实际发生的违法行为选择）；</w:t>
            </w:r>
          </w:p>
          <w:p>
            <w:pPr>
              <w:spacing w:line="232"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处罚条款：第三十七条，责令限期改正；逾期不改正的，处三千元以上三万元以下罚款。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同时违反第十四条第一款规定中两项的，系数为4；同时违反三项及三项以上的，系数为9。</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常量系数＋变量系数＋区域系数</w:t>
            </w:r>
            <w:r>
              <w:rPr>
                <w:rFonts w:hint="eastAsia" w:cs="仿宋_GB2312"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32"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19"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50"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城市道路范围内</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无障碍设施</w:t>
            </w:r>
            <w:r>
              <w:rPr>
                <w:rFonts w:hint="eastAsia" w:cs="仿宋_GB2312" w:asciiTheme="minorEastAsia" w:hAnsiTheme="minorEastAsia" w:eastAsiaTheme="minorEastAsia"/>
                <w:color w:val="auto"/>
                <w:sz w:val="15"/>
                <w:szCs w:val="15"/>
                <w:highlight w:val="none"/>
                <w:lang w:val="zh-CN"/>
              </w:rPr>
              <w:t>管理责任人未在限定的时间内完成整改</w:t>
            </w:r>
          </w:p>
        </w:tc>
        <w:tc>
          <w:tcPr>
            <w:tcW w:w="2789" w:type="dxa"/>
            <w:shd w:val="clear" w:color="auto" w:fill="auto"/>
            <w:vAlign w:val="center"/>
          </w:tcPr>
          <w:p>
            <w:pPr>
              <w:spacing w:line="250" w:lineRule="exact"/>
              <w:textAlignment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违反条款：第十五条第一款、第二款</w:t>
            </w:r>
            <w:r>
              <w:rPr>
                <w:rFonts w:hint="eastAsia" w:cs="仿宋_GB2312" w:asciiTheme="minorEastAsia" w:hAnsiTheme="minorEastAsia" w:eastAsiaTheme="minorEastAsia"/>
                <w:color w:val="auto"/>
                <w:sz w:val="15"/>
                <w:szCs w:val="15"/>
                <w:highlight w:val="none"/>
                <w:lang w:val="en"/>
              </w:rPr>
              <w:t>（需根据实际发生的违法行为选择）</w:t>
            </w:r>
            <w:r>
              <w:rPr>
                <w:rFonts w:hint="eastAsia" w:cs="仿宋_GB2312" w:asciiTheme="minorEastAsia" w:hAnsiTheme="minorEastAsia" w:eastAsiaTheme="minorEastAsia"/>
                <w:color w:val="auto"/>
                <w:sz w:val="15"/>
                <w:szCs w:val="15"/>
                <w:highlight w:val="none"/>
              </w:rPr>
              <w:t>；</w:t>
            </w:r>
          </w:p>
          <w:p>
            <w:pPr>
              <w:spacing w:line="250"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处罚条款：第三十八条，责令限期改正；逾期不改正的，处应当建设或者改造的无障碍设施工程造价一倍以上二倍以下罚款。</w:t>
            </w:r>
          </w:p>
        </w:tc>
        <w:tc>
          <w:tcPr>
            <w:tcW w:w="851"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无障碍设施工程造价款</w:t>
            </w:r>
          </w:p>
        </w:tc>
        <w:tc>
          <w:tcPr>
            <w:tcW w:w="840"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造成行人伤亡或其它事故的，系数1。</w:t>
            </w:r>
          </w:p>
        </w:tc>
        <w:tc>
          <w:tcPr>
            <w:tcW w:w="1785"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罚款数额=无障碍设施工程造价款×（1+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1"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公共停车场</w:t>
            </w:r>
            <w:r>
              <w:rPr>
                <w:rFonts w:hint="eastAsia" w:cs="仿宋_GB2312" w:asciiTheme="minorEastAsia" w:hAnsiTheme="minorEastAsia" w:eastAsiaTheme="minorEastAsia"/>
                <w:color w:val="auto"/>
                <w:sz w:val="15"/>
                <w:szCs w:val="15"/>
                <w:highlight w:val="none"/>
                <w:lang w:val="zh-CN"/>
              </w:rPr>
              <w:t>擅自改变无障碍停车位用途</w:t>
            </w:r>
          </w:p>
        </w:tc>
        <w:tc>
          <w:tcPr>
            <w:tcW w:w="2789" w:type="dxa"/>
            <w:shd w:val="clear" w:color="auto" w:fill="auto"/>
            <w:vAlign w:val="center"/>
          </w:tcPr>
          <w:p>
            <w:pPr>
              <w:spacing w:line="250" w:lineRule="exact"/>
              <w:rPr>
                <w:rFonts w:cs="仿宋_GB2312" w:asciiTheme="minorEastAsia" w:hAnsiTheme="minorEastAsia" w:eastAsiaTheme="minorEastAsia"/>
                <w:color w:val="auto"/>
                <w:sz w:val="15"/>
                <w:szCs w:val="15"/>
                <w:highlight w:val="none"/>
                <w:lang w:val="zh-CN"/>
              </w:rPr>
            </w:pPr>
            <w:r>
              <w:rPr>
                <w:rFonts w:hint="eastAsia" w:cs="仿宋_GB2312" w:asciiTheme="minorEastAsia" w:hAnsiTheme="minorEastAsia" w:eastAsiaTheme="minorEastAsia"/>
                <w:color w:val="auto"/>
                <w:sz w:val="15"/>
                <w:szCs w:val="15"/>
                <w:highlight w:val="none"/>
              </w:rPr>
              <w:t>违反条款：</w:t>
            </w:r>
            <w:r>
              <w:rPr>
                <w:rFonts w:hint="eastAsia" w:cs="仿宋_GB2312" w:asciiTheme="minorEastAsia" w:hAnsiTheme="minorEastAsia" w:eastAsiaTheme="minorEastAsia"/>
                <w:color w:val="auto"/>
                <w:sz w:val="15"/>
                <w:szCs w:val="15"/>
                <w:highlight w:val="none"/>
                <w:lang w:val="zh-CN"/>
              </w:rPr>
              <w:t>第十七条第一款；</w:t>
            </w:r>
          </w:p>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w:t>
            </w:r>
            <w:r>
              <w:rPr>
                <w:rFonts w:hint="eastAsia" w:cs="仿宋_GB2312" w:asciiTheme="minorEastAsia" w:hAnsiTheme="minorEastAsia" w:eastAsiaTheme="minorEastAsia"/>
                <w:color w:val="auto"/>
                <w:sz w:val="15"/>
                <w:szCs w:val="15"/>
                <w:highlight w:val="none"/>
                <w:lang w:val="zh-CN"/>
              </w:rPr>
              <w:t>第三十九条第一款，责令限期改正；逾期不改正的，按照擅自改变用途的无障碍停车位数量，每个泊位处一万元罚款。</w:t>
            </w:r>
          </w:p>
        </w:tc>
        <w:tc>
          <w:tcPr>
            <w:tcW w:w="851"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10000</w:t>
            </w:r>
          </w:p>
        </w:tc>
        <w:tc>
          <w:tcPr>
            <w:tcW w:w="840"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罚款数额=10000×改变用途</w:t>
            </w:r>
            <w:r>
              <w:rPr>
                <w:rFonts w:hint="eastAsia" w:cs="仿宋_GB2312" w:asciiTheme="minorEastAsia" w:hAnsiTheme="minorEastAsia" w:eastAsiaTheme="minorEastAsia"/>
                <w:color w:val="auto"/>
                <w:sz w:val="15"/>
                <w:szCs w:val="15"/>
                <w:highlight w:val="none"/>
                <w:lang w:val="zh-CN"/>
              </w:rPr>
              <w:t>停车</w:t>
            </w:r>
            <w:r>
              <w:rPr>
                <w:rFonts w:hint="eastAsia" w:cs="仿宋_GB2312" w:asciiTheme="minorEastAsia" w:hAnsiTheme="minorEastAsia" w:eastAsiaTheme="minorEastAsia"/>
                <w:color w:val="auto"/>
                <w:sz w:val="15"/>
                <w:szCs w:val="15"/>
                <w:highlight w:val="none"/>
              </w:rPr>
              <w:t>泊位数</w:t>
            </w:r>
          </w:p>
        </w:tc>
        <w:tc>
          <w:tcPr>
            <w:tcW w:w="2385" w:type="dxa"/>
            <w:shd w:val="clear" w:color="auto" w:fill="auto"/>
            <w:vAlign w:val="center"/>
          </w:tcPr>
          <w:p>
            <w:pPr>
              <w:spacing w:line="250" w:lineRule="exact"/>
              <w:rPr>
                <w:rFonts w:hint="eastAsia" w:cs="仿宋_GB2312" w:asciiTheme="minorEastAsia" w:hAnsiTheme="minorEastAsia" w:eastAsiaTheme="minorEastAsia"/>
                <w:color w:val="auto"/>
                <w:kern w:val="0"/>
                <w:sz w:val="15"/>
                <w:szCs w:val="15"/>
                <w:highlight w:val="none"/>
                <w:lang w:val="en" w:eastAsia="zh-CN"/>
              </w:rPr>
            </w:pPr>
          </w:p>
        </w:tc>
        <w:tc>
          <w:tcPr>
            <w:tcW w:w="824" w:type="dxa"/>
            <w:shd w:val="clear" w:color="auto" w:fill="auto"/>
            <w:vAlign w:val="center"/>
          </w:tcPr>
          <w:p>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48"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zh-CN"/>
              </w:rPr>
              <w:t>损毁、侵占或者擅自停止使用道路内无障碍设施</w:t>
            </w:r>
          </w:p>
        </w:tc>
        <w:tc>
          <w:tcPr>
            <w:tcW w:w="2789" w:type="dxa"/>
            <w:shd w:val="clear" w:color="auto" w:fill="auto"/>
            <w:vAlign w:val="center"/>
          </w:tcPr>
          <w:p>
            <w:pPr>
              <w:spacing w:line="250" w:lineRule="exact"/>
              <w:rPr>
                <w:rFonts w:cs="仿宋_GB2312" w:asciiTheme="minorEastAsia" w:hAnsiTheme="minorEastAsia" w:eastAsiaTheme="minorEastAsia"/>
                <w:color w:val="auto"/>
                <w:sz w:val="15"/>
                <w:szCs w:val="15"/>
                <w:highlight w:val="none"/>
                <w:lang w:val="zh-CN"/>
              </w:rPr>
            </w:pPr>
            <w:r>
              <w:rPr>
                <w:rFonts w:hint="eastAsia" w:cs="仿宋_GB2312" w:asciiTheme="minorEastAsia" w:hAnsiTheme="minorEastAsia" w:eastAsiaTheme="minorEastAsia"/>
                <w:color w:val="auto"/>
                <w:sz w:val="15"/>
                <w:szCs w:val="15"/>
                <w:highlight w:val="none"/>
              </w:rPr>
              <w:t>违反条款：</w:t>
            </w:r>
            <w:r>
              <w:rPr>
                <w:rFonts w:hint="eastAsia" w:cs="仿宋_GB2312" w:asciiTheme="minorEastAsia" w:hAnsiTheme="minorEastAsia" w:eastAsiaTheme="minorEastAsia"/>
                <w:color w:val="auto"/>
                <w:sz w:val="15"/>
                <w:szCs w:val="15"/>
                <w:highlight w:val="none"/>
                <w:lang w:val="zh-CN"/>
              </w:rPr>
              <w:t>第十九条第一款；</w:t>
            </w:r>
          </w:p>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w:t>
            </w:r>
            <w:r>
              <w:rPr>
                <w:rFonts w:hint="eastAsia" w:cs="仿宋_GB2312" w:asciiTheme="minorEastAsia" w:hAnsiTheme="minorEastAsia" w:eastAsiaTheme="minorEastAsia"/>
                <w:color w:val="auto"/>
                <w:sz w:val="15"/>
                <w:szCs w:val="15"/>
                <w:highlight w:val="none"/>
                <w:lang w:val="zh-CN"/>
              </w:rPr>
              <w:t>第四十条第一款，责令限期改正；逾期不改正的，处三千元以上三万元以下罚款。</w:t>
            </w:r>
          </w:p>
        </w:tc>
        <w:tc>
          <w:tcPr>
            <w:tcW w:w="851"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3000</w:t>
            </w:r>
          </w:p>
        </w:tc>
        <w:tc>
          <w:tcPr>
            <w:tcW w:w="840"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1.对通行秩序、市容秩序造成较大影响的，系数4；2.造成行人伤亡或其它事故的，系数9。</w:t>
            </w:r>
          </w:p>
        </w:tc>
        <w:tc>
          <w:tcPr>
            <w:tcW w:w="1785"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824" w:type="dxa"/>
            <w:shd w:val="clear" w:color="auto" w:fill="auto"/>
            <w:vAlign w:val="center"/>
          </w:tcPr>
          <w:p>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5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2"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经批准临时占用道路内无障碍设施的，</w:t>
            </w:r>
            <w:r>
              <w:rPr>
                <w:rFonts w:hint="eastAsia" w:cs="仿宋_GB2312" w:asciiTheme="minorEastAsia" w:hAnsiTheme="minorEastAsia" w:eastAsiaTheme="minorEastAsia"/>
                <w:color w:val="auto"/>
                <w:sz w:val="15"/>
                <w:szCs w:val="15"/>
                <w:highlight w:val="none"/>
                <w:lang w:val="zh-CN"/>
              </w:rPr>
              <w:t>未设置护栏、警示标志或者语音提示，或者未采取必要的替代措施</w:t>
            </w:r>
            <w:r>
              <w:rPr>
                <w:rFonts w:hint="eastAsia" w:cs="仿宋_GB2312" w:asciiTheme="minorEastAsia" w:hAnsiTheme="minorEastAsia" w:eastAsiaTheme="minorEastAsia"/>
                <w:color w:val="auto"/>
                <w:sz w:val="15"/>
                <w:szCs w:val="15"/>
                <w:highlight w:val="none"/>
                <w:lang w:val="en"/>
              </w:rPr>
              <w:t>（需根据实际发生的违法行为选择）</w:t>
            </w:r>
          </w:p>
        </w:tc>
        <w:tc>
          <w:tcPr>
            <w:tcW w:w="2789" w:type="dxa"/>
            <w:shd w:val="clear" w:color="auto" w:fill="auto"/>
            <w:vAlign w:val="center"/>
          </w:tcPr>
          <w:p>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违反条款：第十九条第二款；</w:t>
            </w:r>
          </w:p>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处罚条款：第四十条第二款，责令限期改正；逾期不改正的，处三千元以上三万元以下罚款。</w:t>
            </w:r>
          </w:p>
        </w:tc>
        <w:tc>
          <w:tcPr>
            <w:tcW w:w="851"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3000</w:t>
            </w:r>
          </w:p>
        </w:tc>
        <w:tc>
          <w:tcPr>
            <w:tcW w:w="840"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1.对通行秩序造成较大影响的，系数4；2.造成行人伤亡或其它事故的，系数9。</w:t>
            </w:r>
          </w:p>
        </w:tc>
        <w:tc>
          <w:tcPr>
            <w:tcW w:w="1785"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p>
            <w:pPr>
              <w:spacing w:line="220"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2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5" w:hRule="atLeast"/>
          <w:jc w:val="center"/>
        </w:trPr>
        <w:tc>
          <w:tcPr>
            <w:tcW w:w="9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经批准临时占用道路内无障碍设施占用期届满，未及时恢复无障碍设施功能</w:t>
            </w:r>
          </w:p>
        </w:tc>
        <w:tc>
          <w:tcPr>
            <w:tcW w:w="2789" w:type="dxa"/>
            <w:shd w:val="clear" w:color="auto" w:fill="auto"/>
            <w:vAlign w:val="center"/>
          </w:tcPr>
          <w:p>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违反条款：第十九条第二款；</w:t>
            </w:r>
          </w:p>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处罚条款：第四十条第二款，责令限期改正；逾期不改正的，处恢复无障碍设施功能所需的工程造价一倍以上二倍以下罚款。</w:t>
            </w:r>
          </w:p>
        </w:tc>
        <w:tc>
          <w:tcPr>
            <w:tcW w:w="851"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恢复无障碍设施功能所需的工程造价</w:t>
            </w:r>
          </w:p>
        </w:tc>
        <w:tc>
          <w:tcPr>
            <w:tcW w:w="840"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对通行秩序、市容秩序造成较大影响的，或者造成行人伤亡或其它事故的，系数1。</w:t>
            </w:r>
          </w:p>
        </w:tc>
        <w:tc>
          <w:tcPr>
            <w:tcW w:w="1785"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罚款数额＝恢复无障碍设施功能所需的工程造价×（1+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逾期不改正的情形，不记入本项“</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w:t>
            </w:r>
          </w:p>
        </w:tc>
        <w:tc>
          <w:tcPr>
            <w:tcW w:w="824" w:type="dxa"/>
            <w:shd w:val="clear" w:color="auto" w:fill="auto"/>
            <w:vAlign w:val="center"/>
          </w:tcPr>
          <w:p>
            <w:pPr>
              <w:spacing w:line="22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2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8" w:hRule="atLeast"/>
          <w:jc w:val="center"/>
        </w:trPr>
        <w:tc>
          <w:tcPr>
            <w:tcW w:w="14218" w:type="dxa"/>
            <w:gridSpan w:val="9"/>
            <w:shd w:val="clear" w:color="auto" w:fill="auto"/>
            <w:vAlign w:val="center"/>
          </w:tcPr>
          <w:p>
            <w:pPr>
              <w:pStyle w:val="3"/>
              <w:bidi w:val="0"/>
              <w:jc w:val="center"/>
              <w:rPr>
                <w:rFonts w:hint="default" w:ascii="宋体" w:hAnsi="宋体" w:eastAsia="宋体" w:cs="宋体"/>
                <w:color w:val="auto"/>
                <w:sz w:val="21"/>
                <w:szCs w:val="21"/>
                <w:highlight w:val="none"/>
                <w:lang w:val="en-US"/>
              </w:rPr>
            </w:pPr>
            <w:bookmarkStart w:id="59" w:name="_Toc1119823230"/>
            <w:bookmarkStart w:id="60" w:name="_Toc1038902727"/>
            <w:r>
              <w:rPr>
                <w:rFonts w:hint="eastAsia" w:ascii="宋体" w:hAnsi="宋体" w:eastAsia="宋体" w:cs="宋体"/>
                <w:color w:val="auto"/>
                <w:sz w:val="21"/>
                <w:szCs w:val="21"/>
                <w:highlight w:val="none"/>
                <w:lang w:val="en-US" w:eastAsia="zh-CN"/>
              </w:rPr>
              <w:t>《中华人民共和国无障碍环境建设法》案由2项</w:t>
            </w:r>
            <w:bookmarkEnd w:id="5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5" w:hRule="atLeast"/>
          <w:jc w:val="center"/>
        </w:trPr>
        <w:tc>
          <w:tcPr>
            <w:tcW w:w="940" w:type="dxa"/>
            <w:vMerge w:val="restart"/>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lang w:val="en-US" w:eastAsia="zh-CN"/>
              </w:rPr>
            </w:pPr>
            <w:r>
              <w:rPr>
                <w:rFonts w:hint="eastAsia" w:cs="仿宋_GB2312" w:asciiTheme="minorEastAsia" w:hAnsiTheme="minorEastAsia" w:eastAsiaTheme="minorEastAsia"/>
                <w:color w:val="auto"/>
                <w:kern w:val="0"/>
                <w:sz w:val="15"/>
                <w:szCs w:val="15"/>
                <w:highlight w:val="none"/>
                <w:lang w:val="en-US" w:eastAsia="zh-CN"/>
              </w:rPr>
              <w:t>1</w:t>
            </w:r>
          </w:p>
        </w:tc>
        <w:tc>
          <w:tcPr>
            <w:tcW w:w="1500" w:type="dxa"/>
            <w:vMerge w:val="restart"/>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城市道路范围内</w:t>
            </w: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无障碍设施</w:t>
            </w:r>
            <w:r>
              <w:rPr>
                <w:rFonts w:hint="eastAsia" w:ascii="宋体" w:hAnsi="宋体" w:eastAsia="宋体" w:cs="仿宋_GB2312"/>
                <w:color w:val="auto"/>
                <w:sz w:val="15"/>
                <w:szCs w:val="15"/>
                <w:highlight w:val="none"/>
                <w:lang w:val="zh-CN"/>
              </w:rPr>
              <w:t>责任人不履行维护管理责任</w:t>
            </w:r>
          </w:p>
        </w:tc>
        <w:tc>
          <w:tcPr>
            <w:tcW w:w="2789" w:type="dxa"/>
            <w:vMerge w:val="restart"/>
            <w:shd w:val="clear" w:color="auto" w:fill="auto"/>
            <w:vAlign w:val="center"/>
          </w:tcPr>
          <w:p>
            <w:pPr>
              <w:spacing w:line="232" w:lineRule="exact"/>
              <w:textAlignment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eastAsia="zh-CN"/>
              </w:rPr>
              <w:t>违反条款：第二十六条第一款</w:t>
            </w:r>
            <w:r>
              <w:rPr>
                <w:rFonts w:hint="eastAsia" w:ascii="宋体" w:hAnsi="宋体" w:eastAsia="宋体" w:cs="仿宋_GB2312"/>
                <w:color w:val="auto"/>
                <w:sz w:val="15"/>
                <w:szCs w:val="15"/>
                <w:highlight w:val="none"/>
                <w:lang w:val="en"/>
              </w:rPr>
              <w:t>第（一）项、第（二）项、第（三）项、第（四）项、（需根据实际发生的违法行为选择）；</w:t>
            </w:r>
          </w:p>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sz w:val="15"/>
                <w:szCs w:val="15"/>
                <w:highlight w:val="none"/>
              </w:rPr>
              <w:t>处罚条款：</w:t>
            </w:r>
            <w:r>
              <w:rPr>
                <w:rFonts w:hint="eastAsia" w:ascii="宋体" w:hAnsi="宋体" w:eastAsia="宋体" w:cs="仿宋_GB2312"/>
                <w:color w:val="auto"/>
                <w:sz w:val="15"/>
                <w:szCs w:val="15"/>
                <w:highlight w:val="none"/>
                <w:lang w:eastAsia="zh-CN"/>
              </w:rPr>
              <w:t>六十五条第（一）项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04" w:type="dxa"/>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3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c>
          <w:tcPr>
            <w:tcW w:w="824" w:type="dxa"/>
            <w:vMerge w:val="restart"/>
            <w:shd w:val="clear" w:color="auto" w:fill="auto"/>
            <w:vAlign w:val="center"/>
          </w:tcPr>
          <w:p>
            <w:pPr>
              <w:spacing w:line="220" w:lineRule="exact"/>
              <w:jc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w:t>
            </w:r>
          </w:p>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5" w:hRule="atLeast"/>
          <w:jc w:val="center"/>
        </w:trPr>
        <w:tc>
          <w:tcPr>
            <w:tcW w:w="940" w:type="dxa"/>
            <w:vMerge w:val="continue"/>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04" w:type="dxa"/>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仿宋_GB2312"/>
                <w:color w:val="auto"/>
                <w:kern w:val="0"/>
                <w:sz w:val="15"/>
                <w:szCs w:val="15"/>
                <w:highlight w:val="none"/>
              </w:rPr>
              <w:t>。</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3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c>
          <w:tcPr>
            <w:tcW w:w="824" w:type="dxa"/>
            <w:vMerge w:val="continue"/>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5" w:hRule="atLeast"/>
          <w:jc w:val="center"/>
        </w:trPr>
        <w:tc>
          <w:tcPr>
            <w:tcW w:w="940" w:type="dxa"/>
            <w:vMerge w:val="restart"/>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lang w:val="en-US" w:eastAsia="zh-CN"/>
              </w:rPr>
            </w:pPr>
            <w:r>
              <w:rPr>
                <w:rFonts w:hint="eastAsia" w:cs="仿宋_GB2312" w:asciiTheme="minorEastAsia" w:hAnsiTheme="minorEastAsia" w:eastAsiaTheme="minorEastAsia"/>
                <w:color w:val="auto"/>
                <w:kern w:val="0"/>
                <w:sz w:val="15"/>
                <w:szCs w:val="15"/>
                <w:highlight w:val="none"/>
                <w:lang w:val="en-US" w:eastAsia="zh-CN"/>
              </w:rPr>
              <w:t>2</w:t>
            </w:r>
          </w:p>
        </w:tc>
        <w:tc>
          <w:tcPr>
            <w:tcW w:w="1500" w:type="dxa"/>
            <w:vMerge w:val="restart"/>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eastAsia="zh-CN"/>
              </w:rPr>
              <w:t>非法占用、损坏道路范围内无障碍设施</w:t>
            </w:r>
          </w:p>
        </w:tc>
        <w:tc>
          <w:tcPr>
            <w:tcW w:w="2789" w:type="dxa"/>
            <w:vMerge w:val="restart"/>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eastAsia="zh-CN"/>
              </w:rPr>
              <w:t>违反条款：第二十八条第一款；</w:t>
            </w:r>
            <w:r>
              <w:rPr>
                <w:rFonts w:hint="eastAsia" w:ascii="宋体" w:hAnsi="宋体" w:eastAsia="宋体" w:cs="仿宋_GB2312"/>
                <w:color w:val="auto"/>
                <w:sz w:val="15"/>
                <w:szCs w:val="15"/>
                <w:highlight w:val="none"/>
              </w:rPr>
              <w:t>处罚条款：</w:t>
            </w:r>
            <w:r>
              <w:rPr>
                <w:rFonts w:hint="eastAsia" w:ascii="宋体" w:hAnsi="宋体" w:eastAsia="宋体" w:cs="仿宋_GB2312"/>
                <w:color w:val="auto"/>
                <w:sz w:val="15"/>
                <w:szCs w:val="15"/>
                <w:highlight w:val="none"/>
                <w:lang w:eastAsia="zh-CN"/>
              </w:rPr>
              <w:t>六十五条第（三）项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04" w:type="dxa"/>
            <w:shd w:val="clear" w:color="auto" w:fill="auto"/>
            <w:vAlign w:val="center"/>
          </w:tcPr>
          <w:p>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；2.造成行人伤亡或其它事故的，系数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w:t>
            </w:r>
          </w:p>
        </w:tc>
        <w:tc>
          <w:tcPr>
            <w:tcW w:w="1785" w:type="dxa"/>
            <w:shd w:val="clear" w:color="auto" w:fill="auto"/>
            <w:vAlign w:val="center"/>
          </w:tcPr>
          <w:p>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385" w:type="dxa"/>
            <w:shd w:val="clear" w:color="auto" w:fill="auto"/>
            <w:vAlign w:val="center"/>
          </w:tcPr>
          <w:p>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c>
          <w:tcPr>
            <w:tcW w:w="824" w:type="dxa"/>
            <w:vMerge w:val="restart"/>
            <w:shd w:val="clear" w:color="auto" w:fill="auto"/>
            <w:vAlign w:val="center"/>
          </w:tcPr>
          <w:p>
            <w:pPr>
              <w:spacing w:line="220" w:lineRule="exact"/>
              <w:jc w:val="center"/>
              <w:rPr>
                <w:rFonts w:hint="eastAsia" w:ascii="宋体" w:hAnsi="宋体" w:eastAsia="宋体" w:cs="仿宋_GB2312"/>
                <w:color w:val="auto"/>
                <w:sz w:val="15"/>
                <w:szCs w:val="15"/>
                <w:highlight w:val="none"/>
                <w:lang w:val="en" w:eastAsia="zh-CN"/>
              </w:rPr>
            </w:pPr>
            <w:r>
              <w:rPr>
                <w:rFonts w:hint="eastAsia" w:ascii="宋体" w:hAnsi="宋体" w:eastAsia="宋体" w:cs="仿宋_GB2312"/>
                <w:color w:val="auto"/>
                <w:sz w:val="15"/>
                <w:szCs w:val="15"/>
                <w:highlight w:val="none"/>
                <w:lang w:val="en" w:eastAsia="zh-CN"/>
              </w:rPr>
              <w:t>街道</w:t>
            </w:r>
          </w:p>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eastAsia="zh-CN"/>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5" w:hRule="atLeast"/>
          <w:jc w:val="center"/>
        </w:trPr>
        <w:tc>
          <w:tcPr>
            <w:tcW w:w="940" w:type="dxa"/>
            <w:vMerge w:val="continue"/>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2304" w:type="dxa"/>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；2.造成行人伤亡或其它事故的，系数</w:t>
            </w:r>
            <w:r>
              <w:rPr>
                <w:rFonts w:hint="eastAsia" w:ascii="宋体" w:hAnsi="宋体" w:eastAsia="宋体" w:cs="仿宋_GB2312"/>
                <w:color w:val="auto"/>
                <w:sz w:val="15"/>
                <w:szCs w:val="15"/>
                <w:highlight w:val="none"/>
                <w:lang w:val="en-US" w:eastAsia="zh-CN"/>
              </w:rPr>
              <w:t>4</w:t>
            </w:r>
            <w:r>
              <w:rPr>
                <w:rFonts w:hint="eastAsia" w:ascii="宋体" w:hAnsi="宋体" w:eastAsia="宋体" w:cs="仿宋_GB2312"/>
                <w:color w:val="auto"/>
                <w:sz w:val="15"/>
                <w:szCs w:val="15"/>
                <w:highlight w:val="none"/>
              </w:rPr>
              <w:t>。</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常量</w:t>
            </w:r>
            <w:r>
              <w:rPr>
                <w:rFonts w:hint="eastAsia" w:ascii="宋体" w:hAnsi="宋体" w:eastAsia="宋体" w:cs="仿宋_GB2312"/>
                <w:color w:val="auto"/>
                <w:sz w:val="15"/>
                <w:szCs w:val="15"/>
                <w:highlight w:val="none"/>
              </w:rPr>
              <w:t>系数+变量系数+区域系数）</w:t>
            </w:r>
          </w:p>
        </w:tc>
        <w:tc>
          <w:tcPr>
            <w:tcW w:w="2385" w:type="dxa"/>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逾期不改正的情形，不记入本项“</w:t>
            </w:r>
            <w:r>
              <w:rPr>
                <w:rFonts w:hint="eastAsia" w:ascii="宋体" w:hAnsi="宋体" w:cs="仿宋_GB2312"/>
                <w:color w:val="auto"/>
                <w:sz w:val="15"/>
                <w:szCs w:val="15"/>
                <w:highlight w:val="none"/>
                <w:lang w:eastAsia="zh-CN"/>
              </w:rPr>
              <w:t>常量系数</w:t>
            </w:r>
            <w:r>
              <w:rPr>
                <w:rFonts w:hint="eastAsia" w:ascii="宋体" w:hAnsi="宋体" w:eastAsia="宋体" w:cs="仿宋_GB2312"/>
                <w:color w:val="auto"/>
                <w:sz w:val="15"/>
                <w:szCs w:val="15"/>
                <w:highlight w:val="none"/>
              </w:rPr>
              <w:t>”。</w:t>
            </w:r>
          </w:p>
        </w:tc>
        <w:tc>
          <w:tcPr>
            <w:tcW w:w="824" w:type="dxa"/>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3" w:hRule="atLeast"/>
          <w:jc w:val="center"/>
        </w:trPr>
        <w:tc>
          <w:tcPr>
            <w:tcW w:w="14218" w:type="dxa"/>
            <w:gridSpan w:val="9"/>
            <w:shd w:val="clear" w:color="auto" w:fill="auto"/>
            <w:vAlign w:val="center"/>
          </w:tcPr>
          <w:p>
            <w:pPr>
              <w:pStyle w:val="3"/>
              <w:bidi w:val="0"/>
              <w:jc w:val="center"/>
              <w:rPr>
                <w:color w:val="auto"/>
                <w:highlight w:val="none"/>
              </w:rPr>
            </w:pPr>
            <w:bookmarkStart w:id="61" w:name="_Toc697382673"/>
            <w:r>
              <w:rPr>
                <w:rFonts w:hint="eastAsia"/>
                <w:color w:val="auto"/>
                <w:sz w:val="21"/>
                <w:szCs w:val="21"/>
                <w:highlight w:val="none"/>
              </w:rPr>
              <w:t>《城市道路管理条例》《北京市城市道路管理办法》案由</w:t>
            </w:r>
            <w:r>
              <w:rPr>
                <w:rFonts w:hint="eastAsia"/>
                <w:color w:val="auto"/>
                <w:sz w:val="21"/>
                <w:szCs w:val="21"/>
                <w:highlight w:val="none"/>
                <w:lang w:val="en-US" w:eastAsia="zh-CN"/>
              </w:rPr>
              <w:t>13</w:t>
            </w:r>
            <w:r>
              <w:rPr>
                <w:rFonts w:hint="eastAsia"/>
                <w:color w:val="auto"/>
                <w:sz w:val="21"/>
                <w:szCs w:val="21"/>
                <w:highlight w:val="none"/>
              </w:rPr>
              <w:t>项</w:t>
            </w:r>
            <w:bookmarkEnd w:id="60"/>
            <w:bookmarkEnd w:id="6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7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城市道路上设置的检查井、箱盖或者城市道路附属设施发生缺损未及时补缺或者修复</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违反条款：《条例》第二十三条；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处罚条款：《条例》第四十二条第（一）项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jc w:val="lef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需要</w:t>
            </w:r>
            <w:r>
              <w:rPr>
                <w:rFonts w:cs="宋体" w:asciiTheme="minorEastAsia" w:hAnsiTheme="minorEastAsia" w:eastAsiaTheme="minorEastAsia"/>
                <w:color w:val="auto"/>
                <w:sz w:val="15"/>
                <w:szCs w:val="15"/>
                <w:highlight w:val="none"/>
              </w:rPr>
              <w:t>作出</w:t>
            </w:r>
            <w:r>
              <w:rPr>
                <w:rFonts w:hint="eastAsia" w:cs="宋体" w:asciiTheme="minorEastAsia" w:hAnsiTheme="minorEastAsia" w:eastAsiaTheme="minorEastAsia"/>
                <w:color w:val="auto"/>
                <w:sz w:val="15"/>
                <w:szCs w:val="15"/>
                <w:highlight w:val="none"/>
              </w:rPr>
              <w:t>其它处罚额度决定的，说明理由，报案审会决定</w:t>
            </w:r>
            <w:r>
              <w:rPr>
                <w:rFonts w:cs="宋体" w:asciiTheme="minorEastAsia" w:hAnsiTheme="minorEastAsia" w:eastAsiaTheme="minorEastAsia"/>
                <w:color w:val="auto"/>
                <w:sz w:val="15"/>
                <w:szCs w:val="15"/>
                <w:highlight w:val="none"/>
              </w:rPr>
              <w:t>。</w:t>
            </w:r>
          </w:p>
        </w:tc>
        <w:tc>
          <w:tcPr>
            <w:tcW w:w="824" w:type="dxa"/>
            <w:shd w:val="clear" w:color="auto" w:fill="auto"/>
            <w:vAlign w:val="center"/>
          </w:tcPr>
          <w:p>
            <w:pPr>
              <w:spacing w:line="22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2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7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擅自占用、挖掘城市道路</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违反条款：《条例》第二十七条第（一）项；处罚条款：《条例》第四十二条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5000</w:t>
            </w:r>
          </w:p>
        </w:tc>
        <w:tc>
          <w:tcPr>
            <w:tcW w:w="840"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；2.损毁地下管线或市政设施的，系数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；3.造成行人伤亡或其它严重事故的，系数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000元以下处罚额度决定的，说明理由，报案审会决定。</w:t>
            </w:r>
          </w:p>
        </w:tc>
        <w:tc>
          <w:tcPr>
            <w:tcW w:w="824"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城市道路养护、维修工程施工现场未设置明显标志和安全防围设施</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违反条款：《条例》第二十四条；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处罚条款：《条例》第四十二条第（二）项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1.违法行为持续2天以上的，含2天，系数1；2.违法地点位于人口相对集中地区或者交通路口等存在较大安全隐患的情形，系数2；3.造成行人伤亡或其它严重事故的，系数9。</w:t>
            </w:r>
          </w:p>
        </w:tc>
        <w:tc>
          <w:tcPr>
            <w:tcW w:w="17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挖掘城市道路施工现场未设置明显标志和安全防围设施</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违反条款：《条例》第三十五条；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处罚条款：《条例》第四十二条第（二）项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1.违法行为持续2天以上的，含2天，系数1；2.违法地点位于人口相对集中地区或者交通路口等存在较大安全隐患的情形，系数2；3.造成行人伤亡或其它严重事故的，系数9。</w:t>
            </w:r>
          </w:p>
        </w:tc>
        <w:tc>
          <w:tcPr>
            <w:tcW w:w="17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1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占用城市道路期满未及时清理现场</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违反条款：《条例》第三十一条第二款；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处罚条款：《条例》第四十二条第（三）项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 对通行秩序、市容秩序造成较大影响的，系数4；3.造成行人伤亡或其它严重事故的，系数9。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0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挖掘城市道路竣工未及时清理现场</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违反条款：《条例》第三十五条；</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处罚条款：《条例》第四十二条第（三）项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 对通行秩序、市容秩序造成较大影响的，系数4；3.造成行人伤亡或其它严重事故的，系数9。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7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紧急抢修埋设在城市道路下的管线，未按照规定补办批准手续</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违反条款：《条例》第三十四条；</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处罚条款：《条例》第四十二条第（五）项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应在24小时内申请补办，逾期未申请补办的，每延后1天，系数1。</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未按照批准的要求占用或者挖掘城市道路</w:t>
            </w:r>
          </w:p>
        </w:tc>
        <w:tc>
          <w:tcPr>
            <w:tcW w:w="2789"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违反条款：《条例》第三十六条；</w:t>
            </w:r>
          </w:p>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处罚条款：《条例》第四十二条第（六）项 责令限期改正，可以处以2万元以下的罚款。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1.对通行秩序、市容秩序造成较大影响的，系数4；2.损毁地下管线或市政设施的，系数9；3.造成行人伤亡或其它严重事故的，系数9。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5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9"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9</w:t>
            </w:r>
          </w:p>
        </w:tc>
        <w:tc>
          <w:tcPr>
            <w:tcW w:w="1500"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机动车在桥梁或者非指定的城市道路上试刹车</w:t>
            </w:r>
          </w:p>
        </w:tc>
        <w:tc>
          <w:tcPr>
            <w:tcW w:w="2789"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违反条款：《条例》第二十七条第（三）项。处罚条款：《条例》第四十二条：责令限期改正，可以处以2万元以下的罚款。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1.对城市道路造成较大损害的，或者对通行秩序、市容秩序造成较大影响的，系数4；2.造成行人伤亡或其它严重事故的，系数9。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c>
          <w:tcPr>
            <w:tcW w:w="824" w:type="dxa"/>
            <w:shd w:val="clear" w:color="auto" w:fill="auto"/>
            <w:vAlign w:val="center"/>
          </w:tcPr>
          <w:p>
            <w:pPr>
              <w:spacing w:line="25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0"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擅自在城市道路上建设建筑物、搭建构筑物</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违反条款：《条例》第二十七条第（四）项；处罚条款：《条例》第四十二条：责令限期改正，可以处以2万元以下的罚款。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23"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11</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擅自在桥梁或者路灯设施上设置广告牌或者其它挂浮物</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违反条款：《条例》第二十七条第（六）项；处罚条款：《条例》第四十二条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2.造成行人伤亡或其它严重事故的，系数9；</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3.对桥梁、路灯设施造成损坏影响使用的，系数9。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57"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12</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擅自拆改、移动城市道路设施或者设置障碍物</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违反条款：《办法》第二十条第（一）项和《条例》第二十七条第（七）项；处罚条款：《办法》第三十一条和《条例》第四十二条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6"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13</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利用城市桥梁进行牵拉、吊装等施工作业</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违反条款：《办法》第二十条第（四）项和《条例》第二十七条第（七）项；处罚条款：《办法》第三十一条和《条例》第四十二条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1.对通行秩序、市容秩序造成较大影响的，系数4；2.造成行人伤亡或其它严重事故的，系数9；3.对桥梁造成损害影响使用的，系数9。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3"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62" w:name="_Toc1973624040"/>
            <w:bookmarkStart w:id="63" w:name="_Toc110851455"/>
            <w:bookmarkStart w:id="64" w:name="_Toc2062208648"/>
            <w:r>
              <w:rPr>
                <w:rFonts w:hint="eastAsia" w:asciiTheme="minorEastAsia" w:hAnsiTheme="minorEastAsia" w:eastAsiaTheme="minorEastAsia"/>
                <w:color w:val="auto"/>
                <w:sz w:val="21"/>
                <w:szCs w:val="21"/>
                <w:highlight w:val="none"/>
              </w:rPr>
              <w:t>《北京市地下设施检查井井盖管理规定》案由5项</w:t>
            </w:r>
            <w:bookmarkEnd w:id="62"/>
            <w:bookmarkEnd w:id="63"/>
            <w:bookmarkEnd w:id="6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井盖管理单位未建立管理制度</w:t>
            </w:r>
          </w:p>
        </w:tc>
        <w:tc>
          <w:tcPr>
            <w:tcW w:w="2789" w:type="dxa"/>
            <w:shd w:val="clear" w:color="auto" w:fill="auto"/>
            <w:vAlign w:val="center"/>
          </w:tcPr>
          <w:p>
            <w:pPr>
              <w:spacing w:line="22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违反条款：第九条第一款；处罚条款：第十一条第一款，责令限期改正，并可处200元以上2000元以下罚款。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需要给予1000元以下处罚的，报案审会决定。</w:t>
            </w:r>
          </w:p>
        </w:tc>
        <w:tc>
          <w:tcPr>
            <w:tcW w:w="824" w:type="dxa"/>
            <w:shd w:val="clear" w:color="auto" w:fill="auto"/>
            <w:vAlign w:val="center"/>
          </w:tcPr>
          <w:p>
            <w:pPr>
              <w:spacing w:line="22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20"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7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未及时补装、维修或更换井盖</w:t>
            </w:r>
          </w:p>
        </w:tc>
        <w:tc>
          <w:tcPr>
            <w:tcW w:w="2789"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违反条款：第九条第二款；处罚条款：第十一条第一款,责令限期改正，并可处200元以上2000元以下罚款。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雨箅所有权人或者维护管理单位接到维修通知后：1.未立即采取临时防护措施的，系数为1；2.未在规定时间（城市主要道路、公共场所和居民居住区等地区4小时内，其它地区12小时内）内修复的，延后1小时，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；延后2小时，系数</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；延后3小时，系数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9小时及以上的，系数9</w:t>
            </w:r>
            <w:r>
              <w:rPr>
                <w:rFonts w:hint="eastAsia" w:cs="宋体" w:asciiTheme="minorEastAsia" w:hAnsiTheme="minorEastAsia" w:eastAsiaTheme="minorEastAsia"/>
                <w:color w:val="auto"/>
                <w:kern w:val="0"/>
                <w:sz w:val="15"/>
                <w:szCs w:val="15"/>
                <w:highlight w:val="none"/>
              </w:rPr>
              <w:t>。3.因未及时补装、维修或更换，致人伤亡或车辆损毁等严重事故的，变量系数9。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20" w:lineRule="exact"/>
              <w:jc w:val="center"/>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6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擅自移动井盖</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处罚条款：第十一条第一款：责令限期改正，并可处200元以上2000元以下罚款。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1．擅自移动车站、机场、居民小区、医院、学校、体育场馆、影剧院、繁华商业街区、旅游景区等人口集中地区井盖的，系数4；2.致人伤亡或者损害车辆等严重事故的，系数9。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8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井盖作业未采取安全措施</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 责令限期改正，并可处200元以上2000元以下罚款。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1.车站、机场、居民小区、医院、学校、体育场馆、影剧院、繁华商业街区、旅游景区等人口集中地区范围内的，系数4；2.致人伤亡或者损害车辆等严重事故的，系数9。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5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井盖作业完毕未及时清理现场、恢复原状</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 责令限期改正，并可处200元以上2000元以下罚款。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1．车站、机场、居民小区、医院、学校、体育场馆、影剧院、繁华商业街区、旅游景区等人口集中地区范围内的，系数4；2.致人伤亡或者损害车辆等严重事故的，系数9。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区域台帐与人口集中地区点位重叠时，系数不累加计算。</w:t>
            </w:r>
          </w:p>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5"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65" w:name="_Toc110851456"/>
            <w:bookmarkStart w:id="66" w:name="_Toc1693504403"/>
            <w:bookmarkStart w:id="67" w:name="_Toc1333093317"/>
            <w:r>
              <w:rPr>
                <w:rFonts w:hint="eastAsia" w:ascii="黑体" w:hAnsi="黑体" w:eastAsia="黑体"/>
                <w:b w:val="0"/>
                <w:color w:val="auto"/>
                <w:sz w:val="36"/>
                <w:szCs w:val="36"/>
                <w:highlight w:val="none"/>
              </w:rPr>
              <w:t>公用事业管理方面</w:t>
            </w:r>
            <w:bookmarkEnd w:id="65"/>
            <w:bookmarkEnd w:id="66"/>
            <w:bookmarkEnd w:id="6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4"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68" w:name="_Toc1349825120"/>
            <w:bookmarkStart w:id="69" w:name="_Toc110851457"/>
            <w:bookmarkStart w:id="70" w:name="_Toc312584811"/>
            <w:r>
              <w:rPr>
                <w:rFonts w:hint="eastAsia" w:asciiTheme="minorEastAsia" w:hAnsiTheme="minorEastAsia" w:eastAsiaTheme="minorEastAsia"/>
                <w:color w:val="auto"/>
                <w:sz w:val="21"/>
                <w:szCs w:val="21"/>
                <w:highlight w:val="none"/>
              </w:rPr>
              <w:t>《城镇燃气管理条例》案由30项</w:t>
            </w:r>
            <w:bookmarkEnd w:id="68"/>
            <w:bookmarkEnd w:id="69"/>
            <w:bookmarkEnd w:id="7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7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未取得燃气经营许可从事经营活动</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违反条款：第十五条第一款；处罚条款：第四十五条第一款 责令停止违法行为，处5万元以上50万元以下罚款。有违法所得的，没收违法所得。</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1.跨区级区域经营的或者违规经营规模较大(气瓶数量超过28个)，系数5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经营场所在人口集中地区、人员密集场所</w:t>
            </w:r>
            <w:r>
              <w:rPr>
                <w:rFonts w:hint="eastAsia" w:cs="宋体" w:asciiTheme="minorEastAsia" w:hAnsiTheme="minorEastAsia" w:eastAsiaTheme="minorEastAsia"/>
                <w:color w:val="auto"/>
                <w:kern w:val="0"/>
                <w:sz w:val="15"/>
                <w:szCs w:val="15"/>
                <w:highlight w:val="none"/>
                <w:lang w:eastAsia="zh-CN"/>
              </w:rPr>
              <w:t>或者邻近电力、管线等需要特殊保护的场所</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.持续时间超过</w:t>
            </w:r>
            <w:r>
              <w:rPr>
                <w:rFonts w:hint="eastAsia" w:cs="宋体" w:asciiTheme="minorEastAsia" w:hAnsiTheme="minorEastAsia" w:eastAsiaTheme="minorEastAsia"/>
                <w:b w:val="0"/>
                <w:bCs w:val="0"/>
                <w:strike w:val="0"/>
                <w:dstrike w:val="0"/>
                <w:color w:val="auto"/>
                <w:kern w:val="0"/>
                <w:sz w:val="15"/>
                <w:szCs w:val="15"/>
                <w:highlight w:val="none"/>
                <w:u w:val="none"/>
                <w:lang w:val="en-US" w:eastAsia="zh-CN"/>
              </w:rPr>
              <w:t>2个月的</w:t>
            </w:r>
            <w:r>
              <w:rPr>
                <w:rFonts w:hint="eastAsia" w:cs="宋体" w:asciiTheme="minorEastAsia" w:hAnsiTheme="minorEastAsia" w:eastAsiaTheme="minorEastAsia"/>
                <w:b w:val="0"/>
                <w:bCs w:val="0"/>
                <w:color w:val="auto"/>
                <w:kern w:val="0"/>
                <w:sz w:val="15"/>
                <w:szCs w:val="15"/>
                <w:highlight w:val="none"/>
                <w:u w:val="none"/>
              </w:rPr>
              <w:t>，系数</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w:t>
            </w:r>
            <w:r>
              <w:rPr>
                <w:rFonts w:hint="eastAsia" w:cs="宋体" w:asciiTheme="minorEastAsia" w:hAnsiTheme="minorEastAsia" w:eastAsiaTheme="minorEastAsia"/>
                <w:b w:val="0"/>
                <w:bCs w:val="0"/>
                <w:color w:val="auto"/>
                <w:kern w:val="0"/>
                <w:sz w:val="15"/>
                <w:szCs w:val="15"/>
                <w:highlight w:val="none"/>
                <w:u w:val="none"/>
                <w:lang w:eastAsia="zh-CN"/>
              </w:rPr>
              <w:t>超过半年的</w:t>
            </w:r>
            <w:r>
              <w:rPr>
                <w:rFonts w:hint="eastAsia" w:cs="宋体" w:asciiTheme="minorEastAsia" w:hAnsiTheme="minorEastAsia" w:eastAsiaTheme="minorEastAsia"/>
                <w:b w:val="0"/>
                <w:bCs w:val="0"/>
                <w:color w:val="auto"/>
                <w:kern w:val="0"/>
                <w:sz w:val="15"/>
                <w:szCs w:val="15"/>
                <w:highlight w:val="none"/>
                <w:u w:val="none"/>
                <w:lang w:val="en-US" w:eastAsia="zh-CN"/>
              </w:rPr>
              <w:t>，</w:t>
            </w:r>
            <w:r>
              <w:rPr>
                <w:rFonts w:hint="eastAsia" w:cs="宋体" w:asciiTheme="minorEastAsia" w:hAnsiTheme="minorEastAsia" w:eastAsiaTheme="minorEastAsia"/>
                <w:b w:val="0"/>
                <w:bCs w:val="0"/>
                <w:color w:val="auto"/>
                <w:kern w:val="0"/>
                <w:sz w:val="15"/>
                <w:szCs w:val="15"/>
                <w:highlight w:val="none"/>
                <w:u w:val="none"/>
                <w:lang w:eastAsia="zh-CN"/>
              </w:rPr>
              <w:t>系数为</w:t>
            </w:r>
            <w:r>
              <w:rPr>
                <w:rFonts w:hint="eastAsia" w:cs="宋体" w:asciiTheme="minorEastAsia" w:hAnsiTheme="minorEastAsia" w:eastAsiaTheme="minorEastAsia"/>
                <w:b w:val="0"/>
                <w:bCs w:val="0"/>
                <w:color w:val="auto"/>
                <w:kern w:val="0"/>
                <w:sz w:val="15"/>
                <w:szCs w:val="15"/>
                <w:highlight w:val="none"/>
                <w:u w:val="none"/>
                <w:lang w:val="en-US" w:eastAsia="zh-CN"/>
              </w:rPr>
              <w:t>6；</w:t>
            </w:r>
            <w:r>
              <w:rPr>
                <w:rFonts w:hint="eastAsia" w:cs="宋体" w:asciiTheme="minorEastAsia" w:hAnsiTheme="minorEastAsia" w:eastAsiaTheme="minorEastAsia"/>
                <w:b w:val="0"/>
                <w:bCs w:val="0"/>
                <w:color w:val="auto"/>
                <w:kern w:val="0"/>
                <w:sz w:val="15"/>
                <w:szCs w:val="15"/>
                <w:highlight w:val="none"/>
                <w:u w:val="none"/>
              </w:rPr>
              <w:t>1年以上，系数9；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发生燃气安全事故的，系数9。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lang w:eastAsia="zh-CN"/>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不按照燃气经营许可的规定从事经营活动</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违反条款、处罚条款：第四十五条第二款 责令限期改正，处3万元以上20万元以下罚款；有违法所得的，没收违法所得；情节严重的，吊销燃气经营许可证。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宋体" w:asciiTheme="minorEastAsia" w:hAnsiTheme="minorEastAsia" w:eastAsiaTheme="minorEastAsia"/>
                <w:color w:val="auto"/>
                <w:kern w:val="0"/>
                <w:sz w:val="15"/>
                <w:szCs w:val="15"/>
                <w:highlight w:val="none"/>
              </w:rPr>
              <w:t>，或者经营场所在人口集中地区、人员密集场所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安全隐患的，系数6。</w:t>
            </w:r>
          </w:p>
        </w:tc>
        <w:tc>
          <w:tcPr>
            <w:tcW w:w="1785" w:type="dxa"/>
            <w:tcBorders>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cs="宋体" w:asciiTheme="minorEastAsia" w:hAnsiTheme="minorEastAsia" w:eastAsiaTheme="minorEastAsia"/>
                <w:color w:val="auto"/>
                <w:kern w:val="0"/>
                <w:sz w:val="15"/>
                <w:szCs w:val="15"/>
                <w:highlight w:val="none"/>
              </w:rPr>
              <w:t>1.发生燃气安全事故，经事故调查部门认定对事故发生负有责任的；2.经燃气管理部门认定，存在燃气安全隐患，违法行为持续时间1年以上的；3.未按燃气管理部门要求整改，或整改后再次发生类似违法行为的；4.以非法手段掩盖违法事实，经燃气管理部门认定，足以引起燃气安全事故的；5.经执法部门罚款处罚后，仍未改正违法行为或者再次发生类似违法行为的。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tcBorders>
              <w:left w:val="single" w:color="auto" w:sz="4" w:space="0"/>
            </w:tcBorders>
            <w:shd w:val="clear" w:color="auto" w:fill="FFFFFF"/>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拒绝向市政燃气管网覆盖范围内符合用气条件的单位或者个人供气</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违反条款：第十八条第（一）项；处罚条款：第四十六条第（一）项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1.断供超过12小时的，或影响1000户以上（含1000户）居民无法正常供气超过2小时的，系数9；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.发生燃气安全事故或者引发群体性事件的，系数9。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top w:val="single" w:color="auto" w:sz="4" w:space="0"/>
            </w:tcBorders>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w:t>
            </w:r>
            <w:r>
              <w:rPr>
                <w:rFonts w:asciiTheme="minorEastAsia" w:hAnsiTheme="minorEastAsia" w:eastAsiaTheme="minorEastAsia"/>
                <w:color w:val="auto"/>
                <w:sz w:val="15"/>
                <w:szCs w:val="15"/>
                <w:highlight w:val="none"/>
              </w:rPr>
              <w:t>市政燃气管网覆盖范围内</w:t>
            </w:r>
            <w:r>
              <w:rPr>
                <w:rFonts w:hint="eastAsia" w:asciiTheme="minorEastAsia" w:hAnsiTheme="minorEastAsia" w:eastAsiaTheme="minorEastAsia"/>
                <w:color w:val="auto"/>
                <w:sz w:val="15"/>
                <w:szCs w:val="15"/>
                <w:highlight w:val="none"/>
              </w:rPr>
              <w:t>燃气断供超过12小时的，或影响1000户以上（含1000户）居民无法正常供</w:t>
            </w:r>
            <w:r>
              <w:rPr>
                <w:rFonts w:hint="eastAsia" w:asciiTheme="minorEastAsia" w:hAnsiTheme="minorEastAsia" w:eastAsiaTheme="minorEastAsia"/>
                <w:color w:val="auto"/>
                <w:sz w:val="15"/>
                <w:szCs w:val="15"/>
                <w:highlight w:val="none"/>
                <w:lang w:eastAsia="zh-CN"/>
              </w:rPr>
              <w:t>气</w:t>
            </w:r>
            <w:r>
              <w:rPr>
                <w:rFonts w:hint="eastAsia" w:asciiTheme="minorEastAsia" w:hAnsiTheme="minorEastAsia" w:eastAsiaTheme="minorEastAsia"/>
                <w:color w:val="auto"/>
                <w:sz w:val="15"/>
                <w:szCs w:val="15"/>
                <w:highlight w:val="none"/>
              </w:rPr>
              <w:t>超过2小时的；3.引发群体性事件的；4.未按燃气管理部门要求整改，或整改后燃气经营许可证有效期内再次发生类似违法行为的；5.经执法部门罚款处罚后，仍未改正违法行为或者燃气经营许可证有效期内再次发生类似违法行为</w:t>
            </w:r>
            <w:r>
              <w:rPr>
                <w:rFonts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4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倒卖、抵押、出租、出借、转让、涂改燃气经营许可证</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违反条款：第十八条第（二）项；处罚条款：第四十六条第（二）项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1.违法行为持续时间较长（半年以上）的，系数9；2.许可证有效期内发现2次以上（含2次）倒卖、抵押、出租、出借、转让燃气经营许可证行为的，系数9；3.涂改燃气经营许可证的，系数9；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.发生燃气安全事故</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燃气安全隐患的，系数9。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燃气经营许可证有效期内发现2次以上（含2次）倒卖、抵押、出租、出借、转让燃气经营许可证行为的；3.涂改燃气经营许可证的；4.经燃气管理部门认定，存在燃气安全隐患，违法行为持续时间1年以上的； 5.未按燃气管理部门要求整改，或整改后再次发生类似违法行为的；6.经执法部门罚款处罚后，仍未改正违法行为或者再次发生类似违法行为的；7.违法获利超过5万元（人民币）的；8.以非法手段掩盖违法事实，经燃气管理部门认定，足以引起燃气安全事故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8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擅自停止供气、调整供气量，或者擅自停业或者歇业</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违反条款：第十八条第（三）项；处罚条款：第四十六条第（三）项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1.断供超过12小时的，或者100户以上（含100户）居民无法正常用气超过24小时的；或影响1000户以上（含1000户）居民无法正常供气超过2小时的，系数9；</w:t>
            </w:r>
          </w:p>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.发生燃气安全事故或者引发群体性事件的，系数9。</w:t>
            </w:r>
          </w:p>
        </w:tc>
        <w:tc>
          <w:tcPr>
            <w:tcW w:w="1785" w:type="dxa"/>
            <w:shd w:val="clear" w:color="auto" w:fill="auto"/>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 2.导致</w:t>
            </w:r>
            <w:r>
              <w:rPr>
                <w:rFonts w:asciiTheme="minorEastAsia" w:hAnsiTheme="minorEastAsia" w:eastAsiaTheme="minorEastAsia"/>
                <w:color w:val="auto"/>
                <w:sz w:val="15"/>
                <w:szCs w:val="15"/>
                <w:highlight w:val="none"/>
              </w:rPr>
              <w:t>燃气管网覆盖范围内</w:t>
            </w:r>
            <w:r>
              <w:rPr>
                <w:rFonts w:hint="eastAsia" w:asciiTheme="minorEastAsia" w:hAnsiTheme="minorEastAsia" w:eastAsiaTheme="minorEastAsia"/>
                <w:color w:val="auto"/>
                <w:sz w:val="15"/>
                <w:szCs w:val="15"/>
                <w:highlight w:val="none"/>
              </w:rPr>
              <w:t>燃气断供超过12小时，或者100户以上（含100户）居民无法正常用气超过24小时的；或影响1000户以上（含1000户）居民无法正常供</w:t>
            </w:r>
            <w:r>
              <w:rPr>
                <w:rFonts w:hint="eastAsia" w:asciiTheme="minorEastAsia" w:hAnsiTheme="minorEastAsia" w:eastAsiaTheme="minorEastAsia"/>
                <w:color w:val="auto"/>
                <w:sz w:val="15"/>
                <w:szCs w:val="15"/>
                <w:highlight w:val="none"/>
                <w:lang w:eastAsia="zh-CN"/>
              </w:rPr>
              <w:t>气</w:t>
            </w:r>
            <w:r>
              <w:rPr>
                <w:rFonts w:hint="eastAsia" w:asciiTheme="minorEastAsia" w:hAnsiTheme="minorEastAsia" w:eastAsiaTheme="minorEastAsia"/>
                <w:color w:val="auto"/>
                <w:sz w:val="15"/>
                <w:szCs w:val="15"/>
                <w:highlight w:val="none"/>
              </w:rPr>
              <w:t>超过2小时的；3.引发群体性事件的；4.未按燃气管理部门要求整改，或整改后再次发生类似违法行为的；5.经执法部门罚款处罚后，仍未改正违法行为或者再次发生类似违法行为的；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5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向未取得燃气经营许可证的单位或者个人提供用于经营的燃气</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违反条款：第十八条第（四）项；处罚条款：第四十六条第（四）项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1.持续时间超过半年的，系数4；持续时间1年以上，系数9；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w:t>
            </w:r>
          </w:p>
        </w:tc>
        <w:tc>
          <w:tcPr>
            <w:tcW w:w="1785" w:type="dxa"/>
            <w:shd w:val="clear" w:color="auto" w:fill="auto"/>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1.发生燃气安全事故，经事故调查部门认定对事故发生负有责任的；2.违法行为持续时间1年以上的；3.违法获利超过5万元（人民币）的； 4.未按燃气管理部门要求整改，或整改后再次发生类似违法行为的；5.经执法部门罚款处罚后，仍未改正违法行为或者再次发生类似违法行为的；6.以非法手段掩盖违法事实，经燃气管理部门认定，足以引起燃气安全事故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7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燃气经营者在不具备安全条件的场所储存燃气</w:t>
            </w:r>
          </w:p>
        </w:tc>
        <w:tc>
          <w:tcPr>
            <w:tcW w:w="2789"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违反条款：第十八条第（五）项；处罚条款：第四十六条第（五）项 责令限期改正，处1万元以上10万元以下罚款；有违法所得的，没收违法所得；情节严重的，吊销燃气经营许可证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存在</w:t>
            </w:r>
            <w:r>
              <w:rPr>
                <w:rFonts w:hint="eastAsia" w:cs="宋体" w:asciiTheme="minorEastAsia" w:hAnsiTheme="minorEastAsia" w:eastAsiaTheme="minorEastAsia"/>
                <w:color w:val="auto"/>
                <w:kern w:val="0"/>
                <w:sz w:val="15"/>
                <w:szCs w:val="15"/>
                <w:highlight w:val="none"/>
                <w:lang w:val="en-US" w:eastAsia="zh-CN"/>
              </w:rPr>
              <w:t>2个以上不合格安全条件的，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spacing w:val="-6"/>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pacing w:val="-6"/>
                <w:sz w:val="15"/>
                <w:szCs w:val="15"/>
                <w:highlight w:val="none"/>
              </w:rPr>
              <w:t>1.发生燃气安全事故，经事故调查部门认定，事故发生与违规储存燃气存在因果关系的；2.经燃气管理部门认定，存在燃气安全隐患，违法行为持续时间1年以上的；3.未按燃气管理部门要求整改，或整改后再次发生类似违法行为的；4.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5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要求燃气用户购买其指定的产品或者接受其提供的服务</w:t>
            </w:r>
          </w:p>
        </w:tc>
        <w:tc>
          <w:tcPr>
            <w:tcW w:w="2789"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违反条款：第十八条第（六）项；处罚条款：第四十六条第（六）项 责令限期改正，处1万元以上10万元以下罚款；有违法所得的，没收违法所得；情节严重的，吊销燃气经营许可证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发生燃气安全事故，经事故调查部门认定，事故发生与其提供的产品或服务存在因果关系的，系数9。</w:t>
            </w:r>
          </w:p>
        </w:tc>
        <w:tc>
          <w:tcPr>
            <w:tcW w:w="1785"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产品或服务存在因果关系的；2.违法获利超过5万元（人民币）的；3.未按燃气管理部门要求整改，或整改后再次发生类似违法行为的；4.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未向燃气用户持续、稳定、安全供应符合国家质量标准的燃气，或者未对燃气用户的燃气设施定期进行安全检查</w:t>
            </w:r>
          </w:p>
        </w:tc>
        <w:tc>
          <w:tcPr>
            <w:tcW w:w="2789"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违反条款：第十七条第一款；处罚条款：第四十六条第（七）项 责令限期改正，处1万元以上10万元以下罚款；有违法所得的，没收违法所得；情节严重的，吊销燃气经营许可证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超出检查周期半年以内未进行检查的，系数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半年以上的，系数</w:t>
            </w:r>
            <w:r>
              <w:rPr>
                <w:rFonts w:hint="eastAsia" w:cs="宋体" w:asciiTheme="minorEastAsia" w:hAnsiTheme="minorEastAsia" w:eastAsiaTheme="minorEastAsia"/>
                <w:color w:val="auto"/>
                <w:kern w:val="0"/>
                <w:sz w:val="15"/>
                <w:szCs w:val="15"/>
                <w:highlight w:val="none"/>
                <w:lang w:val="en-US" w:eastAsia="zh-CN"/>
              </w:rPr>
              <w:t>9；2</w:t>
            </w:r>
            <w:r>
              <w:rPr>
                <w:rFonts w:hint="eastAsia" w:cs="宋体" w:asciiTheme="minorEastAsia" w:hAnsiTheme="minorEastAsia" w:eastAsiaTheme="minorEastAsia"/>
                <w:color w:val="auto"/>
                <w:kern w:val="0"/>
                <w:sz w:val="15"/>
                <w:szCs w:val="15"/>
                <w:highlight w:val="none"/>
              </w:rPr>
              <w:t>.发生燃气安全事故，经事故调查部门认定，事故发生与其提供的燃气质量不符合国家标准，或者未履行定期安全检查义务存在因果关系的，系数9。</w:t>
            </w:r>
          </w:p>
        </w:tc>
        <w:tc>
          <w:tcPr>
            <w:tcW w:w="1785"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区级</w:t>
            </w:r>
          </w:p>
          <w:p>
            <w:pPr>
              <w:autoSpaceDE w:val="0"/>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2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销售充装单位擅自为非自有气瓶充装的瓶装燃气</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违反条款：第十八条第（八）项；处罚条款：第四十七条第二款 责令改正，可以处1万元以下罚款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违法行为持续时间超过半年的，系数4；1年以上，系数9；2.未按燃气管理部门要求整改，或整改后再次发生类似违法行为的，系数9；3.发生相关燃气安全事故的，系数9。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9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未按规定设置燃气设施保护装置和安全警示标志</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《城镇燃气管理条例》违反条款：第三十五条；处罚条款：第四十八条 责令限期改正，处1万元以上10万元以下罚款。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5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三十五条；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780" w:type="dxa"/>
            <w:gridSpan w:val="4"/>
            <w:shd w:val="clear" w:color="auto" w:fill="auto"/>
            <w:vAlign w:val="center"/>
          </w:tcPr>
          <w:p>
            <w:pPr>
              <w:spacing w:line="232" w:lineRule="exact"/>
              <w:rPr>
                <w:rFonts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pStyle w:val="7"/>
              <w:rPr>
                <w:rFonts w:hint="eastAsia" w:asciiTheme="minorEastAsia" w:hAnsiTheme="minorEastAsia" w:eastAsiaTheme="minorEastAsia" w:cstheme="minorEastAsia"/>
                <w:color w:val="auto"/>
                <w:spacing w:val="-4"/>
                <w:sz w:val="15"/>
                <w:szCs w:val="15"/>
                <w:highlight w:val="yellow"/>
                <w:lang w:val="en-US" w:eastAsia="zh-CN"/>
              </w:rPr>
            </w:pPr>
            <w:r>
              <w:rPr>
                <w:rFonts w:hint="eastAsia" w:cs="Times New Roman" w:asciiTheme="minorEastAsia" w:hAnsiTheme="minorEastAsia" w:eastAsiaTheme="minorEastAsia"/>
                <w:color w:val="auto"/>
                <w:spacing w:val="-4"/>
                <w:sz w:val="15"/>
                <w:szCs w:val="15"/>
                <w:highlight w:val="none"/>
                <w:lang w:val="en-US" w:eastAsia="zh-CN"/>
              </w:rPr>
              <w:t>【《北京市安全生产行政处罚自由裁量基准</w:t>
            </w:r>
            <w:r>
              <w:rPr>
                <w:rFonts w:hint="eastAsia" w:asciiTheme="minorEastAsia" w:hAnsiTheme="minorEastAsia" w:eastAsiaTheme="minorEastAsia" w:cstheme="minorEastAsia"/>
                <w:sz w:val="15"/>
                <w:szCs w:val="15"/>
                <w:highlight w:val="none"/>
                <w:lang w:val="en-US" w:eastAsia="zh-CN"/>
              </w:rPr>
              <w:t>（</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一、（十七）</w:t>
            </w:r>
          </w:p>
          <w:p>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1.未在有较大危险因素的生产经营场所和有关设施、设备上设置明显的安全警示标志有 5 处以下的，处 2 万元以下的罚款；逾期未改正的，处 5 万元以上 10 万元以下的罚款，对其直接负责的主管人员和其他直接责任人员处 1万元以上 2 万元以下的罚款；</w:t>
            </w:r>
          </w:p>
          <w:p>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2.未在有较大危险因素的生产经营场所和有关设施、设备上设置明显的安全警示标志有 5 处以上 10 处以下的，处 2 万元以上 4 万元以下的罚款；逾期未改正的，处 10 万元以上 15 万元以下的罚款，对其直接负责的主管人员和其他直接责任人员处 1 万元以上 2 万元以下的罚款；</w:t>
            </w:r>
          </w:p>
          <w:p>
            <w:pPr>
              <w:pStyle w:val="8"/>
              <w:rPr>
                <w:rFonts w:hint="eastAsia"/>
                <w:lang w:val="en-US" w:eastAsia="zh-CN"/>
              </w:rPr>
            </w:pPr>
            <w:r>
              <w:rPr>
                <w:rFonts w:hint="eastAsia" w:cs="Times New Roman" w:asciiTheme="minorEastAsia" w:hAnsiTheme="minorEastAsia" w:eastAsiaTheme="minorEastAsia"/>
                <w:color w:val="auto"/>
                <w:spacing w:val="-4"/>
                <w:sz w:val="15"/>
                <w:szCs w:val="15"/>
                <w:highlight w:val="none"/>
                <w:lang w:val="en-US" w:eastAsia="zh-CN"/>
              </w:rPr>
              <w:t>3.未在有较大危险因素的生产经营场所和有关设施、设备上设置明显的安全警示标志有 10 处以上的，处 4 万元以上 5 万元以下的罚款；逾期未改正的，处 15 万元以上 20 万元以下的罚款，对其直接负责的主管人员和其他直接责任人员处 1 万元以上 2 万元以下的罚款。</w:t>
            </w:r>
          </w:p>
          <w:p>
            <w:pPr>
              <w:spacing w:line="232" w:lineRule="exact"/>
              <w:rPr>
                <w:rFonts w:cs="宋体" w:asciiTheme="minorEastAsia" w:hAnsiTheme="minorEastAsia" w:eastAsiaTheme="minorEastAsia"/>
                <w:strike/>
                <w:dstrike w:val="0"/>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对燃气经营者</w:t>
            </w:r>
            <w:r>
              <w:rPr>
                <w:rFonts w:hint="eastAsia" w:cs="宋体" w:asciiTheme="minorEastAsia" w:hAnsiTheme="minorEastAsia" w:eastAsiaTheme="minorEastAsia"/>
                <w:color w:val="auto"/>
                <w:kern w:val="0"/>
                <w:sz w:val="15"/>
                <w:szCs w:val="15"/>
                <w:highlight w:val="none"/>
              </w:rPr>
              <w:t>的</w:t>
            </w:r>
            <w:r>
              <w:rPr>
                <w:rFonts w:cs="宋体" w:asciiTheme="minorEastAsia" w:hAnsiTheme="minorEastAsia" w:eastAsiaTheme="minorEastAsia"/>
                <w:color w:val="auto"/>
                <w:kern w:val="0"/>
                <w:sz w:val="15"/>
                <w:szCs w:val="15"/>
                <w:highlight w:val="none"/>
              </w:rPr>
              <w:t>违法行为，适用《城镇燃气管理条例》处罚。逾期未改正的，应另行立案，适用《中华人民共和国安全生产法》“逾期未改正”情形处罚。</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燃气经营者未定期进行巡查、检测、维修和维护 </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违反条款：第三十五条；处罚条款：第四十八条 责令限期改正，处1万元以上10万元以下罚款。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超出检查周期半年以内未进行检查的，系数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半年以上的，系数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 xml:space="preserve"> </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.未按燃气管理部门要求整改，或整改后再次发生类似违法行为的，系数9；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未采取措施及时消除燃气安全事故隐患</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违反条款：《城镇燃气管理条例》第四十一条第一款；处罚条款：第四十八条 责令限期改正，处1万元以上10万元以下罚款。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p>
            <w:pPr>
              <w:spacing w:line="232" w:lineRule="exact"/>
              <w:rPr>
                <w:color w:val="auto"/>
                <w:highlight w:val="none"/>
              </w:rPr>
            </w:pPr>
            <w:r>
              <w:rPr>
                <w:rFonts w:hint="eastAsia" w:asciiTheme="minorEastAsia" w:hAnsiTheme="minorEastAsia" w:eastAsiaTheme="minorEastAsia"/>
                <w:color w:val="auto"/>
                <w:sz w:val="15"/>
                <w:szCs w:val="15"/>
                <w:highlight w:val="none"/>
              </w:rPr>
              <w:t>对燃气经营者相关违法行为，适用《城镇燃气管理条例》处罚。拒不执行的，应另行立案，适用《中华人民共和国安全生产法》“拒不执行”情形处罚。</w:t>
            </w:r>
          </w:p>
          <w:p>
            <w:pPr>
              <w:pStyle w:val="22"/>
              <w:ind w:left="0" w:leftChars="0" w:firstLine="0" w:firstLineChars="0"/>
              <w:rPr>
                <w:color w:val="auto"/>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0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违反条款：《中华人民共和国安全生产法》第四十一条第二款；处罚条款：第一百零二条　生产经营单位拒不执行的，责令停产停业整顿，对其直接负责的主管人员和其他直接责任人员处五万元以上十万元以下的罚款；构成犯罪的，依照刑法有关规定追究刑事责任。    </w:t>
            </w:r>
          </w:p>
        </w:tc>
        <w:tc>
          <w:tcPr>
            <w:tcW w:w="5780" w:type="dxa"/>
            <w:gridSpan w:val="4"/>
            <w:shd w:val="clear" w:color="auto" w:fill="auto"/>
            <w:vAlign w:val="center"/>
          </w:tcPr>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【《北京市安全生产行政处罚自由裁量基准</w:t>
            </w:r>
            <w:r>
              <w:rPr>
                <w:rFonts w:hint="eastAsia" w:asciiTheme="minorEastAsia" w:hAnsiTheme="minorEastAsia" w:eastAsiaTheme="minorEastAsia" w:cstheme="minorEastAsia"/>
                <w:sz w:val="15"/>
                <w:szCs w:val="15"/>
                <w:highlight w:val="none"/>
                <w:lang w:val="en-US" w:eastAsia="zh-CN"/>
              </w:rPr>
              <w:t>（</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pStyle w:val="8"/>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一、（二十七）</w:t>
            </w:r>
          </w:p>
          <w:p>
            <w:pPr>
              <w:pStyle w:val="8"/>
              <w:rPr>
                <w:rFonts w:hint="eastAsia" w:asciiTheme="minorEastAsia" w:hAnsiTheme="minorEastAsia" w:eastAsiaTheme="minorEastAsia" w:cstheme="minorEastAsia"/>
                <w:b w:val="0"/>
                <w:bCs w:val="0"/>
                <w:color w:val="auto"/>
                <w:spacing w:val="-4"/>
                <w:sz w:val="15"/>
                <w:szCs w:val="15"/>
                <w:highlight w:val="none"/>
                <w:lang w:val="en-US" w:eastAsia="zh-CN"/>
              </w:rPr>
            </w:pPr>
            <w:r>
              <w:rPr>
                <w:rFonts w:hint="eastAsia" w:asciiTheme="minorEastAsia" w:hAnsiTheme="minorEastAsia" w:eastAsiaTheme="minorEastAsia" w:cstheme="minorEastAsia"/>
                <w:b w:val="0"/>
                <w:bCs w:val="0"/>
                <w:color w:val="auto"/>
                <w:spacing w:val="-4"/>
                <w:sz w:val="15"/>
                <w:szCs w:val="15"/>
                <w:highlight w:val="none"/>
                <w:lang w:val="en-US" w:eastAsia="zh-CN"/>
              </w:rPr>
              <w:t>1.对 1 处一般事故隐患未采取措施消除的，处 2 万元以下的罚款；拒不执行的，对其直接负责的主管人员和其他直接责任人员处 5 万元以上 7 万元以下的罚款；</w:t>
            </w:r>
          </w:p>
          <w:p>
            <w:pPr>
              <w:pStyle w:val="8"/>
              <w:rPr>
                <w:rFonts w:hint="eastAsia" w:asciiTheme="minorEastAsia" w:hAnsiTheme="minorEastAsia" w:eastAsiaTheme="minorEastAsia" w:cstheme="minorEastAsia"/>
                <w:b w:val="0"/>
                <w:bCs w:val="0"/>
                <w:color w:val="auto"/>
                <w:spacing w:val="-4"/>
                <w:sz w:val="15"/>
                <w:szCs w:val="15"/>
                <w:highlight w:val="none"/>
                <w:lang w:val="en-US" w:eastAsia="zh-CN"/>
              </w:rPr>
            </w:pPr>
            <w:r>
              <w:rPr>
                <w:rFonts w:hint="eastAsia" w:asciiTheme="minorEastAsia" w:hAnsiTheme="minorEastAsia" w:eastAsiaTheme="minorEastAsia" w:cstheme="minorEastAsia"/>
                <w:b w:val="0"/>
                <w:bCs w:val="0"/>
                <w:color w:val="auto"/>
                <w:spacing w:val="-4"/>
                <w:sz w:val="15"/>
                <w:szCs w:val="15"/>
                <w:highlight w:val="none"/>
                <w:lang w:val="en-US" w:eastAsia="zh-CN"/>
              </w:rPr>
              <w:t>2.对 2 处一般事故隐患未采取措施消除的，处 2 万元以上 4 万元以下的罚款；拒不执行的，对其直接负责的主管人员和其他直接责任人员处 7 万元以上 9 万元以下的罚款；</w:t>
            </w:r>
          </w:p>
          <w:p>
            <w:pPr>
              <w:pStyle w:val="8"/>
              <w:rPr>
                <w:rFonts w:hint="eastAsia" w:asciiTheme="minorEastAsia" w:hAnsiTheme="minorEastAsia" w:eastAsiaTheme="minorEastAsia" w:cstheme="minorEastAsia"/>
                <w:b w:val="0"/>
                <w:bCs w:val="0"/>
                <w:sz w:val="15"/>
                <w:szCs w:val="15"/>
                <w:lang w:val="en-US" w:eastAsia="zh-CN"/>
              </w:rPr>
            </w:pPr>
            <w:r>
              <w:rPr>
                <w:rFonts w:hint="eastAsia" w:asciiTheme="minorEastAsia" w:hAnsiTheme="minorEastAsia" w:eastAsiaTheme="minorEastAsia" w:cstheme="minorEastAsia"/>
                <w:b w:val="0"/>
                <w:bCs w:val="0"/>
                <w:color w:val="auto"/>
                <w:spacing w:val="-4"/>
                <w:sz w:val="15"/>
                <w:szCs w:val="15"/>
                <w:highlight w:val="none"/>
                <w:lang w:val="en-US" w:eastAsia="zh-CN"/>
              </w:rPr>
              <w:t>3.对重大事故隐患或者 3 处以上一般事故隐患未采取措施消除的，处 4 万元以上 5 万元以下的罚款；拒不执行的，对其直接负责的主管人员和其他直接责任人员处 9 万元以上 10 万元以下的罚款。</w:t>
            </w:r>
          </w:p>
          <w:p>
            <w:pPr>
              <w:spacing w:line="232" w:lineRule="exact"/>
              <w:rPr>
                <w:rFonts w:cs="宋体" w:asciiTheme="minorEastAsia" w:hAnsiTheme="minorEastAsia" w:eastAsiaTheme="minorEastAsia"/>
                <w:strike/>
                <w:dstrike w:val="0"/>
                <w:color w:val="auto"/>
                <w:kern w:val="0"/>
                <w:sz w:val="15"/>
                <w:szCs w:val="15"/>
                <w:highlight w:val="none"/>
              </w:rPr>
            </w:pPr>
          </w:p>
        </w:tc>
        <w:tc>
          <w:tcPr>
            <w:tcW w:w="2385" w:type="dxa"/>
            <w:shd w:val="clear" w:color="auto" w:fill="auto"/>
            <w:vAlign w:val="center"/>
          </w:tcPr>
          <w:p>
            <w:pPr>
              <w:spacing w:line="232" w:lineRule="exact"/>
              <w:ind w:firstLine="242"/>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擅自操作公用燃气阀门</w:t>
            </w:r>
          </w:p>
        </w:tc>
        <w:tc>
          <w:tcPr>
            <w:tcW w:w="2789" w:type="dxa"/>
            <w:shd w:val="clear" w:color="auto" w:fill="auto"/>
            <w:vAlign w:val="center"/>
          </w:tcPr>
          <w:p>
            <w:pPr>
              <w:spacing w:line="22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违反条款：第二十八条第（一）项；处罚条款：第四十九条第一款第（一）项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lang w:val="en-US" w:eastAsia="zh-CN"/>
              </w:rPr>
              <w:t>安</w:t>
            </w:r>
            <w:r>
              <w:rPr>
                <w:rFonts w:hint="eastAsia" w:cs="宋体" w:asciiTheme="minorEastAsia" w:hAnsiTheme="minorEastAsia" w:eastAsiaTheme="minorEastAsia"/>
                <w:color w:val="auto"/>
                <w:kern w:val="0"/>
                <w:sz w:val="15"/>
                <w:szCs w:val="15"/>
                <w:highlight w:val="none"/>
              </w:rPr>
              <w:t>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将燃气管道作为负重支架或者接地引线</w:t>
            </w:r>
          </w:p>
        </w:tc>
        <w:tc>
          <w:tcPr>
            <w:tcW w:w="2789" w:type="dxa"/>
            <w:shd w:val="clear" w:color="auto" w:fill="auto"/>
            <w:vAlign w:val="center"/>
          </w:tcPr>
          <w:p>
            <w:pPr>
              <w:spacing w:line="22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违反条款：第二十八条第（二）项；处罚条款：第四十九条第一款第（二）项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1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安装、使用不符合气源要求的燃气燃烧器具</w:t>
            </w:r>
          </w:p>
        </w:tc>
        <w:tc>
          <w:tcPr>
            <w:tcW w:w="2789" w:type="dxa"/>
            <w:shd w:val="clear" w:color="auto" w:fill="auto"/>
            <w:vAlign w:val="center"/>
          </w:tcPr>
          <w:p>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违反条款：第二十八条第（三）项；处罚条款：第四十九条第一款第（三）项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w:t>
            </w:r>
            <w:r>
              <w:rPr>
                <w:rFonts w:hint="eastAsia" w:cs="宋体" w:asciiTheme="minorEastAsia" w:hAnsiTheme="minorEastAsia" w:eastAsiaTheme="minorEastAsia"/>
                <w:color w:val="auto"/>
                <w:kern w:val="0"/>
                <w:sz w:val="15"/>
                <w:szCs w:val="15"/>
                <w:highlight w:val="none"/>
                <w:lang w:eastAsia="zh-CN"/>
              </w:rPr>
              <w:t>安装、使用明令淘汰的燃气燃烧器</w:t>
            </w:r>
            <w:r>
              <w:rPr>
                <w:rFonts w:hint="eastAsia" w:asciiTheme="minorEastAsia" w:hAnsiTheme="minorEastAsia" w:eastAsiaTheme="minorEastAsia"/>
                <w:color w:val="auto"/>
                <w:sz w:val="15"/>
                <w:szCs w:val="15"/>
                <w:highlight w:val="none"/>
              </w:rPr>
              <w:t>具</w:t>
            </w:r>
            <w:r>
              <w:rPr>
                <w:rFonts w:hint="eastAsia" w:asciiTheme="minorEastAsia" w:hAnsiTheme="minorEastAsia" w:eastAsiaTheme="minorEastAsia"/>
                <w:color w:val="auto"/>
                <w:sz w:val="15"/>
                <w:szCs w:val="15"/>
                <w:highlight w:val="none"/>
                <w:lang w:eastAsia="zh-CN"/>
              </w:rPr>
              <w:t>的，系数</w:t>
            </w:r>
            <w:r>
              <w:rPr>
                <w:rFonts w:hint="default" w:asciiTheme="minorEastAsia" w:hAnsiTheme="minorEastAsia" w:eastAsiaTheme="minorEastAsia"/>
                <w:color w:val="auto"/>
                <w:sz w:val="15"/>
                <w:szCs w:val="15"/>
                <w:highlight w:val="none"/>
                <w:lang w:val="en" w:eastAsia="zh-CN"/>
              </w:rPr>
              <w:t>4</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lang w:val="en-US" w:eastAsia="zh-CN"/>
              </w:rPr>
              <w:t>3</w:t>
            </w:r>
            <w:r>
              <w:rPr>
                <w:rFonts w:hint="default" w:asciiTheme="minorEastAsia" w:hAnsiTheme="minorEastAsia" w:eastAsiaTheme="minorEastAsia"/>
                <w:color w:val="auto"/>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9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擅自安装、改装、拆除户内燃气设施和燃气计量装置</w:t>
            </w:r>
          </w:p>
        </w:tc>
        <w:tc>
          <w:tcPr>
            <w:tcW w:w="2789" w:type="dxa"/>
            <w:shd w:val="clear" w:color="auto" w:fill="auto"/>
            <w:vAlign w:val="center"/>
          </w:tcPr>
          <w:p>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违反条款：第二十八条第（四）项；处罚条款：第四十九条第一款第（四）项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strike w:val="0"/>
                <w:dstrike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在不具备安全条件的场所使用、储存燃气</w:t>
            </w:r>
          </w:p>
        </w:tc>
        <w:tc>
          <w:tcPr>
            <w:tcW w:w="2789" w:type="dxa"/>
            <w:shd w:val="clear" w:color="auto" w:fill="auto"/>
            <w:vAlign w:val="center"/>
          </w:tcPr>
          <w:p>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违反条款：第二十八条第（五）项；处罚条款：第四十九条第一款第（五）项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存在</w:t>
            </w:r>
            <w:r>
              <w:rPr>
                <w:rFonts w:hint="eastAsia" w:cs="宋体" w:asciiTheme="minorEastAsia" w:hAnsiTheme="minorEastAsia" w:eastAsiaTheme="minorEastAsia"/>
                <w:color w:val="auto"/>
                <w:kern w:val="0"/>
                <w:sz w:val="15"/>
                <w:szCs w:val="15"/>
                <w:highlight w:val="none"/>
                <w:lang w:val="en-US" w:eastAsia="zh-CN"/>
              </w:rPr>
              <w:t>2个以上不合格安全条件的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 发生在人口集中地区或人员密集场所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改变燃气用途或者转供燃气</w:t>
            </w:r>
          </w:p>
        </w:tc>
        <w:tc>
          <w:tcPr>
            <w:tcW w:w="2789"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违反条款：第二十八条第（七）项；处罚条款：第四十九条第一款第（六）项 责令限期改正；逾期不改正的，对单位可以处10万元以下罚款，对个人可以处1000元以下罚款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2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未设立售后服务站点或者未配备经考核合格的燃气燃烧器具安装、维修人员</w:t>
            </w:r>
          </w:p>
        </w:tc>
        <w:tc>
          <w:tcPr>
            <w:tcW w:w="2789"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违反条款：第三十二条第一款；处罚条款：第四十九条第一款第（七）项 责令限期改正；逾期不改正的，对单位可以处10万元以下罚款，对个人可以处1000元以下罚款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，系数9；2.未按燃气管理部门要求整改，或整改后再次发生类似违法行为的，系数9；3.发生相关燃气安全事故的，系数9。</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燃气燃烧器具的安装、维修不符合国家有关标准</w:t>
            </w:r>
          </w:p>
        </w:tc>
        <w:tc>
          <w:tcPr>
            <w:tcW w:w="2789"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违反条款：第三十二条第二款；处罚条款：第四十九条第一款第（八）项 责令限期改正；逾期不改正的，对单位可以处10万元以下罚款，对个人可以处1000元以下罚款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，系数9；2.未按燃气管理部门要求整改，或整改后再次发生类似违法行为的，系数9；3.发生相关燃气安全事故的，系数9。</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vMerge w:val="restart"/>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在燃气设施保护范围内进行爆破取土等作业或者动用明火</w:t>
            </w:r>
          </w:p>
        </w:tc>
        <w:tc>
          <w:tcPr>
            <w:tcW w:w="2789" w:type="dxa"/>
            <w:vMerge w:val="restart"/>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违反条款：第三十三条第二款第（二）项；处罚条款：第五十条第一款第（一）项 责令停止违法行为，限期恢复原状或者采取其它补救措施，对单位处5万元以上10万元以下罚款，对个人处5000元以上5万元以下罚款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190"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19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在燃气设施保护范围内倾倒、排放腐蚀性物质</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违反条款：第三十三条第二款第（三）项；处罚条款：第五十条第一款第（二）项 责令停止违法行为，限期恢复原状或者采取其它补救措施，对单位处5万元以上10万元以下罚款，对个人处5000元以上5万元以下罚款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在燃气设施保护范围内放置易燃易爆物品或者种植深根植物</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违反条款：第三十三条第二款第（四）项；处罚条款：第五十条第一款第（三）项 责令停止违法行为，限期恢复原状或者采取其它补救措施，对单位处5万元以上10万元以下罚款，对个人处5000元以上5万元以下罚款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17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17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170"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25</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在燃气设施保护范围内擅自从事敷设管道、打桩、顶进、挖掘、钻探等可能影响燃气设施安全活动</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违反条款：第三十四条；处罚条款：第五十条第一款第（四）项 责令停止违法行为，限期恢复原状或者采取其它补救措施，对单位处5万元以上10万元以下罚款，对个人处5000元以上5万元以下罚款。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17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17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1.损坏燃气设施或者其它影响用气情形的，系数7；2.发生燃气事故，存在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170"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66"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侵占、毁损、擅自拆除、移动燃气设施</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违反条款：第三十六条第一款；处罚条款：第五十一条第一款 责令限期改正，恢复原状或者采取其它补救措施，对单位处5万元以上10万元以下罚款，对个人处5000元以上5万元以下罚款。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500户（含500户）或者非居民用户达到5户（含5户）的，系数为1；</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94"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w:t>
            </w:r>
            <w:r>
              <w:rPr>
                <w:rFonts w:hint="eastAsia" w:cs="宋体" w:asciiTheme="minorEastAsia" w:hAnsiTheme="minorEastAsia" w:eastAsiaTheme="minorEastAsia"/>
                <w:color w:val="auto"/>
                <w:kern w:val="0"/>
                <w:sz w:val="15"/>
                <w:szCs w:val="15"/>
                <w:highlight w:val="none"/>
                <w:lang w:val="en-US" w:eastAsia="zh-CN"/>
              </w:rPr>
              <w:t>4-8</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3"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擅自改动市政燃气设施</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违反条款：第三十八条第一款；处罚条款：第五十一条第一款 责令限期改正，恢复原状或者采取其它补救措施，对单位处5万元以上10万元以下罚款，对个人处5000元以上5万元以下罚款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500户（含500户）或者非居民用户达到5户（含5户）的，系数为1；</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pStyle w:val="22"/>
              <w:ind w:left="0" w:leftChars="0" w:firstLine="0" w:firstLineChars="0"/>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pacing w:val="-4"/>
                <w:sz w:val="15"/>
                <w:szCs w:val="15"/>
                <w:highlight w:val="none"/>
              </w:rPr>
              <w:t>违反条款：第三十八条第一款；处罚条款：第五十一条第一款 责令限期改正，恢复原状或者采取其它补救措施，对单位处5万元以上10万元以下罚款，对个人处5000元以上5万元以下罚款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.存在</w:t>
            </w:r>
            <w:r>
              <w:rPr>
                <w:rFonts w:hint="eastAsia" w:cs="宋体" w:asciiTheme="minorEastAsia" w:hAnsiTheme="minorEastAsia" w:eastAsiaTheme="minorEastAsia"/>
                <w:color w:val="auto"/>
                <w:kern w:val="0"/>
                <w:sz w:val="15"/>
                <w:szCs w:val="15"/>
                <w:highlight w:val="none"/>
              </w:rPr>
              <w:t>其它影响用气情形的，系数</w:t>
            </w:r>
            <w:r>
              <w:rPr>
                <w:rFonts w:hint="eastAsia" w:cs="宋体" w:asciiTheme="minorEastAsia" w:hAnsiTheme="minorEastAsia" w:eastAsiaTheme="minorEastAsia"/>
                <w:color w:val="auto"/>
                <w:kern w:val="0"/>
                <w:sz w:val="15"/>
                <w:szCs w:val="15"/>
                <w:highlight w:val="none"/>
                <w:lang w:val="en-US" w:eastAsia="zh-CN"/>
              </w:rPr>
              <w:t>4-8</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毁损、覆盖、涂改、擅自拆除或者移动燃气设施安全警示标志</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违反条款：第三十六条第一款；处罚条款：第五十一条第二款 责令限期改正，恢复原状，可以处5000元以下罚款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发生在人口集中地区或人员密集场所的，系数2；2.导致相关燃气安全事故的，系数4。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处以1000元以下的罚款。按照办法规定和实际情况执行。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2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建设单位未会同施工单位与管道燃气经营者共同制定燃气设施保护方案</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违反条款：第三十七条第三款；处罚条款：第五十二条 责令改正，处1万元以上10万元以下罚款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发生在人口集中地区或人员密集场所的，系数2；2.</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4-9；3</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lang w:eastAsia="zh-CN"/>
              </w:rPr>
              <w:t>导致</w:t>
            </w:r>
            <w:r>
              <w:rPr>
                <w:rFonts w:hint="eastAsia" w:cs="宋体" w:asciiTheme="minorEastAsia" w:hAnsiTheme="minorEastAsia" w:eastAsiaTheme="minorEastAsia"/>
                <w:color w:val="auto"/>
                <w:kern w:val="0"/>
                <w:sz w:val="15"/>
                <w:szCs w:val="15"/>
                <w:highlight w:val="none"/>
              </w:rPr>
              <w:t>相关燃气安全事故的，系数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建设单位、施工单位未采取安全保护措施，确保燃气设施运行安全</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违反条款：第三十七条第三款；处罚条款：第五十二条 责令改正，处1万元以上10万元以下罚款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发生在人口集中地区或人员密集场所的，系数2；2.</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4-9；3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导致</w:t>
            </w:r>
            <w:r>
              <w:rPr>
                <w:rFonts w:hint="eastAsia" w:cs="宋体" w:asciiTheme="minorEastAsia" w:hAnsiTheme="minorEastAsia" w:eastAsiaTheme="minorEastAsia"/>
                <w:color w:val="auto"/>
                <w:kern w:val="0"/>
                <w:sz w:val="15"/>
                <w:szCs w:val="15"/>
                <w:highlight w:val="none"/>
              </w:rPr>
              <w:t>相关燃气安全事故的，系数9。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6"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71" w:name="_Toc110851458"/>
            <w:bookmarkStart w:id="72" w:name="_Toc1968530984"/>
            <w:bookmarkStart w:id="73" w:name="_Toc277302333"/>
            <w:r>
              <w:rPr>
                <w:rFonts w:hint="eastAsia" w:asciiTheme="minorEastAsia" w:hAnsiTheme="minorEastAsia" w:eastAsiaTheme="minorEastAsia"/>
                <w:color w:val="auto"/>
                <w:sz w:val="21"/>
                <w:szCs w:val="21"/>
                <w:highlight w:val="none"/>
              </w:rPr>
              <w:t>《北京市燃气管理条例》案由26项</w:t>
            </w:r>
            <w:bookmarkEnd w:id="71"/>
            <w:bookmarkEnd w:id="72"/>
            <w:bookmarkEnd w:id="7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未取得燃气经营许可从事燃气经营活动</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违反条款：第十六条第一款；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处罚条款：第五十五条第一款 责令停止违法行为，处五万元以上五十万元以下罚款；有违法所得的，没收违法所得。</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numPr>
                <w:ilvl w:val="0"/>
                <w:numId w:val="0"/>
              </w:num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1.跨区级区域经营或者违规经营规模较大(气瓶数量超过28个)，系数5；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经营场所在人口集中地区、人员密集场所</w:t>
            </w:r>
            <w:r>
              <w:rPr>
                <w:rFonts w:hint="eastAsia" w:cs="宋体" w:asciiTheme="minorEastAsia" w:hAnsiTheme="minorEastAsia" w:eastAsiaTheme="minorEastAsia"/>
                <w:color w:val="auto"/>
                <w:kern w:val="0"/>
                <w:sz w:val="15"/>
                <w:szCs w:val="15"/>
                <w:highlight w:val="none"/>
                <w:lang w:eastAsia="zh-CN"/>
              </w:rPr>
              <w:t>或者邻近电力、管线等需要特殊保护的场所的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.持续时间超过</w:t>
            </w:r>
            <w:r>
              <w:rPr>
                <w:rFonts w:hint="eastAsia" w:cs="宋体" w:asciiTheme="minorEastAsia" w:hAnsiTheme="minorEastAsia" w:eastAsiaTheme="minorEastAsia"/>
                <w:b w:val="0"/>
                <w:bCs w:val="0"/>
                <w:strike w:val="0"/>
                <w:dstrike w:val="0"/>
                <w:color w:val="auto"/>
                <w:kern w:val="0"/>
                <w:sz w:val="15"/>
                <w:szCs w:val="15"/>
                <w:highlight w:val="none"/>
                <w:u w:val="none"/>
                <w:lang w:val="en-US" w:eastAsia="zh-CN"/>
              </w:rPr>
              <w:t>2个月的</w:t>
            </w:r>
            <w:r>
              <w:rPr>
                <w:rFonts w:hint="eastAsia" w:cs="宋体" w:asciiTheme="minorEastAsia" w:hAnsiTheme="minorEastAsia" w:eastAsiaTheme="minorEastAsia"/>
                <w:b w:val="0"/>
                <w:bCs w:val="0"/>
                <w:color w:val="auto"/>
                <w:kern w:val="0"/>
                <w:sz w:val="15"/>
                <w:szCs w:val="15"/>
                <w:highlight w:val="none"/>
                <w:u w:val="none"/>
              </w:rPr>
              <w:t>，系数</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w:t>
            </w:r>
            <w:r>
              <w:rPr>
                <w:rFonts w:hint="eastAsia" w:cs="宋体" w:asciiTheme="minorEastAsia" w:hAnsiTheme="minorEastAsia" w:eastAsiaTheme="minorEastAsia"/>
                <w:b w:val="0"/>
                <w:bCs w:val="0"/>
                <w:color w:val="auto"/>
                <w:kern w:val="0"/>
                <w:sz w:val="15"/>
                <w:szCs w:val="15"/>
                <w:highlight w:val="none"/>
                <w:u w:val="none"/>
                <w:lang w:eastAsia="zh-CN"/>
              </w:rPr>
              <w:t>超过半年的</w:t>
            </w:r>
            <w:r>
              <w:rPr>
                <w:rFonts w:hint="eastAsia" w:cs="宋体" w:asciiTheme="minorEastAsia" w:hAnsiTheme="minorEastAsia" w:eastAsiaTheme="minorEastAsia"/>
                <w:b w:val="0"/>
                <w:bCs w:val="0"/>
                <w:color w:val="auto"/>
                <w:kern w:val="0"/>
                <w:sz w:val="15"/>
                <w:szCs w:val="15"/>
                <w:highlight w:val="none"/>
                <w:u w:val="none"/>
                <w:lang w:val="en-US" w:eastAsia="zh-CN"/>
              </w:rPr>
              <w:t>，</w:t>
            </w:r>
            <w:r>
              <w:rPr>
                <w:rFonts w:hint="eastAsia" w:cs="宋体" w:asciiTheme="minorEastAsia" w:hAnsiTheme="minorEastAsia" w:eastAsiaTheme="minorEastAsia"/>
                <w:b w:val="0"/>
                <w:bCs w:val="0"/>
                <w:color w:val="auto"/>
                <w:kern w:val="0"/>
                <w:sz w:val="15"/>
                <w:szCs w:val="15"/>
                <w:highlight w:val="none"/>
                <w:u w:val="none"/>
                <w:lang w:eastAsia="zh-CN"/>
              </w:rPr>
              <w:t>系数为</w:t>
            </w:r>
            <w:r>
              <w:rPr>
                <w:rFonts w:hint="eastAsia" w:cs="宋体" w:asciiTheme="minorEastAsia" w:hAnsiTheme="minorEastAsia" w:eastAsiaTheme="minorEastAsia"/>
                <w:b w:val="0"/>
                <w:bCs w:val="0"/>
                <w:color w:val="auto"/>
                <w:kern w:val="0"/>
                <w:sz w:val="15"/>
                <w:szCs w:val="15"/>
                <w:highlight w:val="none"/>
                <w:u w:val="none"/>
                <w:lang w:val="en-US" w:eastAsia="zh-CN"/>
              </w:rPr>
              <w:t>6；</w:t>
            </w:r>
            <w:r>
              <w:rPr>
                <w:rFonts w:hint="eastAsia" w:cs="宋体" w:asciiTheme="minorEastAsia" w:hAnsiTheme="minorEastAsia" w:eastAsiaTheme="minorEastAsia"/>
                <w:b w:val="0"/>
                <w:bCs w:val="0"/>
                <w:color w:val="auto"/>
                <w:kern w:val="0"/>
                <w:sz w:val="15"/>
                <w:szCs w:val="15"/>
                <w:highlight w:val="none"/>
                <w:u w:val="none"/>
              </w:rPr>
              <w:t>1年以上，系数9；</w:t>
            </w:r>
            <w:r>
              <w:rPr>
                <w:rFonts w:hint="eastAsia" w:cs="宋体" w:asciiTheme="minorEastAsia" w:hAnsiTheme="minorEastAsia" w:eastAsiaTheme="minorEastAsia"/>
                <w:color w:val="auto"/>
                <w:kern w:val="0"/>
                <w:sz w:val="15"/>
                <w:szCs w:val="15"/>
                <w:highlight w:val="none"/>
                <w:lang w:val="en-US" w:eastAsia="zh-CN"/>
              </w:rPr>
              <w:t>4</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发生燃气安全事故的，系数9。</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kern w:val="0"/>
                <w:sz w:val="15"/>
                <w:szCs w:val="15"/>
                <w:highlight w:val="none"/>
                <w:lang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2</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燃气供应企业不按照燃气经营许可决定的要求从事燃气经营活动</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违反条款：第十六条第四款；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仿宋_GB2312" w:asciiTheme="minorEastAsia" w:hAnsiTheme="minorEastAsia" w:eastAsiaTheme="minorEastAsia"/>
                <w:color w:val="auto"/>
                <w:kern w:val="0"/>
                <w:sz w:val="15"/>
                <w:szCs w:val="15"/>
                <w:highlight w:val="none"/>
              </w:rPr>
              <w:t>的，系数4；</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，系数6。</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罚款数额＝30000×（1＋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p>
            <w:pPr>
              <w:spacing w:line="232" w:lineRule="exact"/>
              <w:rPr>
                <w:rFonts w:cs="仿宋_GB2312"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60"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3</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燃气供应企业不符合燃气经营许可条件要求从事燃气经营活动</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违反条款：第十六条第二款；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，系数4；</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安全隐患的，系数6。</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罚款数额＝30000×（1＋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before="100" w:beforeAutospacing="1" w:after="100" w:afterAutospacing="1"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keepNext w:val="0"/>
              <w:keepLines w:val="0"/>
              <w:pageBreakBefore w:val="0"/>
              <w:widowControl w:val="0"/>
              <w:kinsoku/>
              <w:wordWrap/>
              <w:overflowPunct/>
              <w:topLinePunct w:val="0"/>
              <w:autoSpaceDN/>
              <w:bidi w:val="0"/>
              <w:adjustRightInd/>
              <w:snapToGrid/>
              <w:spacing w:beforeAutospacing="0" w:afterAutospacing="0" w:line="232" w:lineRule="exact"/>
              <w:jc w:val="center"/>
              <w:textAlignment w:val="auto"/>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keepNext w:val="0"/>
              <w:keepLines w:val="0"/>
              <w:pageBreakBefore w:val="0"/>
              <w:widowControl w:val="0"/>
              <w:kinsoku/>
              <w:wordWrap/>
              <w:overflowPunct/>
              <w:topLinePunct w:val="0"/>
              <w:autoSpaceDE w:val="0"/>
              <w:autoSpaceDN/>
              <w:bidi w:val="0"/>
              <w:adjustRightInd/>
              <w:snapToGrid/>
              <w:spacing w:beforeAutospacing="0" w:afterAutospacing="0"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00"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4</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燃气供应企业违反规定情形与非居民用户签订供用气合同（进行供气）</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第二十条（一）（二）（三）项（根据实际情况选择适用）；</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仿宋_GB2312"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kern w:val="0"/>
                <w:sz w:val="15"/>
                <w:szCs w:val="15"/>
                <w:highlight w:val="none"/>
              </w:rPr>
              <w:t>1.存在第二十条第（二）项违法行为的，系数1；2.同时违反第二十条第（一）（二）（三）项中两项违法行为的，系数2；两项以上违法行为的，系数3-4；3.发生燃气事故，或者其它严重影响用气情形的，系数4。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此案由适用下列情形：燃气供应企业违反规定情形与非居民用户签订供用气合同进行供气：“用气场所为违法建设”“拒绝安全检查，或者经安全检查，用气场所、燃气设施或者用气设备不符合安全用气条件”“用气场所未安装燃气泄漏报警装置”。</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燃气供应企业未向用户提供安全、稳定、质量合格和价格合理的服务</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违反条款：第二十一条第一款；</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仿宋_GB2312" w:asciiTheme="minorEastAsia" w:hAnsiTheme="minorEastAsia" w:eastAsiaTheme="minorEastAsia"/>
                <w:color w:val="auto"/>
                <w:kern w:val="0"/>
                <w:sz w:val="15"/>
                <w:szCs w:val="15"/>
                <w:highlight w:val="none"/>
              </w:rPr>
              <w:t>的，系数2；2.未按燃气管理部门要求整改，或整改后再次发生类似违法行为的，系数4；3.发生燃气安全事故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7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53"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6</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燃气供应企业未建立和完善安全保障制度并遵守相关规定</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违反条款：第二十二条第（一）（二）（三）（四）（五）（六）（七）（八）项（根据实际违法情形选择）；</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1.存在</w:t>
            </w:r>
            <w:r>
              <w:rPr>
                <w:rFonts w:hint="eastAsia" w:cs="仿宋_GB2312" w:asciiTheme="minorEastAsia" w:hAnsiTheme="minorEastAsia" w:eastAsiaTheme="minorEastAsia"/>
                <w:color w:val="auto"/>
                <w:kern w:val="0"/>
                <w:sz w:val="15"/>
                <w:szCs w:val="15"/>
                <w:highlight w:val="none"/>
                <w:shd w:val="clear" w:color="auto" w:fill="FFFFFF"/>
              </w:rPr>
              <w:t>第二十二条第（一）（二）（三）（八）项违法行为之一的，系数1；2.同时违反第二十二条第（一）（二）（三）（四）（五）（六）（七）（八）项中两项违法行为的，系数2；两项以上违法行为的，系数3-4； 3.发生燃气事故，或者其它严重影响用气情形的，系数4。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7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情形：燃气供应企业“未执行国家和本市对燃气设施运行、维护和抢修的有关规定”“未与气源供应企业签订长期和年度供应合同，明确供气保障方案”“未对承担管理责任的燃气设施进行维护、检修和检验，并根据生产运行状况，对燃气设施进行安全评估”“不具备维持正常运营和保障安全生产条件所需的资金投入”“未建立员工岗位培训制度”“因例行检修、更换设施等情况，需要临时调整供气量或者暂停供气时，未提前四十八小时将作业时间和影响区域予以公告”“未按照国家和本市的有关规定向城市管理部门报告生产运营、安全生产和用户服务等情况”“因突发事件影响供气，未按照燃气应急预案采取紧急措施并及时通知用户”。</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16"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7</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燃气供应企业未建立健全用户服务制度、规范服务行为并遵守相关规定</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违反条款：第二十三条第（一）（二）（三）（四）（五）（六）（七）项（根据实际违法情形选择）；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1.存在第二十三条第（一）（二）（五）项违法行为之一的，系数1；2.同时违反第二十三条第（一）（二）（三）（四）（五）（六）（七）项中两项违法行为的，系数2；两项以上违法行为的，系数3-4； 3.发生燃气事故，或者其它严重影响用气情形的，系数4。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此案由适用以下情形：“燃气供应企业未与用户签订供用气合同”“未建立健全用户服务信息系统，完善用户服务档案”“销售燃气不符合国家和本市价格管理有关规定，并执行法定的价格干预措施、紧急措施”“未在业务受理场所公示业务流程、服务项目、服务承诺、作业标准、收费标准和服务受理、投诉电话等内容；向社会公布服务受理及投诉电话”“未定期对用户的用气场所、燃气设施和用气设备免费进行入户安全检查，</w:t>
            </w:r>
            <w:r>
              <w:rPr>
                <w:rFonts w:hint="eastAsia" w:cs="仿宋_GB2312" w:asciiTheme="minorEastAsia" w:hAnsiTheme="minorEastAsia" w:eastAsiaTheme="minorEastAsia"/>
                <w:color w:val="auto"/>
                <w:kern w:val="0"/>
                <w:sz w:val="15"/>
                <w:szCs w:val="15"/>
                <w:highlight w:val="none"/>
                <w:lang w:eastAsia="zh-CN"/>
              </w:rPr>
              <w:t>做好</w:t>
            </w:r>
            <w:r>
              <w:rPr>
                <w:rFonts w:hint="eastAsia" w:cs="仿宋_GB2312" w:asciiTheme="minorEastAsia" w:hAnsiTheme="minorEastAsia" w:eastAsiaTheme="minorEastAsia"/>
                <w:color w:val="auto"/>
                <w:kern w:val="0"/>
                <w:sz w:val="15"/>
                <w:szCs w:val="15"/>
                <w:highlight w:val="none"/>
              </w:rPr>
              <w:t>安全检查记录；发现存在安全隐患的，未书面告知用户进行整改”“对用户投资建设的燃气工程指定设计单位或者施工单位，要求用户购买其指定经营者的产品”“未对供应范围内的燃气用户进行技术指导和技术服务”。</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12"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8</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燃气供应企业销售瓶装液化石油气未如实记录用户基本信息以及用户持有气瓶的数量、定期检验周期和报废期限等情况</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违反条款：第二十四条第一款；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1.用户基本信息、用户持有气瓶数量、定期检验周期、报废期限等情况，同时存在两项（含两项）以上记录不完整的，系数1-3； 2.没有记录或者虚假记录的，系数3-4；3.发生燃气事故，或者其它严重影响用气情形的，系数4。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04"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9</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燃气供应企业未在用户持有的气瓶定期检验周期、报废期限到期前三十日内通知用户将气瓶送交处理</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违反条款：第二十四条第二款；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1.未在气瓶报废期限到期前通知用户的，系数3-4；2.两次以上未在定期检验周期到期前通知用户的，系数2-4；3.发生燃气事故，或者其它严重影响用气情形的，系数4。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04"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10</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燃气供应企业对非居民用户未直接配送、安装气瓶，并对其用气场所、燃气设施和用气设备进行安全检查</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违反条款：第二十五条第一款；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1.同时存在未直接配送、安装、进行安全检查两种情形的，系数1；同时存在三种情形的，系数2-4；2.发生燃气事故，或者其它严重影响用气情形的，系数4。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11</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燃气供应企业未对直接配送瓶装液化石油气居民用户的用气场所、燃气设施和用气设备进行安全检查</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违反条款：第二十五条第二款；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1.两次未进行安全检查，系数2-3；三次及以上未进行安全检查，系数4；2.影响正常用气的，系数2-3；3.发生燃气事故，或者其它严重影响用气情形的，系数4。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12</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燃气供应企业销售瓶装燃气未遵守相关规定</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违反条款：第二十六条第一款第(一) (四)（五）(六)项（根据实际违法情形选择）；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于“燃气供应企业向用户提供的气瓶、气质及气量不符合国家和本市的规定”“未按照有关标准和规范充装、存放、运送气瓶，如实记录气瓶进出站时间”“充装瓶装液化石油气的，未从取得特许经营权的气源供应企业采购气源”“销售的瓶装液化石油气未来源于燃气发展规划确定的服务区域内的瓶装液化石油气充装企业”等情形。</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73"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13</w:t>
            </w:r>
          </w:p>
        </w:tc>
        <w:tc>
          <w:tcPr>
            <w:tcW w:w="1500"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燃气供应企业未按要求对燃气用户暂停供气或者限制购气并进行报告</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违反条款：第三十一条第（一）（二）项（根据实际违法情形选择）；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用户无正当理由拒绝定期入户检查，同时存在未书面告知、未暂停供气或者限制购气、未报告两种情形的，系数1；同时存在三种情形的，系数2-4；2.用户存在安全隐患且拒不整改，未及时暂停供气或者限制购气的，系数2；同时存在未书面告知、未报告情形的，系数3-4；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43"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14</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燃气非居民用户未安装、使用符合要求的燃气燃烧器具及其连接管、燃气泄漏报警装置</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违反条款：第二十七条第一款；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处罚条款：第五十九条 责令限期改正；逾期不改正的，处二万元以上十万元以下罚款。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安装、使用明令淘汰的燃气燃烧器</w:t>
            </w:r>
            <w:r>
              <w:rPr>
                <w:rFonts w:hint="eastAsia" w:asciiTheme="minorEastAsia" w:hAnsiTheme="minorEastAsia" w:eastAsiaTheme="minorEastAsia"/>
                <w:color w:val="auto"/>
                <w:sz w:val="15"/>
                <w:szCs w:val="15"/>
                <w:highlight w:val="none"/>
              </w:rPr>
              <w:t>具</w:t>
            </w:r>
            <w:r>
              <w:rPr>
                <w:rFonts w:hint="eastAsia" w:asciiTheme="minorEastAsia" w:hAnsiTheme="minorEastAsia" w:eastAsiaTheme="minorEastAsia"/>
                <w:color w:val="auto"/>
                <w:sz w:val="15"/>
                <w:szCs w:val="15"/>
                <w:highlight w:val="none"/>
                <w:lang w:eastAsia="zh-CN"/>
              </w:rPr>
              <w:t>的，系数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仿宋_GB2312" w:asciiTheme="minorEastAsia" w:hAnsiTheme="minorEastAsia" w:eastAsiaTheme="minorEastAsia"/>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逾期不改正的情形，不纳入本案由</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2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15</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非居民用户存在燃气使用禁止的行为</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违反条款：第三十条第一款第（一）至（十二）项、第二款（根据实际违法情形选择）；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处罚条款：第六十条第一款 责令限期改正；逾期不改正的，处二万元以上十万元以下罚款。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1.同时存在两项（含两项）以上违法行为的，系数2-4； 2.违法行为影响正常用气的，系数2-3；3.发生燃气事故，存在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16</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居民用户存在燃气使用禁止的行为</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违反条款：第三十条第一款第(一)项至第(九)项、第(十一)项、第(十二)项（根据实际违法情形选择）；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处罚条款：第六十条第二款 责令限期改正；逾期不改正的，处一千元以下罚款。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1.同时存在两项（含两项）以上违法行为的，系数2-4；2.违法行为影响正常用气的，系数2-3；3.发生燃气事故，存在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需要作出200元以下罚款决定的，由执法人员在案卷中说明理由并自行决定。</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6"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17</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管道燃气供应企业未按照规范维修、安装、改装、移动或者拆除居民用户专有部分的燃气设施</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违反条款：第三十三条第一款；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处罚条款：第六十一条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18</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单位侵占、毁损，擅自拆除、改装、安装、移动燃气设施</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处罚条款：第六十二条第一款 责令限期改正，恢复原状或者采取其他补救措施，处五万元以上十万元以下罚款。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500户（含500户）或者非居民用户达到5户（含5户）的，系数为1；</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kern w:val="0"/>
                <w:sz w:val="15"/>
                <w:szCs w:val="15"/>
                <w:highlight w:val="none"/>
                <w:lang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1"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19</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燃气供应企业不按照燃气设施改动许可的要求实施作业</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违反条款：第三十六条第五款；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处罚条款：第六十二条第一款 责令限期改正，恢复原状或者采取其他补救措施，处五万元以上十万元以下罚款。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1.损坏燃气设施或者</w:t>
            </w:r>
            <w:r>
              <w:rPr>
                <w:rFonts w:hint="eastAsia" w:cs="仿宋_GB2312" w:asciiTheme="minorEastAsia" w:hAnsiTheme="minorEastAsia" w:eastAsiaTheme="minorEastAsia"/>
                <w:strike w:val="0"/>
                <w:dstrike w:val="0"/>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其它影响用气情形的，系数0.5；2.发生燃气事故</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92"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20</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个人擅自拆除、改装、安装或者移动户内管道燃气设施</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处罚条款：第六十二条第二款  责令限期改正；逾期不改正的，处一千元以下罚款。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p>
        </w:tc>
        <w:tc>
          <w:tcPr>
            <w:tcW w:w="2304" w:type="dxa"/>
            <w:shd w:val="clear" w:color="auto" w:fill="auto"/>
            <w:vAlign w:val="center"/>
          </w:tcPr>
          <w:p>
            <w:pPr>
              <w:numPr>
                <w:ilvl w:val="0"/>
                <w:numId w:val="0"/>
              </w:numPr>
              <w:spacing w:line="232" w:lineRule="exact"/>
              <w:rPr>
                <w:rFonts w:hint="eastAsia" w:cs="仿宋_GB2312" w:asciiTheme="minorEastAsia" w:hAnsiTheme="minorEastAsia" w:eastAsiaTheme="minorEastAsia"/>
                <w:strike w:val="0"/>
                <w:dstrike w:val="0"/>
                <w:color w:val="auto"/>
                <w:kern w:val="0"/>
                <w:sz w:val="15"/>
                <w:szCs w:val="15"/>
                <w:highlight w:val="none"/>
              </w:rPr>
            </w:pPr>
            <w:r>
              <w:rPr>
                <w:rFonts w:hint="eastAsia" w:cs="仿宋_GB2312" w:asciiTheme="minorEastAsia" w:hAnsiTheme="minorEastAsia" w:eastAsiaTheme="minorEastAsia"/>
                <w:strike w:val="0"/>
                <w:dstrike w:val="0"/>
                <w:color w:val="auto"/>
                <w:kern w:val="0"/>
                <w:sz w:val="15"/>
                <w:szCs w:val="15"/>
                <w:highlight w:val="none"/>
                <w:lang w:val="en-US" w:eastAsia="zh-CN"/>
              </w:rPr>
              <w:t>1.</w:t>
            </w:r>
            <w:r>
              <w:rPr>
                <w:rFonts w:hint="eastAsia" w:cs="仿宋_GB2312" w:asciiTheme="minorEastAsia" w:hAnsiTheme="minorEastAsia" w:eastAsiaTheme="minorEastAsia"/>
                <w:strike w:val="0"/>
                <w:dstrike w:val="0"/>
                <w:color w:val="auto"/>
                <w:kern w:val="0"/>
                <w:sz w:val="15"/>
                <w:szCs w:val="15"/>
                <w:highlight w:val="none"/>
              </w:rPr>
              <w:t>损坏燃气设施或者</w:t>
            </w:r>
            <w:r>
              <w:rPr>
                <w:rFonts w:hint="eastAsia" w:cs="仿宋_GB2312" w:asciiTheme="minorEastAsia" w:hAnsiTheme="minorEastAsia" w:eastAsiaTheme="minorEastAsia"/>
                <w:strike w:val="0"/>
                <w:dstrike w:val="0"/>
                <w:color w:val="auto"/>
                <w:kern w:val="0"/>
                <w:sz w:val="15"/>
                <w:szCs w:val="15"/>
                <w:highlight w:val="none"/>
                <w:lang w:eastAsia="zh-CN"/>
              </w:rPr>
              <w:t>存在</w:t>
            </w:r>
            <w:r>
              <w:rPr>
                <w:rFonts w:hint="eastAsia" w:cs="仿宋_GB2312" w:asciiTheme="minorEastAsia" w:hAnsiTheme="minorEastAsia" w:eastAsiaTheme="minorEastAsia"/>
                <w:strike w:val="0"/>
                <w:dstrike w:val="0"/>
                <w:color w:val="auto"/>
                <w:kern w:val="0"/>
                <w:sz w:val="15"/>
                <w:szCs w:val="15"/>
                <w:highlight w:val="none"/>
              </w:rPr>
              <w:t>其它影响用气情形的，系数5-8；2.发生燃气事故</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strike w:val="0"/>
                <w:dstrike w:val="0"/>
                <w:color w:val="auto"/>
                <w:kern w:val="0"/>
                <w:sz w:val="15"/>
                <w:szCs w:val="15"/>
                <w:highlight w:val="none"/>
              </w:rPr>
              <w:t>安全隐患</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rPr>
              <w:t>或者其它严重影响用气情形的，系数9。</w:t>
            </w:r>
          </w:p>
          <w:p>
            <w:pPr>
              <w:numPr>
                <w:ilvl w:val="0"/>
                <w:numId w:val="0"/>
              </w:numPr>
              <w:spacing w:line="232" w:lineRule="exact"/>
              <w:rPr>
                <w:rFonts w:cs="仿宋_GB2312"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逾期不改正的，才能实施处罚；逾期不改正的情形，不纳入本案由</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；能够及时改正的，可作出不予处罚决定。</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需要作出100元以下罚款决定的，由执法人员说明理由并自行决定。</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80"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21</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个人侵占、毁损，擅自拆除、改装、安装或者移动户外燃气设施</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处罚条款：第六十二条第二款 处五千元以上五万元以下罚款。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default" w:cs="仿宋_GB2312" w:asciiTheme="minorEastAsia" w:hAnsiTheme="minorEastAsia" w:eastAsiaTheme="minorEastAsia"/>
                <w:color w:val="auto"/>
                <w:sz w:val="15"/>
                <w:szCs w:val="15"/>
                <w:highlight w:val="none"/>
                <w:lang w:val="en-US"/>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200户（含200户）-500户或者非居民用户达到3户（含3户）-5户的，系数为4；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500户（含500户）或者非居民用户达到5户（含5户）的，系数为9；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存在其它影响用气情形的，系数</w:t>
            </w:r>
            <w:r>
              <w:rPr>
                <w:rFonts w:hint="eastAsia" w:cs="宋体" w:asciiTheme="minorEastAsia" w:hAnsiTheme="minorEastAsia" w:eastAsiaTheme="minorEastAsia"/>
                <w:color w:val="auto"/>
                <w:kern w:val="0"/>
                <w:sz w:val="15"/>
                <w:szCs w:val="15"/>
                <w:highlight w:val="none"/>
                <w:lang w:val="en-US" w:eastAsia="zh-CN"/>
              </w:rPr>
              <w:t>4-8</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或者其它严重影响用气情形的，系数</w:t>
            </w:r>
            <w:r>
              <w:rPr>
                <w:rFonts w:hint="eastAsia" w:cs="宋体" w:asciiTheme="minorEastAsia" w:hAnsiTheme="minorEastAsia" w:eastAsiaTheme="minorEastAsia"/>
                <w:color w:val="auto"/>
                <w:kern w:val="0"/>
                <w:sz w:val="15"/>
                <w:szCs w:val="15"/>
                <w:highlight w:val="none"/>
                <w:lang w:val="en-US" w:eastAsia="zh-CN"/>
              </w:rPr>
              <w:t>9。</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79"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22</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建设单位未在地下管线安全防护信息系统发布施工作业信息</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处罚条款：第六十三条第一款 责令限期改正，处五万元以上十万元以下罚款。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0.5-1；2</w:t>
            </w:r>
            <w:r>
              <w:rPr>
                <w:rFonts w:hint="default" w:cs="宋体" w:asciiTheme="minorEastAsia" w:hAnsiTheme="minorEastAsia" w:eastAsiaTheme="minorEastAsia"/>
                <w:color w:val="auto"/>
                <w:kern w:val="0"/>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rPr>
              <w:t>发生燃气事故或者</w:t>
            </w:r>
            <w:r>
              <w:rPr>
                <w:rFonts w:hint="eastAsia" w:cs="仿宋_GB2312" w:asciiTheme="minorEastAsia" w:hAnsiTheme="minorEastAsia" w:eastAsiaTheme="minorEastAsia"/>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其它严重影响用气情形的，系数1。</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8"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23</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燃气供应企业未就地下管道燃气设施情况及时告知建设单位</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处罚条款：第六十三条第一款 责令限期改正，处五万元以上十万元以下罚款。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0.5-1；2</w:t>
            </w:r>
            <w:r>
              <w:rPr>
                <w:rFonts w:hint="default" w:cs="宋体" w:asciiTheme="minorEastAsia" w:hAnsiTheme="minorEastAsia" w:eastAsiaTheme="minorEastAsia"/>
                <w:color w:val="auto"/>
                <w:kern w:val="0"/>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rPr>
              <w:t>发生燃气事故或者</w:t>
            </w:r>
            <w:r>
              <w:rPr>
                <w:rFonts w:hint="eastAsia" w:cs="仿宋_GB2312" w:asciiTheme="minorEastAsia" w:hAnsiTheme="minorEastAsia" w:eastAsiaTheme="minorEastAsia"/>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其它严重影响用气情形的，系数1。</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82"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24</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建设单位未采取措施确保地下管道燃气设施运行安全</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违反条款：第三十七条第二款；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处罚条款：第六十三条第二款 责令限期改正，对建设单位处一万元以上十万元以下罚款。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1.同时存在两项（含两项）以上违法行为的，系数5-9；2.违法行为影响正常用气的，系数5-9；3.发生燃气事故，存在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于以下情形：建设单位未按规定向城市建设档案机构或者燃气供应企业查询地下管道燃气设施信息资料；未组织施工单位和燃气供应企业进行施工前现场交底、确认；未共同制定地下管道燃气设施的安全保护方案；未与燃气供应企业签订安全监护协议。</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27" w:hRule="atLeast"/>
          <w:jc w:val="center"/>
        </w:trPr>
        <w:tc>
          <w:tcPr>
            <w:tcW w:w="94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25</w:t>
            </w:r>
          </w:p>
        </w:tc>
        <w:tc>
          <w:tcPr>
            <w:tcW w:w="1500"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施工单位未按照安全保护方案进行施工</w:t>
            </w: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违反条款：第三十八条第一款；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处罚条款：第六十四条 责令限期改正，处一万元以上十万元以下罚款。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发生在人口集中地区</w:t>
            </w:r>
            <w:r>
              <w:rPr>
                <w:rFonts w:hint="eastAsia" w:cs="宋体" w:asciiTheme="minorEastAsia" w:hAnsiTheme="minorEastAsia" w:eastAsiaTheme="minorEastAsia"/>
                <w:color w:val="auto"/>
                <w:kern w:val="0"/>
                <w:sz w:val="15"/>
                <w:szCs w:val="15"/>
                <w:highlight w:val="none"/>
              </w:rPr>
              <w:t>或人员密集场所</w:t>
            </w:r>
            <w:r>
              <w:rPr>
                <w:rFonts w:hint="eastAsia" w:cs="仿宋_GB2312" w:asciiTheme="minorEastAsia" w:hAnsiTheme="minorEastAsia" w:eastAsiaTheme="minorEastAsia"/>
                <w:color w:val="auto"/>
                <w:kern w:val="0"/>
                <w:sz w:val="15"/>
                <w:szCs w:val="15"/>
                <w:highlight w:val="none"/>
              </w:rPr>
              <w:t>的，系数2；</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违法行为影响正常用气的，系数5-9；</w:t>
            </w:r>
            <w:r>
              <w:rPr>
                <w:rFonts w:hint="eastAsia" w:cs="仿宋_GB2312" w:asciiTheme="minorEastAsia" w:hAnsiTheme="minorEastAsia" w:eastAsiaTheme="minorEastAsia"/>
                <w:color w:val="auto"/>
                <w:kern w:val="0"/>
                <w:sz w:val="15"/>
                <w:szCs w:val="15"/>
                <w:highlight w:val="none"/>
                <w:lang w:val="en-US" w:eastAsia="zh-CN"/>
              </w:rPr>
              <w:t>3</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安全隐患或者的，系数9。</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仿宋_GB2312"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4" w:hRule="atLeast"/>
          <w:jc w:val="center"/>
        </w:trPr>
        <w:tc>
          <w:tcPr>
            <w:tcW w:w="940" w:type="dxa"/>
            <w:vMerge w:val="restart"/>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26</w:t>
            </w:r>
          </w:p>
        </w:tc>
        <w:tc>
          <w:tcPr>
            <w:tcW w:w="1500" w:type="dxa"/>
            <w:vMerge w:val="restart"/>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在管道燃气设施保护范围内从事危及管道燃气设施安全的活动</w:t>
            </w:r>
          </w:p>
        </w:tc>
        <w:tc>
          <w:tcPr>
            <w:tcW w:w="2789" w:type="dxa"/>
            <w:vMerge w:val="restart"/>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违反条款：第四十一条第二款第(二)（三）(四)项（根据实际违法情形选择）；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处罚条款：第六十六条第二款 责令停止违法行为，限期恢复原状或者采取其他补救措施，对单位处五万元以上十万元以下罚款，对个人处五千元以上五万元以下罚款。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w:t>
            </w:r>
            <w:r>
              <w:rPr>
                <w:rFonts w:hint="eastAsia" w:cs="仿宋_GB2312" w:asciiTheme="minorEastAsia" w:hAnsiTheme="minorEastAsia" w:eastAsiaTheme="minorEastAsia"/>
                <w:color w:val="auto"/>
                <w:kern w:val="0"/>
                <w:sz w:val="15"/>
                <w:szCs w:val="15"/>
                <w:highlight w:val="none"/>
                <w:lang w:eastAsia="zh-CN"/>
              </w:rPr>
              <w:t>或者存在</w:t>
            </w:r>
            <w:r>
              <w:rPr>
                <w:rFonts w:hint="eastAsia" w:cs="仿宋_GB2312" w:asciiTheme="minorEastAsia" w:hAnsiTheme="minorEastAsia" w:eastAsiaTheme="minorEastAsia"/>
                <w:color w:val="auto"/>
                <w:kern w:val="0"/>
                <w:sz w:val="15"/>
                <w:szCs w:val="15"/>
                <w:highlight w:val="none"/>
              </w:rPr>
              <w:t>其它影响用气情形的，系数0.5；2.发生燃气事故，存在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或者其它严重影响用气情形的，系数1。</w:t>
            </w:r>
          </w:p>
        </w:tc>
        <w:tc>
          <w:tcPr>
            <w:tcW w:w="1785" w:type="dxa"/>
            <w:shd w:val="clear" w:color="auto" w:fill="auto"/>
            <w:vAlign w:val="center"/>
          </w:tcPr>
          <w:p>
            <w:pPr>
              <w:spacing w:line="232" w:lineRule="exact"/>
              <w:rPr>
                <w:rFonts w:hint="eastAsia" w:cs="仿宋_GB2312" w:asciiTheme="minorEastAsia" w:hAnsiTheme="minorEastAsia" w:eastAsiaTheme="minorEastAsia"/>
                <w:color w:val="auto"/>
                <w:kern w:val="0"/>
                <w:sz w:val="15"/>
                <w:szCs w:val="15"/>
                <w:highlight w:val="none"/>
                <w:lang w:val="en"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spacing w:line="232" w:lineRule="exact"/>
              <w:rPr>
                <w:rFonts w:hint="eastAsia" w:cs="仿宋_GB2312" w:asciiTheme="minorEastAsia" w:hAnsiTheme="minorEastAsia" w:eastAsiaTheme="minorEastAsia"/>
                <w:strike/>
                <w:dstrike w:val="0"/>
                <w:color w:val="auto"/>
                <w:kern w:val="0"/>
                <w:sz w:val="15"/>
                <w:szCs w:val="15"/>
                <w:highlight w:val="none"/>
              </w:rPr>
            </w:pPr>
            <w:r>
              <w:rPr>
                <w:rFonts w:hint="eastAsia" w:cs="仿宋_GB2312" w:asciiTheme="minorEastAsia" w:hAnsiTheme="minorEastAsia" w:eastAsiaTheme="minorEastAsia"/>
                <w:strike/>
                <w:dstrike w:val="0"/>
                <w:color w:val="auto"/>
                <w:kern w:val="0"/>
                <w:sz w:val="15"/>
                <w:szCs w:val="15"/>
                <w:highlight w:val="none"/>
              </w:rPr>
              <w:br w:type="textWrapping"/>
            </w:r>
          </w:p>
        </w:tc>
        <w:tc>
          <w:tcPr>
            <w:tcW w:w="824" w:type="dxa"/>
            <w:vMerge w:val="restart"/>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18" w:hRule="atLeast"/>
          <w:jc w:val="center"/>
        </w:trPr>
        <w:tc>
          <w:tcPr>
            <w:tcW w:w="940" w:type="dxa"/>
            <w:vMerge w:val="continue"/>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p>
        </w:tc>
        <w:tc>
          <w:tcPr>
            <w:tcW w:w="1500" w:type="dxa"/>
            <w:vMerge w:val="continue"/>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1.损坏燃气设施或者</w:t>
            </w:r>
            <w:r>
              <w:rPr>
                <w:rFonts w:hint="eastAsia" w:cs="仿宋_GB2312" w:asciiTheme="minorEastAsia" w:hAnsiTheme="minorEastAsia" w:eastAsiaTheme="minorEastAsia"/>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rPr>
              <w:t>其它影响用气情形的，</w:t>
            </w:r>
            <w:r>
              <w:rPr>
                <w:rFonts w:hint="eastAsia" w:cs="宋体" w:asciiTheme="minorEastAsia" w:hAnsiTheme="minorEastAsia" w:eastAsiaTheme="minorEastAsia"/>
                <w:color w:val="auto"/>
                <w:kern w:val="0"/>
                <w:sz w:val="15"/>
                <w:szCs w:val="15"/>
                <w:highlight w:val="none"/>
              </w:rPr>
              <w:t>系数7</w:t>
            </w:r>
            <w:r>
              <w:rPr>
                <w:rFonts w:hint="eastAsia" w:cs="仿宋_GB2312" w:asciiTheme="minorEastAsia" w:hAnsiTheme="minorEastAsia" w:eastAsiaTheme="minorEastAsia"/>
                <w:color w:val="auto"/>
                <w:kern w:val="0"/>
                <w:sz w:val="15"/>
                <w:szCs w:val="15"/>
                <w:highlight w:val="none"/>
              </w:rPr>
              <w:t>；2.发生燃气事故，存在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或者其它严重影响用气情形的，系数9。</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70" w:hRule="atLeast"/>
          <w:jc w:val="center"/>
        </w:trPr>
        <w:tc>
          <w:tcPr>
            <w:tcW w:w="940" w:type="dxa"/>
            <w:vMerge w:val="continue"/>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p>
        </w:tc>
        <w:tc>
          <w:tcPr>
            <w:tcW w:w="1500" w:type="dxa"/>
            <w:vMerge w:val="continue"/>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p>
        </w:tc>
        <w:tc>
          <w:tcPr>
            <w:tcW w:w="2789"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违反条款：第四十一条第二款第(五)项；</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处罚条款：第六十六条第三款 责令限期改正，恢复原状，处五千元以下罚款。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发生在人口集中地区</w:t>
            </w:r>
            <w:r>
              <w:rPr>
                <w:rFonts w:hint="eastAsia" w:cs="宋体" w:asciiTheme="minorEastAsia" w:hAnsiTheme="minorEastAsia" w:eastAsiaTheme="minorEastAsia"/>
                <w:color w:val="auto"/>
                <w:kern w:val="0"/>
                <w:sz w:val="15"/>
                <w:szCs w:val="15"/>
                <w:highlight w:val="none"/>
              </w:rPr>
              <w:t>或人员密集场所</w:t>
            </w:r>
            <w:r>
              <w:rPr>
                <w:rFonts w:hint="eastAsia" w:cs="仿宋_GB2312" w:asciiTheme="minorEastAsia" w:hAnsiTheme="minorEastAsia" w:eastAsiaTheme="minorEastAsia"/>
                <w:color w:val="auto"/>
                <w:kern w:val="0"/>
                <w:sz w:val="15"/>
                <w:szCs w:val="15"/>
                <w:highlight w:val="none"/>
              </w:rPr>
              <w:t>的，系数2；2.导致相关燃气安全事故的，系数4。</w:t>
            </w:r>
          </w:p>
        </w:tc>
        <w:tc>
          <w:tcPr>
            <w:tcW w:w="17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罚款数额＝1000×（1＋</w:t>
            </w:r>
            <w:r>
              <w:rPr>
                <w:rFonts w:hint="eastAsia" w:cs="仿宋_GB2312" w:asciiTheme="minorEastAsia" w:hAnsiTheme="minorEastAsia" w:eastAsiaTheme="minorEastAsia"/>
                <w:color w:val="auto"/>
                <w:kern w:val="0"/>
                <w:sz w:val="15"/>
                <w:szCs w:val="15"/>
                <w:highlight w:val="none"/>
                <w:lang w:eastAsia="zh-CN"/>
              </w:rPr>
              <w:t>常量系数</w:t>
            </w:r>
            <w:r>
              <w:rPr>
                <w:rFonts w:hint="eastAsia" w:cs="仿宋_GB2312"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0" w:hRule="atLeast"/>
          <w:jc w:val="center"/>
        </w:trPr>
        <w:tc>
          <w:tcPr>
            <w:tcW w:w="14218" w:type="dxa"/>
            <w:gridSpan w:val="9"/>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74" w:name="_Toc110851459"/>
            <w:bookmarkStart w:id="75" w:name="_Toc697937810"/>
            <w:bookmarkStart w:id="76" w:name="_Toc226560937"/>
            <w:r>
              <w:rPr>
                <w:rFonts w:hint="eastAsia" w:asciiTheme="minorEastAsia" w:hAnsiTheme="minorEastAsia" w:eastAsiaTheme="minorEastAsia"/>
                <w:color w:val="auto"/>
                <w:sz w:val="21"/>
                <w:szCs w:val="21"/>
                <w:highlight w:val="none"/>
              </w:rPr>
              <w:t>《北京市消防条例》案由1项</w:t>
            </w:r>
            <w:bookmarkEnd w:id="74"/>
            <w:bookmarkEnd w:id="75"/>
            <w:bookmarkEnd w:id="7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人员密集场所使用天然气、液化石油气未安装浓度检测报警装置</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违反条款：第二十八条第（四）项；处罚条款：第八十三条 责令改正，并可处1万元以上3万元以下罚款。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0"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违反条款：《中华人民共和国安全生产法》第三十六条第四款；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九十九条第（八）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特大型、大型餐饮经营者，变量系数为1；（以餐饮服务许可标注的类别为准）</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适用于餐饮等行业的生产经营单位使用燃气的情形。</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67"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特大型、大型餐饮经营者，变量系数为1；（以餐饮服务许可标注的类别为准）</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1.适用于餐饮等行业的生产经营单位使用燃气，逾期未改正的情形。</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2.处罚单位，同时处罚直接负责的主管人员和其他直接责任人员。</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2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（直接负责的主管人员和其他直接责任人员）</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特大型、大型餐饮经营者，变量系数为1；（以餐饮服务许可标注的类别为准）</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7"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77" w:name="_Toc110851460"/>
            <w:bookmarkStart w:id="78" w:name="_Toc1826085962"/>
            <w:bookmarkStart w:id="79" w:name="_Toc1974241014"/>
            <w:r>
              <w:rPr>
                <w:rFonts w:hint="eastAsia" w:asciiTheme="minorEastAsia" w:hAnsiTheme="minorEastAsia" w:eastAsiaTheme="minorEastAsia"/>
                <w:color w:val="auto"/>
                <w:sz w:val="21"/>
                <w:szCs w:val="21"/>
                <w:highlight w:val="none"/>
              </w:rPr>
              <w:t>《北京市清洁燃料车辆加气站管理规定》案由7项</w:t>
            </w:r>
            <w:bookmarkEnd w:id="77"/>
            <w:bookmarkEnd w:id="78"/>
            <w:bookmarkEnd w:id="7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加气站未遵守操作规程或未设专人监护</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违反条款：第八条第（四）项；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非操作人员进行充气作业</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违反条款：第九条第（一）项；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50"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加气站为其他容器充气</w:t>
            </w:r>
          </w:p>
        </w:tc>
        <w:tc>
          <w:tcPr>
            <w:tcW w:w="2789"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违反条款：第九条第（二）项；</w:t>
            </w:r>
          </w:p>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89"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直接用运输槽车向车辆充气</w:t>
            </w:r>
          </w:p>
        </w:tc>
        <w:tc>
          <w:tcPr>
            <w:tcW w:w="2789"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违反条款：第九条第（三）项；</w:t>
            </w:r>
          </w:p>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46"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使用明火检查燃气泄露</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违反条款：第九条第（四）项；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1.发生在人口集中地区，存在较大安全隐患的，系数2；2.发生事故的，系数4。</w:t>
            </w:r>
          </w:p>
        </w:tc>
        <w:tc>
          <w:tcPr>
            <w:tcW w:w="17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20" w:lineRule="exact"/>
              <w:ind w:left="-7"/>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13"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w:t>
            </w:r>
            <w:r>
              <w:rPr>
                <w:rFonts w:hint="eastAsia" w:asciiTheme="minorEastAsia" w:hAnsiTheme="minorEastAsia" w:eastAsiaTheme="minorEastAsia"/>
                <w:color w:val="auto"/>
                <w:sz w:val="15"/>
                <w:szCs w:val="15"/>
                <w:highlight w:val="none"/>
              </w:rPr>
              <w:t>运营中</w:t>
            </w:r>
            <w:r>
              <w:rPr>
                <w:rFonts w:hint="eastAsia" w:cs="宋体" w:asciiTheme="minorEastAsia" w:hAnsiTheme="minorEastAsia" w:eastAsiaTheme="minorEastAsia"/>
                <w:color w:val="auto"/>
                <w:kern w:val="0"/>
                <w:sz w:val="15"/>
                <w:szCs w:val="15"/>
                <w:highlight w:val="none"/>
              </w:rPr>
              <w:t>存放其他易燃易爆物品或者使用明火</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违反条款：第九条第（五）项；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1.发生在人口集中地区，存在较大安全隐患的，系数2；2.发生事故的，系数4。</w:t>
            </w:r>
          </w:p>
        </w:tc>
        <w:tc>
          <w:tcPr>
            <w:tcW w:w="17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32" w:lineRule="exact"/>
              <w:ind w:left="-7"/>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1"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在加气站内修车、洗车</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违反条款：第九条第（六）项；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p>
        </w:tc>
        <w:tc>
          <w:tcPr>
            <w:tcW w:w="17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市级</w:t>
            </w:r>
          </w:p>
          <w:p>
            <w:pPr>
              <w:spacing w:line="220" w:lineRule="exact"/>
              <w:ind w:left="-7"/>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7"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0" w:name="_Toc1473999580"/>
            <w:bookmarkStart w:id="81" w:name="_Toc110851461"/>
            <w:bookmarkStart w:id="82" w:name="_Toc1180295235"/>
            <w:r>
              <w:rPr>
                <w:rFonts w:hint="eastAsia" w:asciiTheme="minorEastAsia" w:hAnsiTheme="minorEastAsia" w:eastAsiaTheme="minorEastAsia"/>
                <w:color w:val="auto"/>
                <w:sz w:val="21"/>
                <w:szCs w:val="21"/>
                <w:highlight w:val="none"/>
              </w:rPr>
              <w:t>《</w:t>
            </w:r>
            <w:r>
              <w:rPr>
                <w:rFonts w:asciiTheme="minorEastAsia" w:hAnsiTheme="minorEastAsia" w:eastAsiaTheme="minorEastAsia"/>
                <w:color w:val="auto"/>
                <w:sz w:val="21"/>
                <w:szCs w:val="21"/>
                <w:highlight w:val="none"/>
              </w:rPr>
              <w:t>北京市供热采暖管理办法</w:t>
            </w:r>
            <w:r>
              <w:rPr>
                <w:rFonts w:hint="eastAsia" w:asciiTheme="minorEastAsia" w:hAnsiTheme="minorEastAsia" w:eastAsiaTheme="minorEastAsia"/>
                <w:color w:val="auto"/>
                <w:sz w:val="21"/>
                <w:szCs w:val="21"/>
                <w:highlight w:val="none"/>
              </w:rPr>
              <w:t>》案由19项</w:t>
            </w:r>
            <w:bookmarkEnd w:id="80"/>
            <w:bookmarkEnd w:id="81"/>
            <w:bookmarkEnd w:id="8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43"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供热单位未办理备案手续</w:t>
            </w:r>
          </w:p>
        </w:tc>
        <w:tc>
          <w:tcPr>
            <w:tcW w:w="2789"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违反条款：第十条第一款；</w:t>
            </w:r>
          </w:p>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责令限期改正，逾期未改正的，处3万元罚款。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c>
          <w:tcPr>
            <w:tcW w:w="824" w:type="dxa"/>
            <w:shd w:val="clear" w:color="auto" w:fill="auto"/>
            <w:vAlign w:val="center"/>
          </w:tcPr>
          <w:p>
            <w:pPr>
              <w:autoSpaceDE w:val="0"/>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0"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供热单位未办理备案变更手续</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责令限期改正，逾期未改正的，处3万元罚款。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c>
          <w:tcPr>
            <w:tcW w:w="824" w:type="dxa"/>
            <w:shd w:val="clear" w:color="auto" w:fill="auto"/>
            <w:vAlign w:val="center"/>
          </w:tcPr>
          <w:p>
            <w:pPr>
              <w:autoSpaceDE w:val="0"/>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88"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供热单位提交的备案材料失实</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责令改正，情节严重的，可以处1万元以上3万元以下的罚款。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故意隐瞒相关情况，对安全、稳定、质量合格供热造成较大影响的，系数为1。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9"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未实施供热设施安全巡检制度</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违反条款：第十三条第（一）项；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处罚条款：第三十一条第一款 予以警告，警告两次的，处2万元罚款。</w:t>
            </w:r>
          </w:p>
        </w:tc>
        <w:tc>
          <w:tcPr>
            <w:tcW w:w="851"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5"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供热前未提前在供热范围内进行公告</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违反条款：第十三条第（二）项；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处罚条款：第三十一条第二款 责令改正，并处1000元罚款。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7"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推迟、中止供热或者提前结束供热</w:t>
            </w:r>
          </w:p>
        </w:tc>
        <w:tc>
          <w:tcPr>
            <w:tcW w:w="2789" w:type="dxa"/>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处罚条款：第三十二条第一款 责令改正，可以处5000元以上3万元以下罚款。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ind w:leftChars="-7" w:hanging="15" w:hangingChars="10"/>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推迟、中止、提前结束供热</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天，变量系数为</w:t>
            </w:r>
            <w:r>
              <w:rPr>
                <w:rFonts w:hint="eastAsia" w:cs="宋体" w:asciiTheme="minorEastAsia" w:hAnsiTheme="minorEastAsia" w:eastAsiaTheme="minorEastAsia"/>
                <w:color w:val="auto"/>
                <w:kern w:val="0"/>
                <w:sz w:val="15"/>
                <w:szCs w:val="15"/>
                <w:highlight w:val="none"/>
                <w:lang w:val="en-US" w:eastAsia="zh-CN"/>
              </w:rPr>
              <w:t>1，3天的，系数2，以此类推，6天及以上的，系数5；2.造成较大社会影响的，系数3-5。</w:t>
            </w:r>
          </w:p>
        </w:tc>
        <w:tc>
          <w:tcPr>
            <w:tcW w:w="1785"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7" w:hRule="atLeast"/>
          <w:jc w:val="center"/>
        </w:trPr>
        <w:tc>
          <w:tcPr>
            <w:tcW w:w="9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采暖期内退出或者部分退出供热经营活动</w:t>
            </w:r>
          </w:p>
        </w:tc>
        <w:tc>
          <w:tcPr>
            <w:tcW w:w="2789" w:type="dxa"/>
            <w:vMerge w:val="restart"/>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处罚条款：第三十二条第二款 责令改正，并对供热单位处5万元以上10万元以下罚款，对供热单位法定代表人处1万元罚款。</w:t>
            </w:r>
          </w:p>
        </w:tc>
        <w:tc>
          <w:tcPr>
            <w:tcW w:w="851"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按照《基准》的规定执行</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autoSpaceDE w:val="0"/>
              <w:spacing w:line="226" w:lineRule="exact"/>
              <w:ind w:leftChars="-7" w:hanging="15" w:hangingChars="10"/>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对供热单位</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autoSpaceDE w:val="0"/>
              <w:spacing w:line="226" w:lineRule="exact"/>
              <w:jc w:val="center"/>
              <w:rPr>
                <w:rFonts w:hint="eastAsia"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w:t>
            </w:r>
          </w:p>
          <w:p>
            <w:pPr>
              <w:autoSpaceDE w:val="0"/>
              <w:spacing w:line="226"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9" w:hRule="atLeast"/>
          <w:jc w:val="center"/>
        </w:trPr>
        <w:tc>
          <w:tcPr>
            <w:tcW w:w="9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autoSpaceDE w:val="0"/>
              <w:spacing w:line="226" w:lineRule="exact"/>
              <w:ind w:leftChars="-7" w:hanging="15" w:hangingChars="10"/>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对法定代表人</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autoSpaceDE w:val="0"/>
              <w:spacing w:line="226"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非采暖期内擅自退出或者部分退出供热经营活动，影响用户采暖</w:t>
            </w:r>
          </w:p>
        </w:tc>
        <w:tc>
          <w:tcPr>
            <w:tcW w:w="2789"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违反条款：第十五条第二款；</w:t>
            </w:r>
          </w:p>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处罚条款：第三十二条第三款 责令限期改正，逾期未改正的，对供热单位处3万元罚款，对供热单位法定代表人处5000元罚款。</w:t>
            </w:r>
          </w:p>
        </w:tc>
        <w:tc>
          <w:tcPr>
            <w:tcW w:w="851"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26" w:lineRule="exact"/>
              <w:ind w:left="6" w:hanging="21"/>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按照法条规定执行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26"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区级街道乡镇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0"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拆改室内共用供热设施、扩大采暖面积、增加散热设备</w:t>
            </w:r>
          </w:p>
        </w:tc>
        <w:tc>
          <w:tcPr>
            <w:tcW w:w="2789" w:type="dxa"/>
            <w:vMerge w:val="restart"/>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w:t>
            </w:r>
          </w:p>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处罚条款：第三十三条 责令限期改正，逾期未改正的，可以处500元以上5000元以下罚款。</w:t>
            </w:r>
          </w:p>
        </w:tc>
        <w:tc>
          <w:tcPr>
            <w:tcW w:w="851"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1．拆改行为明显影响到其它用户供暖效果的，系数为5；2.造成供暖中止等供暖事故的，系数为9。</w:t>
            </w:r>
          </w:p>
        </w:tc>
        <w:tc>
          <w:tcPr>
            <w:tcW w:w="1785"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26"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26"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1"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装饰装修房屋妨碍对供热设施进行维修养护</w:t>
            </w:r>
          </w:p>
        </w:tc>
        <w:tc>
          <w:tcPr>
            <w:tcW w:w="2789" w:type="dxa"/>
            <w:vMerge w:val="continue"/>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1．严重影响到正常供暖的，系数为5；2.造成供暖事故的，系数为9。</w:t>
            </w:r>
          </w:p>
        </w:tc>
        <w:tc>
          <w:tcPr>
            <w:tcW w:w="1785"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26" w:lineRule="exact"/>
              <w:ind w:left="6" w:hanging="21"/>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26" w:lineRule="exact"/>
              <w:ind w:left="6" w:hanging="21"/>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擅自拆除、迁移、改建、变卖热源设施，影响用户采暖</w:t>
            </w:r>
          </w:p>
        </w:tc>
        <w:tc>
          <w:tcPr>
            <w:tcW w:w="2789"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违反条款：第二十三条；</w:t>
            </w:r>
          </w:p>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处罚条款：第三十四条 责令限期改正，并处5万元以上10万元以下罚款。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1．明显影响到采暖效果的，系数为0.5；2.造成供暖中止等供暖事故的，系数为1。</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54"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在地下热力管道安全间距范围内堆放物品，或者进行挖掘、取土、钻探、打桩、埋杆、栽植深根性植物和爆破作业</w:t>
            </w:r>
          </w:p>
        </w:tc>
        <w:tc>
          <w:tcPr>
            <w:tcW w:w="2789"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违反条款：第二十四条第（二）项；</w:t>
            </w:r>
          </w:p>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46"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向供热管沟内排放有毒、有害、易燃、易爆、易堵塞物品及雨水、污水、工业废液、垃圾</w:t>
            </w:r>
          </w:p>
        </w:tc>
        <w:tc>
          <w:tcPr>
            <w:tcW w:w="2789"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违反条款：第二十四条第（三）项；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擅自接入供热管网</w:t>
            </w:r>
          </w:p>
        </w:tc>
        <w:tc>
          <w:tcPr>
            <w:tcW w:w="2789"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违反条款：第二十四条第（四）项；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6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擅自在室内采暖系统上安装危害系统安全的设备</w:t>
            </w:r>
          </w:p>
        </w:tc>
        <w:tc>
          <w:tcPr>
            <w:tcW w:w="2789"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违反条款：第二十四条第（五）项；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4"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擅自排放或者取用管道内热水或蒸汽</w:t>
            </w:r>
          </w:p>
        </w:tc>
        <w:tc>
          <w:tcPr>
            <w:tcW w:w="2789" w:type="dxa"/>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违反条款：第二十四条第（六）项；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1"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擅自拆除、毁损警示标志</w:t>
            </w:r>
          </w:p>
        </w:tc>
        <w:tc>
          <w:tcPr>
            <w:tcW w:w="2789"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违反条款：第二十四条第（七）项；</w:t>
            </w:r>
          </w:p>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处罚条款：第三十五条第三款；处罚内容：责令改正，可以处500元以上1000元以下罚款。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6"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擅自操作、拆除共用供热阀门，损坏共用阀门的铅封，改动或者损坏供热计量仪表及其附件等</w:t>
            </w:r>
          </w:p>
        </w:tc>
        <w:tc>
          <w:tcPr>
            <w:tcW w:w="2789"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违反条款：第二十四条第（八）项；</w:t>
            </w:r>
          </w:p>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处罚条款：第三十五条第三款；处罚内容：责令改正，可以处500元以上1000元以下罚款。</w:t>
            </w:r>
          </w:p>
        </w:tc>
        <w:tc>
          <w:tcPr>
            <w:tcW w:w="851"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1785"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3"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shd w:val="clear" w:fill="FF0000"/>
                <w:lang w:eastAsia="zh-CN"/>
              </w:rPr>
              <w:t>他</w:t>
            </w:r>
            <w:r>
              <w:rPr>
                <w:rFonts w:hint="eastAsia" w:cs="宋体" w:asciiTheme="minorEastAsia" w:hAnsiTheme="minorEastAsia" w:eastAsiaTheme="minorEastAsia"/>
                <w:color w:val="auto"/>
                <w:kern w:val="0"/>
                <w:sz w:val="15"/>
                <w:szCs w:val="15"/>
                <w:highlight w:val="none"/>
              </w:rPr>
              <w:t>危害、损坏供热设施的行为</w:t>
            </w:r>
          </w:p>
        </w:tc>
        <w:tc>
          <w:tcPr>
            <w:tcW w:w="2789"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违反条款：第二十四条第（九）项；</w:t>
            </w:r>
          </w:p>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1.对供热设施造成一定损害的，系数为1；2.一定程度上影响到供暖效果的，系数为3；3.造成供暖事故的，系数为5。</w:t>
            </w:r>
          </w:p>
        </w:tc>
        <w:tc>
          <w:tcPr>
            <w:tcW w:w="1785"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3" w:name="_Toc984069521"/>
            <w:bookmarkStart w:id="84" w:name="_Toc110851462"/>
            <w:bookmarkStart w:id="85" w:name="_Toc450128508"/>
            <w:r>
              <w:rPr>
                <w:rFonts w:hint="eastAsia" w:asciiTheme="minorEastAsia" w:hAnsiTheme="minorEastAsia" w:eastAsiaTheme="minorEastAsia"/>
                <w:color w:val="auto"/>
                <w:sz w:val="21"/>
                <w:szCs w:val="21"/>
                <w:highlight w:val="none"/>
              </w:rPr>
              <w:t>《北京市民用建筑节能管理办法》案由2项</w:t>
            </w:r>
            <w:bookmarkEnd w:id="83"/>
            <w:bookmarkEnd w:id="84"/>
            <w:bookmarkEnd w:id="8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7" w:hRule="atLeast"/>
          <w:jc w:val="center"/>
        </w:trPr>
        <w:tc>
          <w:tcPr>
            <w:tcW w:w="94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损坏供热计量装置与调控系统</w:t>
            </w:r>
          </w:p>
        </w:tc>
        <w:tc>
          <w:tcPr>
            <w:tcW w:w="2789" w:type="dxa"/>
            <w:vMerge w:val="restart"/>
            <w:shd w:val="clear" w:color="auto" w:fill="auto"/>
            <w:vAlign w:val="center"/>
          </w:tcPr>
          <w:p>
            <w:pPr>
              <w:spacing w:line="232" w:lineRule="exact"/>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违反条款：第三十三条；</w:t>
            </w:r>
          </w:p>
          <w:p>
            <w:pPr>
              <w:spacing w:line="232" w:lineRule="exact"/>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处罚条款：第四十二条，责令改正，可处500元以上1000元以下罚款；情节严重，影响正常供热的，可处1000元以上1万元以下罚款。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p>
        </w:tc>
        <w:tc>
          <w:tcPr>
            <w:tcW w:w="2385"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94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影响正常供热的，适用此档处罚。</w:t>
            </w:r>
          </w:p>
        </w:tc>
        <w:tc>
          <w:tcPr>
            <w:tcW w:w="824"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3"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供热单位不实行供热计量的</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违反条款：第三十五条第一款；</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处罚条款：第四十四条，限期整改，逾期不改正的，处3万元罚款。</w:t>
            </w:r>
          </w:p>
        </w:tc>
        <w:tc>
          <w:tcPr>
            <w:tcW w:w="851"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ind w:left="6" w:hanging="21"/>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hint="eastAsia"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区级</w:t>
            </w:r>
          </w:p>
          <w:p>
            <w:pPr>
              <w:spacing w:line="232" w:lineRule="exact"/>
              <w:jc w:val="center"/>
              <w:rPr>
                <w:rFonts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color w:val="auto"/>
                <w:sz w:val="21"/>
                <w:szCs w:val="21"/>
                <w:highlight w:val="none"/>
              </w:rPr>
            </w:pPr>
            <w:bookmarkStart w:id="86" w:name="_Toc636329439"/>
            <w:bookmarkStart w:id="87" w:name="_Toc1807772981"/>
            <w:bookmarkStart w:id="88" w:name="_Toc110851463"/>
            <w:bookmarkStart w:id="89" w:name="_Toc2100881276"/>
            <w:r>
              <w:rPr>
                <w:rFonts w:hint="eastAsia" w:cs="宋体" w:asciiTheme="minorEastAsia" w:hAnsiTheme="minorEastAsia" w:eastAsiaTheme="minorEastAsia"/>
                <w:color w:val="auto"/>
                <w:sz w:val="21"/>
                <w:szCs w:val="21"/>
                <w:highlight w:val="none"/>
                <w:lang w:val="en-US" w:eastAsia="zh-CN"/>
              </w:rPr>
              <w:t>《北京市建筑绿色发展条例》案由1项</w:t>
            </w:r>
            <w:bookmarkEnd w:id="86"/>
            <w:bookmarkEnd w:id="8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3" w:hRule="atLeast"/>
          <w:jc w:val="center"/>
        </w:trPr>
        <w:tc>
          <w:tcPr>
            <w:tcW w:w="940" w:type="dxa"/>
            <w:shd w:val="clear" w:color="auto" w:fill="auto"/>
            <w:vAlign w:val="center"/>
          </w:tcPr>
          <w:p>
            <w:pPr>
              <w:spacing w:line="232" w:lineRule="exact"/>
              <w:ind w:left="6" w:leftChars="0" w:hanging="21" w:firstLineChars="0"/>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p>
        </w:tc>
        <w:tc>
          <w:tcPr>
            <w:tcW w:w="1500"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供电、供气、供热单位未按照规定报送结算数据</w:t>
            </w:r>
          </w:p>
        </w:tc>
        <w:tc>
          <w:tcPr>
            <w:tcW w:w="2789"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违反条款：第二十六条第三款</w:t>
            </w:r>
          </w:p>
          <w:p>
            <w:pPr>
              <w:pStyle w:val="8"/>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处罚条款：第五十八条，责令限期改正。</w:t>
            </w:r>
          </w:p>
        </w:tc>
        <w:tc>
          <w:tcPr>
            <w:tcW w:w="851" w:type="dxa"/>
            <w:shd w:val="clear" w:color="auto" w:fill="auto"/>
            <w:vAlign w:val="center"/>
          </w:tcPr>
          <w:p>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ind w:left="6" w:leftChars="0" w:hanging="21" w:firstLineChars="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ind w:left="6" w:leftChars="0" w:hanging="21" w:firstLineChars="0"/>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w:t>
            </w:r>
            <w:r>
              <w:rPr>
                <w:rFonts w:hint="eastAsia" w:cs="宋体" w:asciiTheme="minorEastAsia" w:hAnsiTheme="minorEastAsia" w:eastAsiaTheme="minorEastAsia"/>
                <w:color w:val="auto"/>
                <w:kern w:val="0"/>
                <w:sz w:val="15"/>
                <w:szCs w:val="15"/>
                <w:highlight w:val="none"/>
                <w:lang w:eastAsia="zh-CN"/>
              </w:rPr>
              <w:t>行政</w:t>
            </w:r>
            <w:r>
              <w:rPr>
                <w:rFonts w:hint="eastAsia" w:cs="宋体" w:asciiTheme="minorEastAsia" w:hAnsiTheme="minorEastAsia" w:eastAsiaTheme="minorEastAsia"/>
                <w:color w:val="auto"/>
                <w:kern w:val="0"/>
                <w:sz w:val="15"/>
                <w:szCs w:val="15"/>
                <w:highlight w:val="none"/>
              </w:rPr>
              <w:t>处罚。</w:t>
            </w:r>
          </w:p>
          <w:p>
            <w:pPr>
              <w:spacing w:line="232" w:lineRule="exact"/>
              <w:ind w:left="6" w:leftChars="0" w:hanging="21" w:firstLineChars="0"/>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自</w:t>
            </w:r>
            <w:r>
              <w:rPr>
                <w:rFonts w:hint="eastAsia" w:cs="宋体" w:asciiTheme="minorEastAsia" w:hAnsiTheme="minorEastAsia" w:eastAsiaTheme="minorEastAsia"/>
                <w:color w:val="auto"/>
                <w:kern w:val="0"/>
                <w:sz w:val="15"/>
                <w:szCs w:val="15"/>
                <w:highlight w:val="none"/>
                <w:lang w:val="en-US" w:eastAsia="zh-CN"/>
              </w:rPr>
              <w:t>2024年3月1日起施行。</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hint="eastAsia"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7"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lang w:eastAsia="zh-Hans"/>
              </w:rPr>
            </w:pPr>
            <w:bookmarkStart w:id="90" w:name="_Toc891896242"/>
            <w:r>
              <w:rPr>
                <w:rFonts w:asciiTheme="minorEastAsia" w:hAnsiTheme="minorEastAsia" w:eastAsiaTheme="minorEastAsia"/>
                <w:color w:val="auto"/>
                <w:sz w:val="21"/>
                <w:szCs w:val="21"/>
                <w:highlight w:val="none"/>
                <w:lang w:eastAsia="zh-Hans"/>
              </w:rPr>
              <w:t>《</w:t>
            </w:r>
            <w:r>
              <w:rPr>
                <w:rFonts w:hint="eastAsia" w:asciiTheme="minorEastAsia" w:hAnsiTheme="minorEastAsia" w:eastAsiaTheme="minorEastAsia"/>
                <w:color w:val="auto"/>
                <w:sz w:val="21"/>
                <w:szCs w:val="21"/>
                <w:highlight w:val="none"/>
                <w:lang w:eastAsia="zh-Hans"/>
              </w:rPr>
              <w:t>中华人民共和国安全生产法</w:t>
            </w:r>
            <w:r>
              <w:rPr>
                <w:rFonts w:asciiTheme="minorEastAsia" w:hAnsiTheme="minorEastAsia" w:eastAsiaTheme="minorEastAsia"/>
                <w:color w:val="auto"/>
                <w:sz w:val="21"/>
                <w:szCs w:val="21"/>
                <w:highlight w:val="none"/>
                <w:lang w:eastAsia="zh-Hans"/>
              </w:rPr>
              <w:t>》</w:t>
            </w:r>
            <w:r>
              <w:rPr>
                <w:rFonts w:hint="eastAsia" w:asciiTheme="minorEastAsia" w:hAnsiTheme="minorEastAsia" w:eastAsiaTheme="minorEastAsia"/>
                <w:color w:val="auto"/>
                <w:sz w:val="21"/>
                <w:szCs w:val="21"/>
                <w:highlight w:val="none"/>
              </w:rPr>
              <w:t>《北京市安全生产条例》</w:t>
            </w:r>
            <w:r>
              <w:rPr>
                <w:rFonts w:asciiTheme="minorEastAsia" w:hAnsiTheme="minorEastAsia" w:eastAsiaTheme="minorEastAsia"/>
                <w:color w:val="auto"/>
                <w:sz w:val="21"/>
                <w:szCs w:val="21"/>
                <w:highlight w:val="none"/>
                <w:lang w:eastAsia="zh-Hans"/>
              </w:rPr>
              <w:t>案由</w:t>
            </w:r>
            <w:r>
              <w:rPr>
                <w:rFonts w:hint="eastAsia" w:asciiTheme="minorEastAsia" w:hAnsiTheme="minorEastAsia" w:eastAsiaTheme="minorEastAsia"/>
                <w:color w:val="auto"/>
                <w:sz w:val="21"/>
                <w:szCs w:val="21"/>
                <w:highlight w:val="none"/>
              </w:rPr>
              <w:t>12</w:t>
            </w:r>
            <w:r>
              <w:rPr>
                <w:rFonts w:asciiTheme="minorEastAsia" w:hAnsiTheme="minorEastAsia" w:eastAsiaTheme="minorEastAsia"/>
                <w:color w:val="auto"/>
                <w:sz w:val="21"/>
                <w:szCs w:val="21"/>
                <w:highlight w:val="none"/>
                <w:lang w:eastAsia="zh-Hans"/>
              </w:rPr>
              <w:t>项</w:t>
            </w:r>
            <w:bookmarkEnd w:id="88"/>
            <w:bookmarkEnd w:id="89"/>
            <w:bookmarkEnd w:id="9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47" w:hRule="atLeast"/>
          <w:jc w:val="center"/>
        </w:trPr>
        <w:tc>
          <w:tcPr>
            <w:tcW w:w="94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p>
            <w:pPr>
              <w:spacing w:line="232" w:lineRule="exact"/>
              <w:ind w:left="6" w:hanging="21"/>
              <w:jc w:val="center"/>
              <w:rPr>
                <w:rFonts w:cs="宋体" w:asciiTheme="minorEastAsia" w:hAnsiTheme="minorEastAsia" w:eastAsiaTheme="minorEastAsia"/>
                <w:color w:val="auto"/>
                <w:kern w:val="0"/>
                <w:sz w:val="15"/>
                <w:szCs w:val="15"/>
                <w:highlight w:val="none"/>
              </w:rPr>
            </w:pP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主要负责人未履行安全生产管理职责</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违反条款:《中华人民共和国安全生产法》第二十一条第（一）项至第（七）项（根据实际选择）;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w:t>
            </w:r>
            <w:r>
              <w:rPr>
                <w:rFonts w:hint="eastAsia" w:asciiTheme="minorEastAsia" w:hAnsiTheme="minorEastAsia" w:eastAsiaTheme="minorEastAsia"/>
                <w:color w:val="auto"/>
                <w:spacing w:val="-4"/>
                <w:sz w:val="15"/>
                <w:szCs w:val="15"/>
                <w:highlight w:val="none"/>
              </w:rPr>
              <w:t>罚条款:第九十四条第一款,责令限期改正，处二万元以上五万元以下的罚款；逾期未改正的，处五万元以上十万元以下的罚款，责令生产经营单位停产停业整顿。</w:t>
            </w:r>
          </w:p>
        </w:tc>
        <w:tc>
          <w:tcPr>
            <w:tcW w:w="8165" w:type="dxa"/>
            <w:gridSpan w:val="5"/>
            <w:shd w:val="clear" w:color="auto" w:fill="auto"/>
            <w:vAlign w:val="center"/>
          </w:tcPr>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1.未履行第一项至第七项中任一项职责的，处 2 万元以上 3 万元以下的罚款；逾期未改正的，处 5 万元以上 7 万元以下的罚款；</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2.未履行第一项至第七项中任两项职责的，处 3 万元以上 4 万元以下的罚款；逾期未改正的，处 7 万元以上 9 万元以下的罚款；</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3.未履行第一项至第七项中任三项以上职责的，处 4 万元以上 5 万元以下的罚款；逾期未改正的，处 9 万元以上 10 万元以下的罚款。</w:t>
            </w:r>
          </w:p>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85" w:hRule="atLeast"/>
          <w:jc w:val="center"/>
        </w:trPr>
        <w:tc>
          <w:tcPr>
            <w:tcW w:w="94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lef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违反条款：《北京市生产经营单位安全生产主体责任规定》第四条第（五）项、第（七）项（根据实际选择）；</w:t>
            </w: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处罚条款：第三十四条第一款，责令改正；拒不改正的，责令停产停业整顿，并处2万元以上5万元以下罚款。</w:t>
            </w:r>
          </w:p>
        </w:tc>
        <w:tc>
          <w:tcPr>
            <w:tcW w:w="8165" w:type="dxa"/>
            <w:gridSpan w:val="5"/>
            <w:shd w:val="clear" w:color="auto" w:fill="auto"/>
            <w:vAlign w:val="center"/>
          </w:tcPr>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highlight w:val="none"/>
                <w:lang w:val="en-US" w:eastAsia="zh-CN"/>
              </w:rPr>
              <w:t>北京市安全生产行政处罚自由裁量基准（</w:t>
            </w:r>
            <w:r>
              <w:rPr>
                <w:rFonts w:hint="default" w:asciiTheme="minorEastAsia" w:hAnsiTheme="minorEastAsia" w:eastAsiaTheme="minorEastAsia" w:cstheme="minorEastAsia"/>
                <w:sz w:val="15"/>
                <w:szCs w:val="15"/>
                <w:highlight w:val="none"/>
                <w:lang w:val="en-US" w:eastAsia="zh-CN"/>
              </w:rPr>
              <w:t>2024</w:t>
            </w:r>
            <w:r>
              <w:rPr>
                <w:rFonts w:hint="eastAsia" w:asciiTheme="minorEastAsia" w:hAnsiTheme="minorEastAsia" w:eastAsiaTheme="minorEastAsia" w:cstheme="minorEastAsia"/>
                <w:sz w:val="15"/>
                <w:szCs w:val="15"/>
                <w:highlight w:val="none"/>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1.违反第五项、第七项中任一项职责的，并处2万元以上3万元以下的罚款；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r>
              <w:rPr>
                <w:rFonts w:hint="eastAsia" w:cs="Times New Roman" w:asciiTheme="minorEastAsia" w:hAnsiTheme="minorEastAsia" w:eastAsiaTheme="minorEastAsia"/>
                <w:color w:val="auto"/>
                <w:spacing w:val="-4"/>
                <w:sz w:val="15"/>
                <w:szCs w:val="15"/>
                <w:highlight w:val="none"/>
                <w:lang w:val="en-US" w:eastAsia="zh-CN"/>
              </w:rPr>
              <w:t>2.同时违反第五项、第七项两项职责的，并处3万元以上5万元以下的罚款。</w:t>
            </w:r>
          </w:p>
        </w:tc>
        <w:tc>
          <w:tcPr>
            <w:tcW w:w="824"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6"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未按照规定设置安全生产管理机构或者配备安全生产管理人员</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color w:val="auto"/>
                <w:highlight w:val="none"/>
              </w:rPr>
            </w:pPr>
            <w:r>
              <w:rPr>
                <w:rFonts w:hint="eastAsia" w:asciiTheme="minorEastAsia" w:hAnsiTheme="minorEastAsia" w:eastAsiaTheme="minorEastAsia"/>
                <w:color w:val="auto"/>
                <w:sz w:val="15"/>
                <w:szCs w:val="15"/>
                <w:highlight w:val="none"/>
              </w:rPr>
              <w:t>违反条款：第二十四条第二款；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一）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vMerge w:val="restart"/>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widowControl/>
              <w:suppressLineNumbers w:val="0"/>
              <w:jc w:val="left"/>
              <w:rPr>
                <w:rFonts w:ascii="宋体" w:hAnsi="宋体" w:eastAsia="宋体" w:cs="宋体"/>
                <w:kern w:val="0"/>
                <w:sz w:val="15"/>
                <w:szCs w:val="15"/>
                <w:lang w:val="en-US" w:eastAsia="zh-CN" w:bidi="ar"/>
              </w:rPr>
            </w:pPr>
            <w:r>
              <w:rPr>
                <w:rFonts w:ascii="宋体" w:hAnsi="宋体" w:eastAsia="宋体" w:cs="宋体"/>
                <w:kern w:val="0"/>
                <w:sz w:val="15"/>
                <w:szCs w:val="15"/>
                <w:lang w:val="en-US" w:eastAsia="zh-CN" w:bidi="ar"/>
              </w:rPr>
              <w:t>1.除矿山、金属冶炼、建筑施工、运输单位和危险物品的生产、经营、储存、装卸单位以外的生产经营单位，从业人员总数为 100人或者 100人以下， 未配备专职或者兼职安全生产管理人员的处 3万元以下的罚款；逾期未改正的，并处 10 万元以上 13万元以下的罚款，对其直接负责的主管人员和其他直接责任人员处2万元以上3万元以下的罚款；</w:t>
            </w:r>
          </w:p>
          <w:p>
            <w:pPr>
              <w:keepNext w:val="0"/>
              <w:keepLines w:val="0"/>
              <w:widowControl/>
              <w:suppressLineNumbers w:val="0"/>
              <w:jc w:val="left"/>
              <w:rPr>
                <w:sz w:val="15"/>
                <w:szCs w:val="15"/>
              </w:rPr>
            </w:pPr>
            <w:r>
              <w:rPr>
                <w:rFonts w:ascii="宋体" w:hAnsi="宋体" w:eastAsia="宋体" w:cs="宋体"/>
                <w:kern w:val="0"/>
                <w:sz w:val="15"/>
                <w:szCs w:val="15"/>
                <w:lang w:val="en-US" w:eastAsia="zh-CN" w:bidi="ar"/>
              </w:rPr>
              <w:t xml:space="preserve"> 2.除矿山、金属冶炼、建筑施工、运输单位和危险物品的生产、经营、储存、装卸单位以外的生产经营单位，从业人员总数超过 100 人，未设置安全生产管理机构或者未配备专职安全生产管理人员的，处3万元以上5万元以下的罚款；逾期未改正的，并处13万元以上15万元以下的罚款，对其直接负责的主管人员和其他直接责任人员处3万元以上4万元以下的罚款；</w:t>
            </w:r>
          </w:p>
          <w:p>
            <w:pPr>
              <w:spacing w:line="232" w:lineRule="exact"/>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58"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违反条款：《北京市安全生产条例》第二十条； 处罚条款：第五十八条第（一）款，责令限期改正，处十万元以下的罚款；逾期未改正的，责令停产停业整顿，并处十万元以上二十万元以下的罚款，对其直接负责的主管人员和其他直接责任人员处二万元以上五万元以下的罚款。 </w:t>
            </w:r>
          </w:p>
        </w:tc>
        <w:tc>
          <w:tcPr>
            <w:tcW w:w="8165" w:type="dxa"/>
            <w:gridSpan w:val="5"/>
            <w:vMerge w:val="continue"/>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07"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其他负责人和安全生产管理人员未履行本法规定的安全生产管理职责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违反条款：第二十五条第一款第（一）项至第（七）项（根据实际选择）；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处罚条款：第九十六条，责令限期改正，处一万元以上三万元以下的罚款；…构成犯罪的，依照刑法有关规定追究刑事责任。</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leftChars="0" w:hanging="21" w:firstLineChars="0"/>
              <w:rPr>
                <w:rFonts w:hint="eastAsia" w:cs="宋体" w:asciiTheme="minorEastAsia" w:hAnsiTheme="minorEastAsia" w:eastAsiaTheme="minorEastAsia"/>
                <w:strike w:val="0"/>
                <w:dstrike w:val="0"/>
                <w:color w:val="auto"/>
                <w:kern w:val="0"/>
                <w:sz w:val="15"/>
                <w:szCs w:val="15"/>
                <w:highlight w:val="none"/>
                <w:lang w:val="en-US" w:eastAsia="zh-CN" w:bidi="ar-SA"/>
              </w:rPr>
            </w:pPr>
            <w:r>
              <w:rPr>
                <w:rFonts w:hint="eastAsia" w:cs="宋体" w:asciiTheme="minorEastAsia" w:hAnsiTheme="minorEastAsia" w:eastAsiaTheme="minorEastAsia"/>
                <w:strike/>
                <w:dstrike w:val="0"/>
                <w:color w:val="auto"/>
                <w:kern w:val="0"/>
                <w:sz w:val="15"/>
                <w:szCs w:val="15"/>
                <w:highlight w:val="none"/>
                <w:lang w:val="en-US" w:eastAsia="zh-CN" w:bidi="ar-SA"/>
              </w:rPr>
              <w:t>1</w:t>
            </w:r>
            <w:r>
              <w:rPr>
                <w:rFonts w:hint="eastAsia" w:cs="宋体" w:asciiTheme="minorEastAsia" w:hAnsiTheme="minorEastAsia" w:eastAsiaTheme="minorEastAsia"/>
                <w:strike w:val="0"/>
                <w:dstrike w:val="0"/>
                <w:color w:val="auto"/>
                <w:kern w:val="0"/>
                <w:sz w:val="15"/>
                <w:szCs w:val="15"/>
                <w:highlight w:val="none"/>
                <w:lang w:val="en-US" w:eastAsia="zh-CN" w:bidi="ar-SA"/>
              </w:rPr>
              <w:t>.未履行第一项至第七项中任一项职责的，处1万元以上2万元以下的罚款；</w:t>
            </w:r>
          </w:p>
          <w:p>
            <w:pPr>
              <w:spacing w:line="232" w:lineRule="exact"/>
              <w:ind w:left="6" w:leftChars="0" w:hanging="21" w:firstLineChars="0"/>
              <w:rPr>
                <w:rFonts w:hint="eastAsia" w:cs="宋体" w:asciiTheme="minorEastAsia" w:hAnsiTheme="minorEastAsia" w:eastAsiaTheme="minorEastAsia"/>
                <w:strike w:val="0"/>
                <w:dstrike w:val="0"/>
                <w:color w:val="auto"/>
                <w:kern w:val="0"/>
                <w:sz w:val="15"/>
                <w:szCs w:val="15"/>
                <w:highlight w:val="none"/>
                <w:lang w:val="en-US" w:eastAsia="zh-CN" w:bidi="ar-SA"/>
              </w:rPr>
            </w:pPr>
            <w:r>
              <w:rPr>
                <w:rFonts w:hint="eastAsia" w:cs="宋体" w:asciiTheme="minorEastAsia" w:hAnsiTheme="minorEastAsia" w:eastAsiaTheme="minorEastAsia"/>
                <w:strike w:val="0"/>
                <w:dstrike w:val="0"/>
                <w:color w:val="auto"/>
                <w:kern w:val="0"/>
                <w:sz w:val="15"/>
                <w:szCs w:val="15"/>
                <w:highlight w:val="none"/>
                <w:lang w:val="en-US" w:eastAsia="zh-CN" w:bidi="ar-SA"/>
              </w:rPr>
              <w:t>2.未履行第一项至第七项中任两项职责的，处2万元以上3万元以下的罚款；</w:t>
            </w:r>
          </w:p>
          <w:p>
            <w:pPr>
              <w:spacing w:line="232" w:lineRule="exact"/>
              <w:ind w:left="6" w:leftChars="0" w:hanging="21" w:firstLineChars="0"/>
              <w:rPr>
                <w:rFonts w:cs="宋体" w:asciiTheme="minorEastAsia" w:hAnsiTheme="minorEastAsia" w:eastAsiaTheme="minorEastAsia"/>
                <w:strike/>
                <w:dstrike w:val="0"/>
                <w:color w:val="auto"/>
                <w:kern w:val="0"/>
                <w:sz w:val="15"/>
                <w:szCs w:val="15"/>
                <w:highlight w:val="none"/>
                <w:lang w:val="en-US" w:eastAsia="zh-CN" w:bidi="ar-SA"/>
              </w:rPr>
            </w:pPr>
            <w:r>
              <w:rPr>
                <w:rFonts w:hint="eastAsia" w:cs="宋体" w:asciiTheme="minorEastAsia" w:hAnsiTheme="minorEastAsia" w:eastAsiaTheme="minorEastAsia"/>
                <w:strike w:val="0"/>
                <w:dstrike w:val="0"/>
                <w:color w:val="auto"/>
                <w:kern w:val="0"/>
                <w:sz w:val="15"/>
                <w:szCs w:val="15"/>
                <w:highlight w:val="none"/>
                <w:lang w:val="en-US" w:eastAsia="zh-CN" w:bidi="ar-SA"/>
              </w:rPr>
              <w:t>3.未履行第一项至第七项中任三项以上职责的，处3万元的罚款；</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72" w:hRule="atLeast"/>
          <w:jc w:val="center"/>
        </w:trPr>
        <w:tc>
          <w:tcPr>
            <w:tcW w:w="94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未按照规定对从业人员、被派遣劳动者、实习学生进行安全生产教育和培训</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违反条款：《中华人民共和国安全生产法》第二十八条第一款、第二款、第三款、第二十九条（根据实际选择）；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vMerge w:val="restart"/>
            <w:shd w:val="clear" w:color="auto" w:fill="auto"/>
            <w:vAlign w:val="center"/>
          </w:tcPr>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生产经营单位未按照规定对从业人员、被派遣劳动者、实习学生进行安全生产教育和培训的人数为3人以下的，处5万元以下的罚款；逾期未改正的，处10万元以上15万元以下的罚款，对其直接负责的主管人员和其他直接责任人员 2万元以上3万元以下的罚款；</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生产经营单位未按照规定对从业人员、被派遣劳动者、实习学生进行安全生产教育和培训的人数为3人以上的，处5万元以上10万元以下的罚款；逾期未改正的，处15万元以上20万元以下的罚款，对其直接负责的主管人员和其他直接责任人员处3万元以上5万元以下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41" w:hRule="atLeast"/>
          <w:jc w:val="center"/>
        </w:trPr>
        <w:tc>
          <w:tcPr>
            <w:tcW w:w="94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b/>
                <w:bCs/>
                <w:color w:val="auto"/>
                <w:sz w:val="15"/>
                <w:szCs w:val="15"/>
                <w:highlight w:val="none"/>
              </w:rPr>
            </w:pPr>
            <w:r>
              <w:rPr>
                <w:rFonts w:hint="eastAsia" w:asciiTheme="minorEastAsia" w:hAnsiTheme="minorEastAsia" w:eastAsiaTheme="minorEastAsia"/>
                <w:b/>
                <w:bCs/>
                <w:color w:val="auto"/>
                <w:sz w:val="15"/>
                <w:szCs w:val="15"/>
                <w:highlight w:val="none"/>
              </w:rPr>
              <w:t>（适用于对从业人员开展安全生产教育培训）</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b/>
                <w:bCs/>
                <w:color w:val="auto"/>
                <w:sz w:val="15"/>
                <w:szCs w:val="15"/>
                <w:highlight w:val="none"/>
              </w:rPr>
              <w:t>违反条款：《北京市安全生产条例》</w:t>
            </w:r>
            <w:r>
              <w:rPr>
                <w:rFonts w:hint="eastAsia" w:asciiTheme="minorEastAsia" w:hAnsiTheme="minorEastAsia" w:eastAsiaTheme="minorEastAsia"/>
                <w:color w:val="auto"/>
                <w:sz w:val="15"/>
                <w:szCs w:val="15"/>
                <w:highlight w:val="none"/>
              </w:rPr>
              <w:t>第二十二条；</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处罚条款：第五十八条第（二）款，责令限期改正，处十万元以下的罚款；逾期未改正的，责令停产停业整顿，并处十万元以上二十万元以下的罚款，对其直接负责的主管人员和其他直接责任人员处二万元以上五万元以下的罚款。 </w:t>
            </w:r>
          </w:p>
        </w:tc>
        <w:tc>
          <w:tcPr>
            <w:tcW w:w="8165" w:type="dxa"/>
            <w:gridSpan w:val="5"/>
            <w:vMerge w:val="continue"/>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67"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未如实记录安全生产教育和培训情况</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违反条款：第二十八条第四款；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四）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1.生产经营单位未如实记录安全生产教育和培训情况的人数为 5 人以下的，处 5 万元以下的罚款；逾期未改正的，并处 10 万元以上 15 万元以下的罚款，对其直接负责的主管人员和其他责任人员处 2 万元以上 4 万元以下的罚款；</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2.生产经营单位未如实记录安全生产教育和培训情况人数为 5 人以上的，处 5 万元以上 10 万元以下的罚款；逾期未改正的，并处 15 万元以上 20 万元以下的罚款，对其直接负责的主管人员和其他责任人员处 4 万元以上 5 万元以下的罚款。</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55"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未在有较大危险因素的生产经营场所和有关设施、设备上设置明显的安全警示标志</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未在有较大危险因素的生产经营场所和有关设施、设备上设置明显的安全警示标志有5处以下的，处2万元以下的罚款；逾期未改正的，处5万元以上10万元以下的罚款，对其直接负责的主管人员和其他直接责任人员处1万元以上2万元以下的罚款；</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2.未在有较大危险因素的生产经营场所和有关设施、设备上设置明显的安全警示标志有5处以上10处以下的，处2万元以上 4万元以下的罚款；逾期未改正的，处10万元以上15万元以下的罚款，对其直接负责的主管人员和其他直接责任人员处 1万元以上2万元以下的罚款；</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3.未在有较大危险因素的生产经营场所和有关设施、设备上设置明显的安全警示标志有10处以上的，处4万元以上5万元以下的罚款；逾期未改正的，处15万元以上20万元以下的罚款，对其直接负责的主管人员和其他直接责任人员处1万元以上 2万元以下的罚款。</w:t>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18"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未建立事故隐患排查治理制度</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违反条款：第四十一条第二款；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除危险物品的生产、经营、储存、装卸单位以及矿山、金属冶炼、建筑施工、运输单位以外的生产经营单位，未建立事故隐患排查治理制度，处5万元以下的罚款；逾期未改正的，并处10万元以上15万元以下的罚款，对其直接负责的主管人员和其他直接责任人员处2万元以上3万元以下的罚款；</w:t>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29"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未如实记录事故隐患排查治理情况或者未向从业人员通报</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违反条款：第四十一条第二款 </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五）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存在未将事故隐患排查治理情况如实记录或者未向从业人员通报情况之一的，处5万元以下的罚款；逾期未改正的，并处10万元以上15万元以下的罚款，对其直接负责的主管人员和其他直接责任人员处2万元以上4万元以下的罚款；</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未将事故隐患排查治理情况如实记录并且未向从业人员通报的，处5万元以上10万元以下的罚款；逾期未改正的，并处15万元以上20万元以下的罚款，对其直接负责的主管人员和其他直接责任人员处4万元以上5万元以下的罚款。</w:t>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重大事故隐患排查治理情况未按照规定报告</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违反条款：第四十一条第二款  </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8165" w:type="dxa"/>
            <w:gridSpan w:val="5"/>
            <w:shd w:val="clear" w:color="auto" w:fill="auto"/>
            <w:vAlign w:val="center"/>
          </w:tcPr>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20" w:lineRule="exact"/>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除危险物品的生产、经营、储存、装卸单位以及矿山、金属冶炼、建筑施工、运输单位以外的生产经营单位，重大事故隐患排查治理情况未按照规定报告的，处5万元以下的罚款；逾期未改正的，并处10万元以上15万元以下的罚款，对其直接负责的主管人员和其他直接责任人员处2万元以上3万元以下的罚款；</w:t>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99" w:hRule="atLeast"/>
          <w:jc w:val="center"/>
        </w:trPr>
        <w:tc>
          <w:tcPr>
            <w:tcW w:w="94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未向从业人员如实告知有关安全生产事项</w:t>
            </w:r>
          </w:p>
        </w:tc>
        <w:tc>
          <w:tcPr>
            <w:tcW w:w="2789" w:type="dxa"/>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违反条款：《中华人民共和国安全生产法》第四十四条第一款；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vMerge w:val="restart"/>
            <w:shd w:val="clear" w:color="auto" w:fill="auto"/>
            <w:vAlign w:val="center"/>
          </w:tcPr>
          <w:p>
            <w:pPr>
              <w:spacing w:line="232" w:lineRule="exact"/>
              <w:ind w:left="6" w:hanging="21"/>
              <w:rPr>
                <w:rFonts w:cs="宋体" w:asciiTheme="minorEastAsia" w:hAnsiTheme="minorEastAsia" w:eastAsiaTheme="minorEastAsia"/>
                <w:strike/>
                <w:dstrike w:val="0"/>
                <w:color w:val="auto"/>
                <w:kern w:val="0"/>
                <w:sz w:val="15"/>
                <w:szCs w:val="15"/>
                <w:highlight w:val="none"/>
              </w:rPr>
            </w:pPr>
          </w:p>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1.生产经营单位未按照规定向从业人员如实告知作业场所和工作岗位存在的危险因素、防范措施以及事故应急措施中的任一项安全生产事项的，处 5万元以下的罚款；逾期未改正的，并处10万元以上15万元以下的罚款，对其直接负责的主管人员和其他直接责任人员处2万元以上3万元以下的罚款；</w:t>
            </w:r>
          </w:p>
          <w:p>
            <w:pPr>
              <w:spacing w:line="232" w:lineRule="exact"/>
              <w:ind w:left="6" w:hanging="21"/>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生产经营单位未按照规定向从业人员如实告知作业场所和工作岗位存在的危险因素、防范措施以及事故应急措施中的任两项安全生产事项的，处5万元以上10万元以下的罚款；逾期未改正的，并处15万元以上20万元以下的罚款，对其直接负责的主管人员和其他直接责任人员处3万元以上5万元以下的罚款；</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3.生产经营单位未按照规定向从业人员如实告知作业场所和工作岗位存在的危险因素、防范措施以及事故应急措施中的全部安全生产事项的，处10万元的罚款；逾期未改正的，并处20万元的罚款，对其直接负责的主管人员和其他直接责任人员处5万元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r>
              <w:rPr>
                <w:rFonts w:cs="宋体" w:asciiTheme="minorEastAsia" w:hAnsiTheme="minorEastAsia" w:eastAsiaTheme="minorEastAsia"/>
                <w:strike/>
                <w:dstrike w:val="0"/>
                <w:color w:val="auto"/>
                <w:kern w:val="0"/>
                <w:sz w:val="15"/>
                <w:szCs w:val="15"/>
                <w:highlight w:val="none"/>
              </w:rPr>
              <w:br w:type="textWrapping"/>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05" w:hRule="atLeast"/>
          <w:jc w:val="center"/>
        </w:trPr>
        <w:tc>
          <w:tcPr>
            <w:tcW w:w="94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25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违反条款：《北京市安全生产条例》第三十七条第一款</w:t>
            </w:r>
            <w:r>
              <w:rPr>
                <w:rFonts w:hint="eastAsia" w:asciiTheme="minorEastAsia" w:hAnsiTheme="minorEastAsia" w:eastAsiaTheme="minorEastAsia"/>
                <w:color w:val="auto"/>
                <w:sz w:val="15"/>
                <w:szCs w:val="15"/>
                <w:highlight w:val="none"/>
                <w:lang w:eastAsia="zh-CN"/>
              </w:rPr>
              <w:t>；</w:t>
            </w:r>
          </w:p>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六十条，责令限期改正，处十万元以下的罚款；逾期未改正的，责令停产停业整顿，并处十万元以上二十万元以下的罚款，对其直接负责的主管人员和其他直接责任人员处二万元以上五万元以下的罚款。</w:t>
            </w:r>
          </w:p>
        </w:tc>
        <w:tc>
          <w:tcPr>
            <w:tcW w:w="8165" w:type="dxa"/>
            <w:gridSpan w:val="5"/>
            <w:vMerge w:val="continue"/>
            <w:shd w:val="clear" w:color="auto" w:fill="auto"/>
            <w:vAlign w:val="center"/>
          </w:tcPr>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55"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拒绝、阻碍负有安全生产监督管理职责的部门依法实施监督检查</w:t>
            </w:r>
          </w:p>
        </w:tc>
        <w:tc>
          <w:tcPr>
            <w:tcW w:w="2789" w:type="dxa"/>
            <w:shd w:val="clear" w:color="auto" w:fill="auto"/>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违反条款：第六十六条；</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八条，责令改正；拒不改正的，处二万元以上二十万元以下的罚款；对其直接负责的主管人员和其他直接责任人员处一万元以上二万元以下的罚款；构成犯罪的，依照刑法有关规定追究刑事责任。</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cs="宋体" w:asciiTheme="minorEastAsia" w:hAnsiTheme="minorEastAsia" w:eastAsiaTheme="minorEastAsia"/>
                <w:strike w:val="0"/>
                <w:dstrike w:val="0"/>
                <w:color w:val="auto"/>
                <w:kern w:val="0"/>
                <w:sz w:val="15"/>
                <w:szCs w:val="15"/>
                <w:highlight w:val="none"/>
                <w:lang w:val="en-US" w:eastAsia="zh-CN"/>
              </w:rPr>
              <w:t>1.生产经营单位拒绝安全生产行政执法人员依法监督检查，拒不改正的，</w:t>
            </w:r>
            <w:r>
              <w:rPr>
                <w:rFonts w:hint="default" w:cs="宋体" w:asciiTheme="minorEastAsia" w:hAnsiTheme="minorEastAsia" w:eastAsiaTheme="minorEastAsia"/>
                <w:strike w:val="0"/>
                <w:dstrike w:val="0"/>
                <w:color w:val="auto"/>
                <w:kern w:val="0"/>
                <w:sz w:val="15"/>
                <w:szCs w:val="15"/>
                <w:highlight w:val="none"/>
                <w:lang w:val="en-US" w:eastAsia="zh-CN"/>
              </w:rPr>
              <w:t>处2万元以上10万元以下的罚款，对其直接负责的主管人员和其他直接责任人员处1万元的罚款；</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hint="default" w:cs="宋体" w:asciiTheme="minorEastAsia" w:hAnsiTheme="minorEastAsia" w:eastAsiaTheme="minorEastAsia"/>
                <w:strike w:val="0"/>
                <w:dstrike w:val="0"/>
                <w:color w:val="auto"/>
                <w:kern w:val="0"/>
                <w:sz w:val="15"/>
                <w:szCs w:val="15"/>
                <w:highlight w:val="none"/>
                <w:lang w:val="en-US" w:eastAsia="zh-CN"/>
              </w:rPr>
              <w:t>2.生产经营单位阻碍安全生产行政执法人员依法监督检查，拒不改正的，处10万元以上20万元以下的罚款，对其直接负责的主管人员和其他直接责任人员处1万元以上2万元以下的罚款。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未执行专项安全生产管理措施逾期未改正</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违反条款：《北京市安全生产条例》第四十四条第一款 处罚条款：第六十一条，责令限期改正；逾期未改正的，责令停止生产经营活动。</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ind w:left="6" w:hanging="21"/>
              <w:jc w:val="left"/>
              <w:rPr>
                <w:rFonts w:hint="eastAsia" w:cs="宋体" w:asciiTheme="minorEastAsia" w:hAnsiTheme="minorEastAsia" w:eastAsiaTheme="minorEastAsia"/>
                <w:strike w:val="0"/>
                <w:dstrike w:val="0"/>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lang w:eastAsia="zh-CN"/>
              </w:rPr>
              <w:t>无</w:t>
            </w: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8"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1" w:name="_Toc110851464"/>
            <w:bookmarkStart w:id="92" w:name="_Toc1075063771"/>
            <w:bookmarkStart w:id="93" w:name="_Toc18906041"/>
            <w:r>
              <w:rPr>
                <w:rFonts w:hint="eastAsia" w:asciiTheme="minorEastAsia" w:hAnsiTheme="minorEastAsia" w:eastAsiaTheme="minorEastAsia"/>
                <w:color w:val="auto"/>
                <w:sz w:val="21"/>
                <w:szCs w:val="21"/>
                <w:highlight w:val="none"/>
              </w:rPr>
              <w:t>《北京市生产安全事故隐患排查治理办法》</w:t>
            </w:r>
            <w:r>
              <w:rPr>
                <w:rFonts w:hint="eastAsia" w:asciiTheme="minorEastAsia" w:hAnsiTheme="minorEastAsia" w:eastAsiaTheme="minorEastAsia"/>
                <w:color w:val="auto"/>
                <w:sz w:val="21"/>
                <w:szCs w:val="21"/>
                <w:highlight w:val="none"/>
                <w:lang w:eastAsia="zh-Hans"/>
              </w:rPr>
              <w:t>案由</w:t>
            </w:r>
            <w:r>
              <w:rPr>
                <w:rFonts w:asciiTheme="minorEastAsia" w:hAnsiTheme="minorEastAsia" w:eastAsiaTheme="minorEastAsia"/>
                <w:color w:val="auto"/>
                <w:sz w:val="21"/>
                <w:szCs w:val="21"/>
                <w:highlight w:val="none"/>
                <w:lang w:eastAsia="zh-Hans"/>
              </w:rPr>
              <w:t>2</w:t>
            </w:r>
            <w:r>
              <w:rPr>
                <w:rFonts w:hint="eastAsia" w:asciiTheme="minorEastAsia" w:hAnsiTheme="minorEastAsia" w:eastAsiaTheme="minorEastAsia"/>
                <w:color w:val="auto"/>
                <w:sz w:val="21"/>
                <w:szCs w:val="21"/>
                <w:highlight w:val="none"/>
                <w:lang w:eastAsia="zh-Hans"/>
              </w:rPr>
              <w:t>项</w:t>
            </w:r>
            <w:bookmarkEnd w:id="91"/>
            <w:bookmarkEnd w:id="92"/>
            <w:bookmarkEnd w:id="9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0"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主要负责人未履行规定的事故隐患排查治理职责</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hint="eastAsia" w:asciiTheme="minorEastAsia" w:hAnsiTheme="minorEastAsia" w:eastAsiaTheme="minorEastAsia"/>
                <w:color w:val="auto"/>
                <w:sz w:val="15"/>
                <w:szCs w:val="15"/>
                <w:highlight w:val="none"/>
                <w:lang w:eastAsia="zh-Hans"/>
              </w:rPr>
              <w:t>第</w:t>
            </w:r>
            <w:r>
              <w:rPr>
                <w:rFonts w:hint="eastAsia" w:asciiTheme="minorEastAsia" w:hAnsiTheme="minorEastAsia" w:eastAsiaTheme="minorEastAsia"/>
                <w:color w:val="auto"/>
                <w:sz w:val="15"/>
                <w:szCs w:val="15"/>
                <w:highlight w:val="none"/>
              </w:rPr>
              <w:t>七条；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处罚条款：第二十六条，责令限期改正；逾期未改正的，处2万元以上5万元以下罚款。</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1.经责令限期改正，主要负责人未履行其中任一项职责的，对主要负责人处2万元以上3万元以下的罚款；</w:t>
            </w: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2.经责令限期改正，主要负责人未履行其中任两项以上职责的，对主要负责人处3万元以上5万元以下的罚款。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jc w:val="center"/>
        </w:trPr>
        <w:tc>
          <w:tcPr>
            <w:tcW w:w="9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未定期通报事故隐患排查治理情况，或者未公示重大事故隐患的危害程度、影响范围和应急措施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违反条款：第十一条；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处罚条款：第二十八条，责令限期改正，可以处5万元以下罚款；逾期未改正的，责令停产停业整顿，并处5万元以上10万元以下罚款。</w:t>
            </w:r>
          </w:p>
        </w:tc>
        <w:tc>
          <w:tcPr>
            <w:tcW w:w="8165" w:type="dxa"/>
            <w:gridSpan w:val="5"/>
            <w:shd w:val="clear" w:color="auto" w:fill="auto"/>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pStyle w:val="7"/>
              <w:rPr>
                <w:rFonts w:hint="eastAsia" w:asciiTheme="minorEastAsia" w:hAnsiTheme="minorEastAsia" w:eastAsiaTheme="minorEastAsia" w:cstheme="minorEastAsia"/>
                <w:b/>
                <w:bCs/>
                <w:color w:val="auto"/>
                <w:spacing w:val="-4"/>
                <w:sz w:val="15"/>
                <w:szCs w:val="15"/>
                <w:highlight w:val="none"/>
                <w:lang w:val="en-US" w:eastAsia="zh-CN"/>
              </w:rPr>
            </w:pPr>
            <w:r>
              <w:rPr>
                <w:rFonts w:hint="eastAsia" w:asciiTheme="minorEastAsia" w:hAnsiTheme="minorEastAsia" w:eastAsiaTheme="minorEastAsia" w:cstheme="minorEastAsia"/>
                <w:b/>
                <w:bCs/>
                <w:color w:val="auto"/>
                <w:spacing w:val="-4"/>
                <w:sz w:val="15"/>
                <w:szCs w:val="15"/>
                <w:highlight w:val="none"/>
                <w:lang w:val="en-US" w:eastAsia="zh-CN"/>
              </w:rPr>
              <w:t>北京市应急管理局关于印发《北京市应急管理轻微违法行为依法不予行政处罚事项清单》的通知（京应急规文〔2023〕2号）</w:t>
            </w:r>
          </w:p>
          <w:p>
            <w:pPr>
              <w:pStyle w:val="7"/>
              <w:rPr>
                <w:rFonts w:hint="eastAsia" w:asciiTheme="minorEastAsia" w:hAnsiTheme="minorEastAsia" w:eastAsiaTheme="minorEastAsia" w:cstheme="minorEastAsia"/>
                <w:b/>
                <w:bCs/>
                <w:color w:val="auto"/>
                <w:spacing w:val="-4"/>
                <w:sz w:val="15"/>
                <w:szCs w:val="15"/>
                <w:highlight w:val="none"/>
                <w:lang w:val="en-US" w:eastAsia="zh-CN"/>
              </w:rPr>
            </w:pPr>
            <w:r>
              <w:rPr>
                <w:rFonts w:hint="eastAsia" w:asciiTheme="minorEastAsia" w:hAnsiTheme="minorEastAsia" w:eastAsiaTheme="minorEastAsia" w:cstheme="minorEastAsia"/>
                <w:b/>
                <w:bCs/>
                <w:color w:val="auto"/>
                <w:spacing w:val="-4"/>
                <w:sz w:val="15"/>
                <w:szCs w:val="15"/>
                <w:highlight w:val="none"/>
                <w:lang w:val="en-US" w:eastAsia="zh-CN"/>
              </w:rPr>
              <w:t>全部具备相应“不予处罚适用条件”的，依法不予行政处罚。</w:t>
            </w: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b/>
                <w:bCs/>
                <w:color w:val="auto"/>
                <w:spacing w:val="-4"/>
                <w:sz w:val="15"/>
                <w:szCs w:val="15"/>
                <w:highlight w:val="none"/>
                <w:lang w:val="en-US" w:eastAsia="zh-CN"/>
              </w:rPr>
              <w:t>不予处罚适用条件：</w:t>
            </w:r>
            <w:r>
              <w:rPr>
                <w:rFonts w:hint="eastAsia" w:asciiTheme="minorEastAsia" w:hAnsiTheme="minorEastAsia" w:eastAsiaTheme="minorEastAsia" w:cstheme="minorEastAsia"/>
                <w:color w:val="auto"/>
                <w:spacing w:val="-4"/>
                <w:sz w:val="15"/>
                <w:szCs w:val="15"/>
                <w:highlight w:val="none"/>
                <w:lang w:val="en-US" w:eastAsia="zh-CN"/>
              </w:rPr>
              <w:t>1.首次被发现；2.已向从业人员通报了隐患排查治理情况但未每月通报，或者就重大事故隐患的危害程度、影响范围和应急措施已向从业人员进行了公示但公示不全；3.及时改正；4.危害后果轻微。</w:t>
            </w:r>
          </w:p>
          <w:p>
            <w:pPr>
              <w:pStyle w:val="7"/>
              <w:rPr>
                <w:rFonts w:hint="eastAsia" w:asciiTheme="minorEastAsia" w:hAnsiTheme="minorEastAsia" w:eastAsiaTheme="minorEastAsia" w:cstheme="minorEastAsia"/>
                <w:color w:val="auto"/>
                <w:spacing w:val="-4"/>
                <w:sz w:val="15"/>
                <w:szCs w:val="15"/>
                <w:highlight w:val="none"/>
                <w:lang w:val="en-US" w:eastAsia="zh-CN"/>
              </w:rPr>
            </w:pPr>
          </w:p>
          <w:p>
            <w:pPr>
              <w:pStyle w:val="7"/>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r>
              <w:rPr>
                <w:rFonts w:hint="eastAsia" w:asciiTheme="minorEastAsia" w:hAnsiTheme="minorEastAsia" w:eastAsiaTheme="minorEastAsia" w:cstheme="minorEastAsia"/>
                <w:sz w:val="15"/>
                <w:szCs w:val="15"/>
                <w:lang w:val="en-US" w:eastAsia="zh-CN"/>
              </w:rPr>
              <w:t>北京市安全生产行政处罚自由裁量基准（</w:t>
            </w:r>
            <w:r>
              <w:rPr>
                <w:rFonts w:hint="default" w:asciiTheme="minorEastAsia" w:hAnsiTheme="minorEastAsia" w:eastAsiaTheme="minorEastAsia" w:cstheme="minorEastAsia"/>
                <w:sz w:val="15"/>
                <w:szCs w:val="15"/>
                <w:lang w:val="en-US" w:eastAsia="zh-CN"/>
              </w:rPr>
              <w:t>2024</w:t>
            </w:r>
            <w:r>
              <w:rPr>
                <w:rFonts w:hint="eastAsia" w:asciiTheme="minorEastAsia" w:hAnsiTheme="minorEastAsia" w:eastAsiaTheme="minorEastAsia" w:cstheme="minorEastAsia"/>
                <w:sz w:val="15"/>
                <w:szCs w:val="15"/>
                <w:lang w:val="en-US" w:eastAsia="zh-CN"/>
              </w:rPr>
              <w:t xml:space="preserve"> 年修订版）。“以上”包含本数、“以下”除法律规定的包含本数和最高档的“以下”包含本数外，其余均不包含本数。</w:t>
            </w:r>
            <w:r>
              <w:rPr>
                <w:rFonts w:hint="eastAsia" w:asciiTheme="minorEastAsia" w:hAnsiTheme="minorEastAsia" w:eastAsiaTheme="minorEastAsia" w:cstheme="minorEastAsia"/>
                <w:color w:val="auto"/>
                <w:spacing w:val="-4"/>
                <w:sz w:val="15"/>
                <w:szCs w:val="15"/>
                <w:highlight w:val="none"/>
                <w:lang w:val="en-US" w:eastAsia="zh-CN"/>
              </w:rPr>
              <w:t>】</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cs="宋体" w:asciiTheme="minorEastAsia" w:hAnsiTheme="minorEastAsia" w:eastAsiaTheme="minorEastAsia"/>
                <w:strike w:val="0"/>
                <w:dstrike w:val="0"/>
                <w:color w:val="auto"/>
                <w:kern w:val="0"/>
                <w:sz w:val="15"/>
                <w:szCs w:val="15"/>
                <w:highlight w:val="none"/>
                <w:lang w:val="en-US" w:eastAsia="zh-CN"/>
              </w:rPr>
              <w:t>1.存在虽向从业人员通报了隐患排查治理情况但未每月通报，或者就重大</w:t>
            </w:r>
            <w:r>
              <w:rPr>
                <w:rFonts w:hint="default" w:cs="宋体" w:asciiTheme="minorEastAsia" w:hAnsiTheme="minorEastAsia" w:eastAsiaTheme="minorEastAsia"/>
                <w:strike w:val="0"/>
                <w:dstrike w:val="0"/>
                <w:color w:val="auto"/>
                <w:kern w:val="0"/>
                <w:sz w:val="15"/>
                <w:szCs w:val="15"/>
                <w:highlight w:val="none"/>
                <w:lang w:val="en-US" w:eastAsia="zh-CN"/>
              </w:rPr>
              <w:t xml:space="preserve">事故隐患的危害程度、影响范围和应急措施虽向从业人员进行了公示但公示不全的，可以处2万元以下的罚款；逾期未改正的，并处5万元以上7万元以下的罚款； </w:t>
            </w:r>
          </w:p>
          <w:p>
            <w:pPr>
              <w:spacing w:line="232" w:lineRule="exact"/>
              <w:ind w:left="6" w:hanging="21"/>
              <w:rPr>
                <w:rFonts w:cs="宋体" w:asciiTheme="minorEastAsia" w:hAnsiTheme="minorEastAsia" w:eastAsiaTheme="minorEastAsia"/>
                <w:strike w:val="0"/>
                <w:dstrike w:val="0"/>
                <w:color w:val="auto"/>
                <w:kern w:val="0"/>
                <w:sz w:val="15"/>
                <w:szCs w:val="15"/>
                <w:highlight w:val="none"/>
              </w:rPr>
            </w:pPr>
            <w:r>
              <w:rPr>
                <w:rFonts w:hint="default" w:cs="宋体" w:asciiTheme="minorEastAsia" w:hAnsiTheme="minorEastAsia" w:eastAsiaTheme="minorEastAsia"/>
                <w:strike w:val="0"/>
                <w:dstrike w:val="0"/>
                <w:color w:val="auto"/>
                <w:kern w:val="0"/>
                <w:sz w:val="15"/>
                <w:szCs w:val="15"/>
                <w:highlight w:val="none"/>
                <w:lang w:val="en-US" w:eastAsia="zh-CN"/>
              </w:rPr>
              <w:t>2.未向从业人员通报隐患排查治理情况，或者未向从业人员公示事故隐患的危害程度、影响范围和应急措施的，可以处2万元以上5万元以下的罚款；逾期未改正的，并处7万元以上10万元以下的罚款。</w:t>
            </w:r>
          </w:p>
          <w:p>
            <w:pPr>
              <w:spacing w:line="232" w:lineRule="exact"/>
              <w:ind w:left="6" w:hanging="21"/>
              <w:rPr>
                <w:rFonts w:cs="宋体" w:asciiTheme="minorEastAsia" w:hAnsiTheme="minorEastAsia" w:eastAsiaTheme="minorEastAsia"/>
                <w:strike/>
                <w:dstrike w:val="0"/>
                <w:color w:val="auto"/>
                <w:kern w:val="0"/>
                <w:sz w:val="15"/>
                <w:szCs w:val="15"/>
                <w:highlight w:val="none"/>
              </w:rPr>
            </w:pPr>
          </w:p>
        </w:tc>
        <w:tc>
          <w:tcPr>
            <w:tcW w:w="824"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0"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4" w:name="_Toc110851465"/>
            <w:bookmarkStart w:id="95" w:name="_Toc780858134"/>
            <w:bookmarkStart w:id="96" w:name="_Toc1291379037"/>
            <w:r>
              <w:rPr>
                <w:rFonts w:hint="eastAsia" w:asciiTheme="minorEastAsia" w:hAnsiTheme="minorEastAsia" w:eastAsiaTheme="minorEastAsia"/>
                <w:color w:val="auto"/>
                <w:sz w:val="21"/>
                <w:szCs w:val="21"/>
                <w:highlight w:val="none"/>
              </w:rPr>
              <w:t>《北京市单用途预付卡管理条例》案由7项</w:t>
            </w:r>
            <w:bookmarkEnd w:id="94"/>
            <w:bookmarkEnd w:id="95"/>
            <w:bookmarkEnd w:id="9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0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预付卡经营者违反规定发行预付卡或者为消费者办理续卡的</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违反条款：第十一条；处罚条款：第二十八条 责令立即停止发卡、续卡，处两万元以上十万元以下罚款；情节严重的，责令停业。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20</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2</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预付卡经营者未向消费者出具载明规定内容的凭据逾期不改正</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违反条款：第十三条第一款、第二款；处罚条款：第二十九条第（一）项   责令限期改正；逾期不改的，可以处二千元以上一万元以下罚款，并责令暂时停止发行预付卡。</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0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预付卡经营者未按照规定提供查询或者未按照规定履行告知义务逾期不改正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违反条款：第十八条；处罚条款：第二十九条第（二）项   责令限期改正；逾期不改的，可以处二千元以上一万元以下罚款，并责令暂时停止发行预付卡。</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9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4</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预付卡经营者未按照规定保存交易记录逾期不改正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sz w:val="15"/>
                <w:szCs w:val="15"/>
                <w:highlight w:val="none"/>
              </w:rPr>
              <w:t>违反条款：第十九条第一款；处罚条款：第二十九条第（一）项   责令限期改正；逾期不改的，可以处二千元以上一万元以下罚款，并责令暂时停止发行预付卡。</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预付卡经营者故意拖延或者无理拒绝退回预收款逾期不改正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违反条款：第十六条、第十七条；处罚条款：第三十条  责令限期改正；逾期不改的，可以处一万元以上五万元以下罚款，并责令暂时停止发行预付卡。</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10</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7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6</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预付卡经营者迟报、瞒报、虚报有关信息逾期不改正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sz w:val="15"/>
                <w:szCs w:val="15"/>
                <w:highlight w:val="none"/>
              </w:rPr>
              <w:t>违反条款：第二十条；处罚条款：第三十一条  责令限期改正；逾期不改的，处一千元以上五千元以下罚款。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1</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0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7</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预付卡经营者未按照规定存管资金逾期不改正</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违反条款：第二十二条；处罚条款：第三十二条  责令存管并暂时停止发行预付卡；逾期不改的，处两万元以上十万元以下罚款，并责令停止发行预付卡；继续发行预付卡的，责令停业。</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造成较大社会影响或者严重后果的，系数4。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w:t>
            </w:r>
            <w:r>
              <w:rPr>
                <w:rFonts w:cs="仿宋_GB2312" w:asciiTheme="minorEastAsia" w:hAnsiTheme="minorEastAsia" w:eastAsiaTheme="minorEastAsia"/>
                <w:color w:val="auto"/>
                <w:sz w:val="15"/>
                <w:szCs w:val="15"/>
                <w:highlight w:val="none"/>
                <w:lang w:val="en"/>
              </w:rPr>
              <w:t>0</w:t>
            </w:r>
            <w:r>
              <w:rPr>
                <w:rFonts w:hint="eastAsia" w:cs="仿宋_GB2312" w:asciiTheme="minorEastAsia" w:hAnsiTheme="minorEastAsia" w:eastAsiaTheme="minorEastAsia"/>
                <w:color w:val="auto"/>
                <w:sz w:val="15"/>
                <w:szCs w:val="15"/>
                <w:highlight w:val="none"/>
              </w:rPr>
              <w:t>×（1+</w:t>
            </w:r>
            <w:r>
              <w:rPr>
                <w:rFonts w:hint="eastAsia" w:cs="仿宋_GB2312" w:asciiTheme="minorEastAsia" w:hAnsiTheme="minorEastAsia" w:eastAsiaTheme="minorEastAsia"/>
                <w:color w:val="auto"/>
                <w:sz w:val="15"/>
                <w:szCs w:val="15"/>
                <w:highlight w:val="none"/>
                <w:lang w:eastAsia="zh-CN"/>
              </w:rPr>
              <w:t>常量系数</w:t>
            </w:r>
            <w:r>
              <w:rPr>
                <w:rFonts w:hint="eastAsia" w:cs="仿宋_GB2312"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6"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97" w:name="_Toc1495699393"/>
            <w:bookmarkStart w:id="98" w:name="_Toc110851466"/>
            <w:bookmarkStart w:id="99" w:name="_Toc1655466988"/>
            <w:r>
              <w:rPr>
                <w:rFonts w:hint="eastAsia" w:ascii="黑体" w:hAnsi="黑体" w:eastAsia="黑体"/>
                <w:b w:val="0"/>
                <w:color w:val="auto"/>
                <w:sz w:val="36"/>
                <w:szCs w:val="36"/>
                <w:highlight w:val="none"/>
              </w:rPr>
              <w:t>园林绿化管理方面</w:t>
            </w:r>
            <w:bookmarkEnd w:id="97"/>
            <w:bookmarkEnd w:id="98"/>
            <w:bookmarkEnd w:id="9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0" w:name="_Toc110851467"/>
            <w:bookmarkStart w:id="101" w:name="_Toc1801139429"/>
            <w:bookmarkStart w:id="102" w:name="_Toc1065346755"/>
            <w:r>
              <w:rPr>
                <w:rFonts w:hint="eastAsia" w:asciiTheme="minorEastAsia" w:hAnsiTheme="minorEastAsia" w:eastAsiaTheme="minorEastAsia"/>
                <w:color w:val="auto"/>
                <w:sz w:val="21"/>
                <w:szCs w:val="21"/>
                <w:highlight w:val="none"/>
              </w:rPr>
              <w:t>《北京市绿化条例》案由16项</w:t>
            </w:r>
            <w:bookmarkEnd w:id="100"/>
            <w:bookmarkEnd w:id="101"/>
            <w:bookmarkEnd w:id="10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未按要求公示绿地平面图</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违反条款：第二十五条；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处罚条款：第六十三条 责令限期改正；逾期不改正的，处5000元罚款。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按照条款规定执行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4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未按规定对闲置土地进行临时绿化</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违反条款：第二十七条；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处罚条款：第六十四条 责令限期改正；逾期不改正的，处2000元以上2万元以下罚款。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闲置面积1000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以内，变量系数为0，闲置面积1000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以上的，每增加500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，变量系数增加1；</w:t>
            </w:r>
          </w:p>
          <w:p>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闲置时间超过一年的，系数为4；3. 尘土飞扬，对市容环境造成严重影响的，系数9。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4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未按养护规范养护绿地、树木</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处罚条款：第六十五条 责令限期改正；逾期不改正，造成树木死亡、绿化设施损毁、景区风貌破坏的，处2000元以上2万元以下罚款。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1.造成树木死亡（胸径小于30厘米且不满3株），绿化设施损毁、景区风貌破坏较重的，或者造成较大社会影响的，系数为2；</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造成树木死亡（胸径30厘米以上的，或树木死亡3株以上5株以下），或者造成较大损失的，系数为4；造成树木大面积死亡（胸径30厘米以上树木3棵以上，以及树木死亡10株以上的），或者造成珍贵树种死亡，景区风貌破坏严重难以复原，以及其它社会恶劣影响和重大经济损失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4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未按规范开发利用绿地地下空间</w:t>
            </w:r>
          </w:p>
        </w:tc>
        <w:tc>
          <w:tcPr>
            <w:tcW w:w="2789"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违反条款：第四十六条；</w:t>
            </w:r>
          </w:p>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处罚条款：第六十六条 责令限期改正；逾期不改正的，处2万元以上10万元以下罚款。</w:t>
            </w: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1.造成树木死亡（胸径小于30厘米且不满3株），绿地损毁的，变量系数为1；</w:t>
            </w:r>
          </w:p>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2.造成树木大面积死亡（胸径30厘米以上的，或树木死亡3株以上），绿地使用功能丧失，或者其它社会恶劣影响和重大经济损失的，变量系数为3。</w:t>
            </w:r>
          </w:p>
        </w:tc>
        <w:tc>
          <w:tcPr>
            <w:tcW w:w="17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0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在树木旁或者绿地内倾倒、排放污水、垃圾、渣土及其</w:t>
            </w:r>
            <w:r>
              <w:rPr>
                <w:rFonts w:hint="eastAsia" w:cs="宋体" w:asciiTheme="minorEastAsia" w:hAnsiTheme="minorEastAsia" w:eastAsiaTheme="minorEastAsia"/>
                <w:color w:val="auto"/>
                <w:kern w:val="0"/>
                <w:sz w:val="15"/>
                <w:szCs w:val="15"/>
                <w:highlight w:val="none"/>
                <w:shd w:val="clear" w:fill="FF0000"/>
                <w:lang w:eastAsia="zh-CN"/>
              </w:rPr>
              <w:t>他</w:t>
            </w:r>
            <w:r>
              <w:rPr>
                <w:rFonts w:hint="eastAsia" w:cs="宋体" w:asciiTheme="minorEastAsia" w:hAnsiTheme="minorEastAsia" w:eastAsiaTheme="minorEastAsia"/>
                <w:color w:val="auto"/>
                <w:kern w:val="0"/>
                <w:sz w:val="15"/>
                <w:szCs w:val="15"/>
                <w:highlight w:val="none"/>
              </w:rPr>
              <w:t>废弃物</w:t>
            </w:r>
          </w:p>
        </w:tc>
        <w:tc>
          <w:tcPr>
            <w:tcW w:w="2789" w:type="dxa"/>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违反条款：第五十条第（一）项；处罚条款：第六十七条责令停止违法行为。处罚内容：情节较轻的，处20元以上50元以下罚款；情节严重的，处50元以上500元以下罚款。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0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0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6"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yellow"/>
              </w:rPr>
            </w:pPr>
            <w:r>
              <w:rPr>
                <w:rFonts w:hint="eastAsia" w:cs="宋体" w:asciiTheme="minorEastAsia" w:hAnsiTheme="minorEastAsia" w:eastAsiaTheme="minorEastAsia"/>
                <w:color w:val="auto"/>
                <w:kern w:val="0"/>
                <w:sz w:val="15"/>
                <w:szCs w:val="15"/>
                <w:highlight w:val="yellow"/>
              </w:rPr>
              <w:t>6</w:t>
            </w:r>
          </w:p>
        </w:tc>
        <w:tc>
          <w:tcPr>
            <w:tcW w:w="1500" w:type="dxa"/>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yellow"/>
              </w:rPr>
            </w:pPr>
            <w:r>
              <w:rPr>
                <w:rFonts w:hint="eastAsia" w:cs="宋体" w:asciiTheme="minorEastAsia" w:hAnsiTheme="minorEastAsia" w:eastAsiaTheme="minorEastAsia"/>
                <w:color w:val="auto"/>
                <w:kern w:val="0"/>
                <w:sz w:val="15"/>
                <w:szCs w:val="15"/>
                <w:highlight w:val="yellow"/>
              </w:rPr>
              <w:t>损毁树木、花草及绿化设施</w:t>
            </w:r>
          </w:p>
        </w:tc>
        <w:tc>
          <w:tcPr>
            <w:tcW w:w="2789" w:type="dxa"/>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yellow"/>
              </w:rPr>
            </w:pPr>
            <w:r>
              <w:rPr>
                <w:rFonts w:hint="eastAsia" w:cs="宋体" w:asciiTheme="minorEastAsia" w:hAnsiTheme="minorEastAsia" w:eastAsiaTheme="minorEastAsia"/>
                <w:color w:val="auto"/>
                <w:kern w:val="0"/>
                <w:sz w:val="15"/>
                <w:szCs w:val="15"/>
                <w:highlight w:val="yellow"/>
              </w:rPr>
              <w:t>违反条款：第五十条第（二）项；处罚条款：第六十七条责令停止违法行为。处罚内容：情节较轻的，处20元以上50元以下罚款；情节严重的，处50元以上500元以下罚款。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yellow"/>
              </w:rPr>
            </w:pP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yellow"/>
              </w:rPr>
            </w:pPr>
          </w:p>
        </w:tc>
        <w:tc>
          <w:tcPr>
            <w:tcW w:w="2304"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yellow"/>
              </w:rPr>
            </w:pPr>
          </w:p>
        </w:tc>
        <w:tc>
          <w:tcPr>
            <w:tcW w:w="17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yellow"/>
              </w:rPr>
            </w:pPr>
          </w:p>
        </w:tc>
        <w:tc>
          <w:tcPr>
            <w:tcW w:w="2385" w:type="dxa"/>
            <w:shd w:val="clear" w:color="auto" w:fill="auto"/>
            <w:vAlign w:val="center"/>
          </w:tcPr>
          <w:p>
            <w:pPr>
              <w:spacing w:line="206" w:lineRule="exact"/>
              <w:rPr>
                <w:rFonts w:hint="eastAsia" w:cs="宋体" w:asciiTheme="minorEastAsia" w:hAnsiTheme="minorEastAsia" w:eastAsiaTheme="minorEastAsia"/>
                <w:color w:val="auto"/>
                <w:kern w:val="0"/>
                <w:sz w:val="15"/>
                <w:szCs w:val="15"/>
                <w:highlight w:val="yellow"/>
                <w:lang w:eastAsia="zh-CN"/>
              </w:rPr>
            </w:pPr>
            <w:r>
              <w:rPr>
                <w:rFonts w:hint="eastAsia" w:cs="宋体" w:asciiTheme="minorEastAsia" w:hAnsiTheme="minorEastAsia" w:eastAsiaTheme="minorEastAsia"/>
                <w:color w:val="auto"/>
                <w:kern w:val="0"/>
                <w:sz w:val="15"/>
                <w:szCs w:val="15"/>
                <w:highlight w:val="yellow"/>
              </w:rPr>
              <w:t>按照简易程序执行</w:t>
            </w:r>
            <w:r>
              <w:rPr>
                <w:rFonts w:hint="eastAsia" w:cs="宋体" w:asciiTheme="minorEastAsia" w:hAnsiTheme="minorEastAsia" w:eastAsiaTheme="minorEastAsia"/>
                <w:color w:val="auto"/>
                <w:kern w:val="0"/>
                <w:sz w:val="15"/>
                <w:szCs w:val="15"/>
                <w:highlight w:val="yellow"/>
                <w:lang w:eastAsia="zh-CN"/>
              </w:rPr>
              <w:t>。</w:t>
            </w:r>
          </w:p>
        </w:tc>
        <w:tc>
          <w:tcPr>
            <w:tcW w:w="824" w:type="dxa"/>
            <w:shd w:val="clear" w:color="auto" w:fill="auto"/>
            <w:vAlign w:val="center"/>
          </w:tcPr>
          <w:p>
            <w:pPr>
              <w:spacing w:line="206" w:lineRule="exact"/>
              <w:jc w:val="center"/>
              <w:rPr>
                <w:rFonts w:asciiTheme="minorEastAsia" w:hAnsiTheme="minorEastAsia" w:eastAsiaTheme="minorEastAsia"/>
                <w:color w:val="auto"/>
                <w:sz w:val="15"/>
                <w:szCs w:val="15"/>
                <w:highlight w:val="yellow"/>
              </w:rPr>
            </w:pPr>
            <w:r>
              <w:rPr>
                <w:rFonts w:hint="eastAsia" w:asciiTheme="minorEastAsia" w:hAnsiTheme="minorEastAsia" w:eastAsiaTheme="minorEastAsia"/>
                <w:color w:val="auto"/>
                <w:sz w:val="15"/>
                <w:szCs w:val="15"/>
                <w:highlight w:val="yellow"/>
              </w:rPr>
              <w:t>街道</w:t>
            </w:r>
          </w:p>
          <w:p>
            <w:pPr>
              <w:spacing w:line="206" w:lineRule="exact"/>
              <w:jc w:val="center"/>
              <w:rPr>
                <w:rFonts w:cs="宋体" w:asciiTheme="minorEastAsia" w:hAnsiTheme="minorEastAsia" w:eastAsiaTheme="minorEastAsia"/>
                <w:color w:val="auto"/>
                <w:kern w:val="0"/>
                <w:sz w:val="15"/>
                <w:szCs w:val="15"/>
                <w:highlight w:val="yellow"/>
              </w:rPr>
            </w:pPr>
            <w:r>
              <w:rPr>
                <w:rFonts w:hint="eastAsia" w:asciiTheme="minorEastAsia" w:hAnsiTheme="minorEastAsia" w:eastAsiaTheme="minorEastAsia"/>
                <w:color w:val="auto"/>
                <w:sz w:val="15"/>
                <w:szCs w:val="15"/>
                <w:highlight w:val="yellow"/>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yellow"/>
              </w:rPr>
            </w:pP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yellow"/>
              </w:rPr>
            </w:pPr>
            <w:r>
              <w:rPr>
                <w:rFonts w:hint="eastAsia" w:cs="宋体" w:asciiTheme="minorEastAsia" w:hAnsiTheme="minorEastAsia" w:eastAsiaTheme="minorEastAsia"/>
                <w:color w:val="auto"/>
                <w:kern w:val="0"/>
                <w:sz w:val="15"/>
                <w:szCs w:val="15"/>
                <w:highlight w:val="yellow"/>
              </w:rPr>
              <w:t>50</w:t>
            </w: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yellow"/>
              </w:rPr>
            </w:pPr>
            <w:r>
              <w:rPr>
                <w:rFonts w:hint="eastAsia" w:cs="宋体" w:asciiTheme="minorEastAsia" w:hAnsiTheme="minorEastAsia" w:eastAsiaTheme="minorEastAsia"/>
                <w:color w:val="auto"/>
                <w:kern w:val="0"/>
                <w:sz w:val="15"/>
                <w:szCs w:val="15"/>
                <w:highlight w:val="yellow"/>
              </w:rPr>
              <w:t>1</w:t>
            </w:r>
          </w:p>
        </w:tc>
        <w:tc>
          <w:tcPr>
            <w:tcW w:w="2304"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yellow"/>
              </w:rPr>
            </w:pPr>
            <w:r>
              <w:rPr>
                <w:rFonts w:hint="eastAsia" w:cs="宋体" w:asciiTheme="minorEastAsia" w:hAnsiTheme="minorEastAsia" w:eastAsiaTheme="minorEastAsia"/>
                <w:color w:val="auto"/>
                <w:kern w:val="0"/>
                <w:sz w:val="15"/>
                <w:szCs w:val="15"/>
                <w:highlight w:val="yellow"/>
              </w:rPr>
              <w:t>造成树木、绿地或绿化设施损毁严重的，系数9。</w:t>
            </w:r>
          </w:p>
        </w:tc>
        <w:tc>
          <w:tcPr>
            <w:tcW w:w="17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yellow"/>
              </w:rPr>
            </w:pPr>
            <w:r>
              <w:rPr>
                <w:rFonts w:hint="eastAsia" w:cs="宋体" w:asciiTheme="minorEastAsia" w:hAnsiTheme="minorEastAsia" w:eastAsiaTheme="minorEastAsia"/>
                <w:color w:val="auto"/>
                <w:kern w:val="0"/>
                <w:sz w:val="15"/>
                <w:szCs w:val="15"/>
                <w:highlight w:val="yellow"/>
              </w:rPr>
              <w:t>罚款数额＝50×（1＋</w:t>
            </w:r>
            <w:r>
              <w:rPr>
                <w:rFonts w:hint="eastAsia" w:cs="宋体" w:asciiTheme="minorEastAsia" w:hAnsiTheme="minorEastAsia" w:eastAsiaTheme="minorEastAsia"/>
                <w:color w:val="auto"/>
                <w:kern w:val="0"/>
                <w:sz w:val="15"/>
                <w:szCs w:val="15"/>
                <w:highlight w:val="yellow"/>
                <w:lang w:eastAsia="zh-CN"/>
              </w:rPr>
              <w:t>常量系数＋变量系数＋区域系数</w:t>
            </w:r>
            <w:r>
              <w:rPr>
                <w:rFonts w:hint="eastAsia" w:cs="宋体" w:asciiTheme="minorEastAsia" w:hAnsiTheme="minorEastAsia" w:eastAsiaTheme="minorEastAsia"/>
                <w:color w:val="auto"/>
                <w:kern w:val="0"/>
                <w:sz w:val="15"/>
                <w:szCs w:val="15"/>
                <w:highlight w:val="yellow"/>
              </w:rPr>
              <w:t>）</w:t>
            </w:r>
          </w:p>
        </w:tc>
        <w:tc>
          <w:tcPr>
            <w:tcW w:w="2385"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yellow"/>
              </w:rPr>
            </w:pPr>
          </w:p>
        </w:tc>
        <w:tc>
          <w:tcPr>
            <w:tcW w:w="824" w:type="dxa"/>
            <w:shd w:val="clear" w:color="auto" w:fill="auto"/>
            <w:vAlign w:val="center"/>
          </w:tcPr>
          <w:p>
            <w:pPr>
              <w:spacing w:line="206" w:lineRule="exact"/>
              <w:jc w:val="center"/>
              <w:rPr>
                <w:rFonts w:asciiTheme="minorEastAsia" w:hAnsiTheme="minorEastAsia" w:eastAsiaTheme="minorEastAsia"/>
                <w:color w:val="auto"/>
                <w:sz w:val="15"/>
                <w:szCs w:val="15"/>
                <w:highlight w:val="yellow"/>
              </w:rPr>
            </w:pPr>
            <w:r>
              <w:rPr>
                <w:rFonts w:hint="eastAsia" w:asciiTheme="minorEastAsia" w:hAnsiTheme="minorEastAsia" w:eastAsiaTheme="minorEastAsia"/>
                <w:color w:val="auto"/>
                <w:sz w:val="15"/>
                <w:szCs w:val="15"/>
                <w:highlight w:val="yellow"/>
              </w:rPr>
              <w:t>街道</w:t>
            </w:r>
          </w:p>
          <w:p>
            <w:pPr>
              <w:spacing w:line="206" w:lineRule="exact"/>
              <w:jc w:val="center"/>
              <w:rPr>
                <w:rFonts w:cs="宋体" w:asciiTheme="minorEastAsia" w:hAnsiTheme="minorEastAsia" w:eastAsiaTheme="minorEastAsia"/>
                <w:color w:val="auto"/>
                <w:kern w:val="0"/>
                <w:sz w:val="15"/>
                <w:szCs w:val="15"/>
                <w:highlight w:val="yellow"/>
              </w:rPr>
            </w:pPr>
            <w:r>
              <w:rPr>
                <w:rFonts w:hint="eastAsia" w:asciiTheme="minorEastAsia" w:hAnsiTheme="minorEastAsia" w:eastAsiaTheme="minorEastAsia"/>
                <w:color w:val="auto"/>
                <w:sz w:val="15"/>
                <w:szCs w:val="15"/>
                <w:highlight w:val="yellow"/>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在树木或者绿化设施上悬挂广告牌或者其</w:t>
            </w:r>
            <w:r>
              <w:rPr>
                <w:rFonts w:hint="eastAsia" w:cs="宋体" w:asciiTheme="minorEastAsia" w:hAnsiTheme="minorEastAsia" w:eastAsiaTheme="minorEastAsia"/>
                <w:color w:val="auto"/>
                <w:kern w:val="0"/>
                <w:sz w:val="15"/>
                <w:szCs w:val="15"/>
                <w:highlight w:val="none"/>
                <w:shd w:val="clear" w:fill="FF0000"/>
                <w:lang w:eastAsia="zh-CN"/>
              </w:rPr>
              <w:t>他</w:t>
            </w:r>
            <w:r>
              <w:rPr>
                <w:rFonts w:hint="eastAsia" w:cs="宋体" w:asciiTheme="minorEastAsia" w:hAnsiTheme="minorEastAsia" w:eastAsiaTheme="minorEastAsia"/>
                <w:color w:val="auto"/>
                <w:kern w:val="0"/>
                <w:sz w:val="15"/>
                <w:szCs w:val="15"/>
                <w:highlight w:val="none"/>
              </w:rPr>
              <w:t>物品</w:t>
            </w:r>
          </w:p>
        </w:tc>
        <w:tc>
          <w:tcPr>
            <w:tcW w:w="2789"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违反条款：第五十条第（三）项；处罚条款：第六十七条责令停止违法行为。处罚内容：情节较轻的，处20元以上50元以下罚款；情节严重的，处50元以上500元以下罚款。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8"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绿地或绿化设施损毁严重的，系数9。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在绿地内取土、搭建构筑物</w:t>
            </w:r>
          </w:p>
        </w:tc>
        <w:tc>
          <w:tcPr>
            <w:tcW w:w="2789"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违反条款：第五十条第（四）项；处罚条款：第六十七条责令停止违法行为。处罚内容：情节较轻的，处20元以上50元以下罚款；情节严重的，处50元以上500元以下罚款。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在绿地内用火、烧烤</w:t>
            </w:r>
          </w:p>
        </w:tc>
        <w:tc>
          <w:tcPr>
            <w:tcW w:w="2789" w:type="dxa"/>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违反条款：第五十条第（五）项；处罚条款：第六十七条责令停止违法行为。处罚内容：情节较轻的，处20元以上50元以下罚款；情节严重的，处50元以上500元以下罚款。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5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5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实施其</w:t>
            </w:r>
            <w:r>
              <w:rPr>
                <w:rFonts w:hint="eastAsia" w:cs="宋体" w:asciiTheme="minorEastAsia" w:hAnsiTheme="minorEastAsia" w:eastAsiaTheme="minorEastAsia"/>
                <w:color w:val="auto"/>
                <w:kern w:val="0"/>
                <w:sz w:val="15"/>
                <w:szCs w:val="15"/>
                <w:highlight w:val="none"/>
                <w:shd w:val="clear" w:fill="FF0000"/>
                <w:lang w:eastAsia="zh-CN"/>
              </w:rPr>
              <w:t>他</w:t>
            </w:r>
            <w:r>
              <w:rPr>
                <w:rFonts w:hint="eastAsia" w:cs="宋体" w:asciiTheme="minorEastAsia" w:hAnsiTheme="minorEastAsia" w:eastAsiaTheme="minorEastAsia"/>
                <w:color w:val="auto"/>
                <w:kern w:val="0"/>
                <w:sz w:val="15"/>
                <w:szCs w:val="15"/>
                <w:highlight w:val="none"/>
              </w:rPr>
              <w:t>损害绿化成果及绿化设施的行为</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违反条款：第五十条第（七）项；处罚条款：第六十七条责令停止违法行为。处罚内容：情节较轻的，处20元以上50元以下罚款；情节严重的，处50元以上500元以下罚款。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0"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造成树木、绿地或绿化设施损毁严重的，系数9。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未经许可擅自改变绿地性质和用途</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违反条款：第五十七条；处罚条款：第六十八条责令限期改正、恢复原状，并按照改变的面积处每平方米300元以上3000元以下罚款</w:t>
            </w:r>
            <w:r>
              <w:rPr>
                <w:rFonts w:cs="宋体" w:asciiTheme="minorEastAsia" w:hAnsiTheme="minorEastAsia" w:eastAsiaTheme="minorEastAsia"/>
                <w:color w:val="auto"/>
                <w:kern w:val="0"/>
                <w:sz w:val="15"/>
                <w:szCs w:val="15"/>
                <w:highlight w:val="none"/>
              </w:rPr>
              <w:t>。</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相应变量系数：1.擅自改变公共绿地性质和用途的，系数5-9；主动改正违法行为或者减轻违法后果的，系数1-4。2.改变其它绿地的，系数1-4；3.存在其它情节严重或者社会影响恶劣的情形，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罚款数额＝面积×300×（1＋变量系数）</w:t>
            </w:r>
          </w:p>
        </w:tc>
        <w:tc>
          <w:tcPr>
            <w:tcW w:w="2385" w:type="dxa"/>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b/>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未按规定移植树木</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违反条款：第五十八条第一款；处罚条款：第六十九条 责令限期改正；无法改正的，责令在规定地点补种移植株数5倍的树木，并可以处所移植树木价值3至5倍的罚款。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按照《基准》的规定执行</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罚款数额＝树木价值×（3＋</w:t>
            </w:r>
            <w:r>
              <w:rPr>
                <w:rFonts w:hint="eastAsia" w:cs="宋体" w:asciiTheme="minorEastAsia" w:hAnsiTheme="minorEastAsia" w:eastAsiaTheme="minorEastAsia"/>
                <w:color w:val="auto"/>
                <w:kern w:val="0"/>
                <w:sz w:val="15"/>
                <w:szCs w:val="15"/>
                <w:highlight w:val="none"/>
                <w:lang w:eastAsia="zh-CN"/>
              </w:rPr>
              <w:t>常量系数＋区域系数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5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未按规定砍伐树木</w:t>
            </w:r>
          </w:p>
        </w:tc>
        <w:tc>
          <w:tcPr>
            <w:tcW w:w="2789" w:type="dxa"/>
            <w:shd w:val="clear" w:color="auto" w:fill="auto"/>
            <w:vAlign w:val="center"/>
          </w:tcPr>
          <w:p>
            <w:pPr>
              <w:spacing w:line="232"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违反条款：第五十九条第一款第（一）、（二）、（三）、（四）项；处罚条款：第七十条 ：责令停止违法行为，并在规定地点补种砍伐株数10倍的树木，处所砍伐树木价值5至10倍的罚款。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存在以下情节的，增加变量系数：违反规定截除（擅自砍伐）第五十九条第一款四种情形之外树木主干、去除树冠的，系数 1-5。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罚款数额＝树木价值×（5＋</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1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违反规定截除树木主干、去除树冠</w:t>
            </w:r>
          </w:p>
        </w:tc>
        <w:tc>
          <w:tcPr>
            <w:tcW w:w="2789" w:type="dxa"/>
            <w:shd w:val="clear" w:color="auto" w:fill="auto"/>
            <w:vAlign w:val="center"/>
          </w:tcPr>
          <w:p>
            <w:pPr>
              <w:spacing w:line="25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w:t>
            </w:r>
            <w:r>
              <w:rPr>
                <w:rFonts w:cs="宋体" w:asciiTheme="minorEastAsia" w:hAnsiTheme="minorEastAsia" w:eastAsiaTheme="minorEastAsia"/>
                <w:color w:val="auto"/>
                <w:kern w:val="0"/>
                <w:sz w:val="15"/>
                <w:szCs w:val="15"/>
                <w:highlight w:val="none"/>
              </w:rPr>
              <w:t>条款：</w:t>
            </w:r>
            <w:r>
              <w:rPr>
                <w:rFonts w:hint="eastAsia" w:cs="宋体" w:asciiTheme="minorEastAsia" w:hAnsiTheme="minorEastAsia" w:eastAsiaTheme="minorEastAsia"/>
                <w:color w:val="auto"/>
                <w:kern w:val="0"/>
                <w:sz w:val="15"/>
                <w:szCs w:val="15"/>
                <w:highlight w:val="none"/>
              </w:rPr>
              <w:t>第五十条第（六）项；</w:t>
            </w:r>
          </w:p>
          <w:p>
            <w:pPr>
              <w:spacing w:line="25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w:t>
            </w:r>
            <w:r>
              <w:rPr>
                <w:rFonts w:cs="宋体" w:asciiTheme="minorEastAsia" w:hAnsiTheme="minorEastAsia" w:eastAsiaTheme="minorEastAsia"/>
                <w:color w:val="auto"/>
                <w:kern w:val="0"/>
                <w:sz w:val="15"/>
                <w:szCs w:val="15"/>
                <w:highlight w:val="none"/>
              </w:rPr>
              <w:t>条款：</w:t>
            </w:r>
            <w:r>
              <w:rPr>
                <w:rFonts w:hint="eastAsia" w:cs="宋体" w:asciiTheme="minorEastAsia" w:hAnsiTheme="minorEastAsia" w:eastAsiaTheme="minorEastAsia"/>
                <w:color w:val="auto"/>
                <w:kern w:val="0"/>
                <w:sz w:val="15"/>
                <w:szCs w:val="15"/>
                <w:highlight w:val="none"/>
              </w:rPr>
              <w:t>第七十条第一款、第二款  责令停止违法行为，并在规定地点补种砍伐株数10倍的树木，处所砍伐树木价值5至10倍的罚款。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存在以下情节的，增加变量系数：违反规定截除（擅自砍伐）第五十九条第一款四种情形之外树木主干、去除树冠的，系数 1-5。</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罚款数额＝树木价值×（5＋</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4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未经许可临时占用绿地</w:t>
            </w:r>
          </w:p>
        </w:tc>
        <w:tc>
          <w:tcPr>
            <w:tcW w:w="2789"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违反条款：第六十条；</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处罚条款：第六十八条 责令限期改正、恢复原状，并按照改变的面积处每平方米300元以上3000元以下罚款。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存在以下情节的，增加相应变量系数:1.临时占用公共绿地的，系数5-9；主动改正违法行为或者减轻违法后果的，系数1-4。2.临时占用其它绿地的，系数1-4；3.存在其它情节严重或者社会影响恶劣的情形，系数5-9。</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罚款数额＝面积×300×（1 +变量系数）</w:t>
            </w:r>
          </w:p>
        </w:tc>
        <w:tc>
          <w:tcPr>
            <w:tcW w:w="2385" w:type="dxa"/>
            <w:shd w:val="clear" w:color="auto" w:fill="auto"/>
            <w:vAlign w:val="center"/>
          </w:tcPr>
          <w:p>
            <w:pPr>
              <w:spacing w:line="212" w:lineRule="exact"/>
              <w:rPr>
                <w:rFonts w:cs="宋体" w:asciiTheme="minorEastAsia" w:hAnsiTheme="minorEastAsia" w:eastAsiaTheme="minorEastAsia"/>
                <w:b/>
                <w:color w:val="auto"/>
                <w:kern w:val="0"/>
                <w:sz w:val="15"/>
                <w:szCs w:val="15"/>
                <w:highlight w:val="none"/>
              </w:rPr>
            </w:pPr>
          </w:p>
        </w:tc>
        <w:tc>
          <w:tcPr>
            <w:tcW w:w="824"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2" w:lineRule="exact"/>
              <w:jc w:val="center"/>
              <w:rPr>
                <w:rFonts w:cs="宋体" w:asciiTheme="minorEastAsia" w:hAnsiTheme="minorEastAsia" w:eastAsiaTheme="minorEastAsia"/>
                <w:b/>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未将代征绿地交绿化主管部门组织绿化</w:t>
            </w:r>
          </w:p>
        </w:tc>
        <w:tc>
          <w:tcPr>
            <w:tcW w:w="2789"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处罚条款：第七十一条 责令限期交回，并处每日每平方米0.5元的罚款。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按规定计算罚款额度。</w:t>
            </w:r>
          </w:p>
        </w:tc>
        <w:tc>
          <w:tcPr>
            <w:tcW w:w="824"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1"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3" w:name="_Toc110851468"/>
            <w:bookmarkStart w:id="104" w:name="_Toc177791596"/>
            <w:bookmarkStart w:id="105" w:name="_Toc675066993"/>
            <w:r>
              <w:rPr>
                <w:rFonts w:hint="eastAsia" w:asciiTheme="minorEastAsia" w:hAnsiTheme="minorEastAsia" w:eastAsiaTheme="minorEastAsia"/>
                <w:color w:val="auto"/>
                <w:sz w:val="21"/>
                <w:szCs w:val="21"/>
                <w:highlight w:val="none"/>
              </w:rPr>
              <w:t>《北京市物业</w:t>
            </w:r>
            <w:r>
              <w:rPr>
                <w:rFonts w:asciiTheme="minorEastAsia" w:hAnsiTheme="minorEastAsia" w:eastAsiaTheme="minorEastAsia"/>
                <w:color w:val="auto"/>
                <w:sz w:val="21"/>
                <w:szCs w:val="21"/>
                <w:highlight w:val="none"/>
              </w:rPr>
              <w:t>管理条例</w:t>
            </w:r>
            <w:r>
              <w:rPr>
                <w:rFonts w:hint="eastAsia" w:asciiTheme="minorEastAsia" w:hAnsiTheme="minorEastAsia" w:eastAsiaTheme="minorEastAsia"/>
                <w:color w:val="auto"/>
                <w:sz w:val="21"/>
                <w:szCs w:val="21"/>
                <w:highlight w:val="none"/>
              </w:rPr>
              <w:t>》案由1项</w:t>
            </w:r>
            <w:bookmarkEnd w:id="103"/>
            <w:bookmarkEnd w:id="104"/>
            <w:bookmarkEnd w:id="10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59"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侵占绿地、毁坏绿化植物和绿化设施</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违反条款：第七十八条第二款第(九)项。</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处罚条款：第九十八条第（九）项，责令改正，拒不改正的，处五百元以上五千元以下的罚款。</w:t>
            </w:r>
          </w:p>
        </w:tc>
        <w:tc>
          <w:tcPr>
            <w:tcW w:w="851" w:type="dxa"/>
            <w:shd w:val="clear" w:color="auto" w:fill="auto"/>
            <w:vAlign w:val="center"/>
          </w:tcPr>
          <w:p>
            <w:pPr>
              <w:spacing w:line="212" w:lineRule="exact"/>
              <w:ind w:firstLine="225" w:firstLineChars="150"/>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造成绿化</w:t>
            </w:r>
            <w:r>
              <w:rPr>
                <w:rFonts w:asciiTheme="minorEastAsia" w:hAnsiTheme="minorEastAsia" w:eastAsiaTheme="minorEastAsia"/>
                <w:color w:val="auto"/>
                <w:sz w:val="15"/>
                <w:szCs w:val="15"/>
                <w:highlight w:val="none"/>
              </w:rPr>
              <w:t>植物</w:t>
            </w:r>
            <w:r>
              <w:rPr>
                <w:rFonts w:hint="eastAsia" w:asciiTheme="minorEastAsia" w:hAnsiTheme="minorEastAsia" w:eastAsiaTheme="minorEastAsia"/>
                <w:color w:val="auto"/>
                <w:sz w:val="15"/>
                <w:szCs w:val="15"/>
                <w:highlight w:val="none"/>
              </w:rPr>
              <w:t>、绿地或绿化设施损毁严重的，系数9。</w:t>
            </w:r>
          </w:p>
        </w:tc>
        <w:tc>
          <w:tcPr>
            <w:tcW w:w="17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1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经责令改正后，当事人主动改正违法行为，不予处罚</w:t>
            </w:r>
            <w:r>
              <w:rPr>
                <w:rFonts w:hint="eastAsia" w:asciiTheme="minorEastAsia" w:hAnsiTheme="minorEastAsia" w:eastAsiaTheme="minorEastAsia"/>
                <w:strike w:val="0"/>
                <w:dstrike w:val="0"/>
                <w:color w:val="auto"/>
                <w:sz w:val="15"/>
                <w:szCs w:val="15"/>
                <w:highlight w:val="none"/>
                <w:lang w:eastAsia="zh-CN"/>
              </w:rPr>
              <w:t>。</w:t>
            </w:r>
          </w:p>
        </w:tc>
        <w:tc>
          <w:tcPr>
            <w:tcW w:w="824"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0"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6" w:name="_Toc110851469"/>
            <w:bookmarkStart w:id="107" w:name="_Toc1576301640"/>
            <w:bookmarkStart w:id="108" w:name="_Toc677187225"/>
            <w:r>
              <w:rPr>
                <w:rFonts w:hint="eastAsia" w:asciiTheme="minorEastAsia" w:hAnsiTheme="minorEastAsia" w:eastAsiaTheme="minorEastAsia"/>
                <w:color w:val="auto"/>
                <w:sz w:val="21"/>
                <w:szCs w:val="21"/>
                <w:highlight w:val="none"/>
              </w:rPr>
              <w:t>《北京市古树名木保护管理条例》案由11项</w:t>
            </w:r>
            <w:bookmarkEnd w:id="106"/>
            <w:bookmarkEnd w:id="107"/>
            <w:bookmarkEnd w:id="10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4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对古树名木刻划钉钉（缠绕绳索、攀树折枝、剥损树皮）</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违反条款：第十二条第（一）项；</w:t>
            </w:r>
          </w:p>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处罚条款：第十九条第一款第（一）项、第（二）项、第（三）项（根据损害情况选择条款）责令改正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 xml:space="preserve"> 对古树名木损害较轻的，每株处以200元至1000元罚款；损害枝干或者根系的，处以损失额1倍至2倍的罚款；造成死亡的，处以损失额2倍至3倍罚款。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损害一级古树或者具有特殊历史价值和特别珍贵名木的，系数为2。</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适用损害较轻情形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06"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1.损害一级古树或者具有特殊历史价值和特别珍贵名木的，系数为1；2.造成古树名木树干皮层损伤部分超过树干周长50%，受伤根系超过全部根系40%，主枝损伤超过树冠50%的，系数1。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适用损害枝干或者根系情形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4"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9"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借用古树名木树干做支撑物</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违反条款：第十二条第（二）项；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处罚条款：第十九条第一款第（一）项、第（二）项、第（三）项（根据损害情况选择条款） 对古树名木损害较轻的，每株处以200元至1000元罚款；损害枝干或者根系的，处以损失额1倍至2倍的罚款；造成死亡的，处以损失额2倍至3倍罚款。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损害一级古树或者具有特殊历史价值和特别珍贵名木的，系数为2。</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适用损害较轻情形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4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1.损害一级古树或者具有特殊历史价值和特别珍贵名木的，系数为1；2.造成古树名木树干皮层损伤部分超过树干周长50%，受伤根系超过全部根系40%，主枝损伤超过树冠50%的，系数1。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适用损害枝干或者根系情形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擅自采摘古树名木果实</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违反条款：第十二条第（三）项；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处罚条款：第十九条第一款第（一）项、第（二）项、第（三）项（根据损害情况选择条款）责令改正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 xml:space="preserve"> 对古树名木损害较轻的，每株处以200元至1000元罚款；损害枝干或者根系的，处以损失额1倍至2倍的罚款；造成死亡的，处以损失额2倍至3倍罚款。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损害一级古树或者具有特殊历史价值和特别珍贵名木的，系数为2。</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适用损害较轻情形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71"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1.损害一级古树或者具有特殊历史价值和特别珍贵名木的，系数为1；2.造成古树名木树干皮层损伤部分超过树干周长50%，受伤根系超过全部根系40%，主枝损伤超过树冠50%的，系数1。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适用损害枝干或者根系情形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50"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8"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在划定的范围内挖坑取土（动用明火、排放烟气、倾倒污水污物、堆放物料、修建建筑物构筑物）</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违反条款：第十二条第（四）项；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处罚条款：第十九条第一款第（一）项、第（二）项、第（三）项（根据损害情况选择条款）责令改正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对古树名木损害较轻的，每株处以200元至1000元罚款；损害枝干或者根系的，处以损失额1倍至2倍的罚款；造成死亡的，处以损失额2倍至3倍罚款。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损害一级古树或者具有特殊历史价值和特别珍贵名木的，系数为2。</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适用损害较轻情形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76"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1.损害一级古树或者具有特殊历史价值和特别珍贵名木的，系数为1；2.造成古树名木树干皮层损伤部分超过树干周长50%，受伤根系超过全部根系40%，主枝损伤超过树冠50%的，系数1。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适用损害枝干或者根系情形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49"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0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擅自移植古树名木</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违反条款：第十二条第（五）项、第十五条第二款；处罚条款：第二十二条 处以损失额1倍至2倍的罚款；造成死亡的，处以损失额2倍至3倍罚款。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1.擅自移植一级古树或者具有特殊历史价值和特别珍贵名木的，系数为1；2.造成古树名木树干皮层损伤部分超过树干周长50%，受伤根系超过全部根系40%，主枝损伤超过树冠50%的，系数1。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8"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罚款数额＝损失额×（2＋</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适用造成古树名木死亡情形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擅自砍伐古树名木</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违反条款：第十二条第（六）项；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 处以损失额3倍至5倍罚款。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1.擅自砍伐一级古树或者具有特殊历史价值和特别珍贵名木的，系数为1；2.造成古树名木死亡的，系数为1。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罚款数额＝损失额×（3＋</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损坏古树名木标志及附属设施</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违反条款：第六条；处罚条款：第十七条 责令恢复原貌，赔偿损失，并可处损失额1倍以下的罚款。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损失额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按照规定的执行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33"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未按规定养护管理古树名木</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违反条款：第十一条第一款；处罚条款：第十八条第一款 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造成损伤的，每株处以500至2000元罚款；造成死亡的，每株处1万元至5万元罚款。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损伤一级古树或者具有特殊历史价值和特别珍贵名木的，系数为2。</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0"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造成一级古树或者具有特殊历史价值和特别珍贵名木死亡的，系数为2。</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未按要求对古树名木治理、复壮</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违反条款：第十一条第二款；处罚条款：第十八条第一款 责令改正</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造成损伤的，每株处以500至2000元罚款；造成死亡的，每株处1万元至5万元罚款。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损伤一级古树或者具有特殊历史价值和特别珍贵名木的，系数为2。</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3" w:hRule="atLeast"/>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造成一级古树或者具有特殊历史价值和特别珍贵名木死亡的，系数为2。</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w:t>
            </w:r>
            <w:r>
              <w:rPr>
                <w:rFonts w:hint="eastAsia" w:cs="仿宋_GB2312" w:asciiTheme="minorEastAsia" w:hAnsiTheme="minorEastAsia" w:eastAsiaTheme="minorEastAsia"/>
                <w:color w:val="auto"/>
                <w:kern w:val="0"/>
                <w:sz w:val="15"/>
                <w:szCs w:val="15"/>
                <w:highlight w:val="none"/>
              </w:rPr>
              <w:t>为株数。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适用造成死亡情形</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擅自处理死亡古树名木</w:t>
            </w:r>
          </w:p>
        </w:tc>
        <w:tc>
          <w:tcPr>
            <w:tcW w:w="2789"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违反条款：第十一条第三款；</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处罚条款：第十八条第二款 每株处以2000元至1万元罚款。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pStyle w:val="7"/>
              <w:spacing w:line="212" w:lineRule="exact"/>
              <w:jc w:val="both"/>
              <w:rPr>
                <w:rFonts w:hint="default"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擅自处理死亡一级古树的，变量系数4；二级古树的，变量系数3</w:t>
            </w:r>
            <w:r>
              <w:rPr>
                <w:rFonts w:hint="eastAsia" w:cs="宋体" w:asciiTheme="minorEastAsia" w:hAnsiTheme="minorEastAsia" w:eastAsiaTheme="minorEastAsia"/>
                <w:color w:val="auto"/>
                <w:kern w:val="0"/>
                <w:sz w:val="15"/>
                <w:szCs w:val="15"/>
                <w:highlight w:val="none"/>
                <w:lang w:eastAsia="zh-CN"/>
              </w:rPr>
              <w:t>。</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＋变量系数）×N。N为株数。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8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建设施工未按规定对古树名木</w:t>
            </w:r>
            <w:r>
              <w:rPr>
                <w:rFonts w:cs="宋体" w:asciiTheme="minorEastAsia" w:hAnsiTheme="minorEastAsia" w:eastAsiaTheme="minorEastAsia"/>
                <w:color w:val="auto"/>
                <w:kern w:val="0"/>
                <w:sz w:val="15"/>
                <w:szCs w:val="15"/>
                <w:highlight w:val="none"/>
              </w:rPr>
              <w:t>采取避让保护措施</w:t>
            </w:r>
          </w:p>
        </w:tc>
        <w:tc>
          <w:tcPr>
            <w:tcW w:w="2789" w:type="dxa"/>
            <w:shd w:val="clear" w:color="auto" w:fill="auto"/>
            <w:vAlign w:val="center"/>
          </w:tcPr>
          <w:p>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处罚条款：第二十一条 责令停止施工。造成古树名木损害的，依照本条例有关规定处理。</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6"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9" w:name="_Toc110851470"/>
            <w:bookmarkStart w:id="110" w:name="_Toc465734653"/>
            <w:bookmarkStart w:id="111" w:name="_Toc1179814324"/>
            <w:r>
              <w:rPr>
                <w:rFonts w:hint="eastAsia" w:asciiTheme="minorEastAsia" w:hAnsiTheme="minorEastAsia" w:eastAsiaTheme="minorEastAsia"/>
                <w:color w:val="auto"/>
                <w:sz w:val="21"/>
                <w:szCs w:val="21"/>
                <w:highlight w:val="none"/>
              </w:rPr>
              <w:t>《北京市公园条例》案由</w:t>
            </w:r>
            <w:r>
              <w:rPr>
                <w:rFonts w:asciiTheme="minorEastAsia" w:hAnsiTheme="minorEastAsia" w:eastAsiaTheme="minorEastAsia"/>
                <w:color w:val="auto"/>
                <w:sz w:val="21"/>
                <w:szCs w:val="21"/>
                <w:highlight w:val="none"/>
              </w:rPr>
              <w:t xml:space="preserve"> 18</w:t>
            </w:r>
            <w:r>
              <w:rPr>
                <w:rFonts w:hint="eastAsia" w:asciiTheme="minorEastAsia" w:hAnsiTheme="minorEastAsia" w:eastAsiaTheme="minorEastAsia"/>
                <w:color w:val="auto"/>
                <w:sz w:val="21"/>
                <w:szCs w:val="21"/>
                <w:highlight w:val="none"/>
              </w:rPr>
              <w:t>项</w:t>
            </w:r>
            <w:bookmarkEnd w:id="109"/>
            <w:bookmarkEnd w:id="110"/>
            <w:bookmarkEnd w:id="11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翻越围墙、栏杆、绿篱</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第四十六条</w:t>
            </w:r>
            <w:r>
              <w:rPr>
                <w:rFonts w:hint="eastAsia" w:cs="宋体" w:asciiTheme="minorEastAsia" w:hAnsiTheme="minorEastAsia" w:eastAsiaTheme="minorEastAsia"/>
                <w:color w:val="auto"/>
                <w:kern w:val="0"/>
                <w:sz w:val="15"/>
                <w:szCs w:val="15"/>
                <w:highlight w:val="none"/>
              </w:rPr>
              <w:t>第（一）项；处罚条款：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第一款第（一）项 </w:t>
            </w:r>
            <w:r>
              <w:rPr>
                <w:rFonts w:cs="宋体" w:asciiTheme="minorEastAsia" w:hAnsiTheme="minorEastAsia" w:eastAsiaTheme="minorEastAsia"/>
                <w:color w:val="auto"/>
                <w:kern w:val="0"/>
                <w:sz w:val="15"/>
                <w:szCs w:val="15"/>
                <w:highlight w:val="none"/>
              </w:rPr>
              <w:t>责令改正，并可以处20元以上50元以下罚款</w:t>
            </w:r>
            <w:r>
              <w:rPr>
                <w:rFonts w:hint="eastAsia" w:cs="宋体" w:asciiTheme="minorEastAsia" w:hAnsiTheme="minorEastAsia" w:eastAsiaTheme="minorEastAsia"/>
                <w:color w:val="auto"/>
                <w:kern w:val="0"/>
                <w:sz w:val="15"/>
                <w:szCs w:val="15"/>
                <w:highlight w:val="none"/>
              </w:rPr>
              <w:t>。</w:t>
            </w:r>
          </w:p>
        </w:tc>
        <w:tc>
          <w:tcPr>
            <w:tcW w:w="851"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vMerge w:val="restart"/>
            <w:shd w:val="clear" w:color="auto" w:fill="auto"/>
            <w:vAlign w:val="center"/>
          </w:tcPr>
          <w:p>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restart"/>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tcBorders>
              <w:bottom w:val="single" w:color="auto" w:sz="4" w:space="0"/>
            </w:tcBorders>
            <w:shd w:val="clear" w:color="auto" w:fill="auto"/>
            <w:vAlign w:val="center"/>
          </w:tcPr>
          <w:p>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在禁烟区吸烟</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在非游泳区游泳，在非滑冰区滑冰，在非钓鱼区钓鱼，在非体育运动场所踢球、滑旱冰</w:t>
            </w:r>
            <w:r>
              <w:rPr>
                <w:rFonts w:hint="eastAsia" w:cs="宋体" w:asciiTheme="minorEastAsia" w:hAnsiTheme="minorEastAsia" w:eastAsiaTheme="minorEastAsia"/>
                <w:color w:val="auto"/>
                <w:kern w:val="0"/>
                <w:sz w:val="15"/>
                <w:szCs w:val="15"/>
                <w:highlight w:val="none"/>
              </w:rPr>
              <w:t>）</w:t>
            </w: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vMerge w:val="continue"/>
            <w:shd w:val="clear" w:color="auto" w:fill="auto"/>
            <w:vAlign w:val="center"/>
          </w:tcPr>
          <w:p>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tcBorders>
              <w:bottom w:val="single" w:color="auto" w:sz="4" w:space="0"/>
            </w:tcBorders>
            <w:shd w:val="clear" w:color="auto" w:fill="auto"/>
            <w:vAlign w:val="center"/>
          </w:tcPr>
          <w:p>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随地吐痰、便溺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乱丢果皮等废弃物</w:t>
            </w:r>
            <w:r>
              <w:rPr>
                <w:rFonts w:hint="eastAsia" w:cs="宋体" w:asciiTheme="minorEastAsia" w:hAnsiTheme="minorEastAsia" w:eastAsiaTheme="minorEastAsia"/>
                <w:color w:val="auto"/>
                <w:kern w:val="0"/>
                <w:sz w:val="15"/>
                <w:szCs w:val="15"/>
                <w:highlight w:val="none"/>
              </w:rPr>
              <w:t>）</w:t>
            </w:r>
          </w:p>
        </w:tc>
        <w:tc>
          <w:tcPr>
            <w:tcW w:w="2789" w:type="dxa"/>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pPr>
              <w:spacing w:line="212"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785" w:type="dxa"/>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385" w:type="dxa"/>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824" w:type="dxa"/>
            <w:tcBorders>
              <w:bottom w:val="single" w:color="auto" w:sz="4" w:space="0"/>
            </w:tcBorders>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6"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营火、烧烤</w:t>
            </w:r>
          </w:p>
        </w:tc>
        <w:tc>
          <w:tcPr>
            <w:tcW w:w="2789"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第四十六条</w:t>
            </w:r>
            <w:r>
              <w:rPr>
                <w:rFonts w:hint="eastAsia" w:cs="宋体" w:asciiTheme="minorEastAsia" w:hAnsiTheme="minorEastAsia" w:eastAsiaTheme="minorEastAsia"/>
                <w:color w:val="auto"/>
                <w:kern w:val="0"/>
                <w:sz w:val="15"/>
                <w:szCs w:val="15"/>
                <w:highlight w:val="none"/>
              </w:rPr>
              <w:t>第（二）项；处罚条款：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第一款第（二）项 </w:t>
            </w:r>
            <w:r>
              <w:rPr>
                <w:rFonts w:cs="宋体" w:asciiTheme="minorEastAsia" w:hAnsiTheme="minorEastAsia" w:eastAsiaTheme="minorEastAsia"/>
                <w:color w:val="auto"/>
                <w:kern w:val="0"/>
                <w:sz w:val="15"/>
                <w:szCs w:val="15"/>
                <w:highlight w:val="none"/>
              </w:rPr>
              <w:t>责令改正，并可以处50元以上100元以下罚款</w:t>
            </w:r>
            <w:r>
              <w:rPr>
                <w:rFonts w:hint="eastAsia" w:cs="宋体" w:asciiTheme="minorEastAsia" w:hAnsiTheme="minorEastAsia" w:eastAsiaTheme="minorEastAsia"/>
                <w:color w:val="auto"/>
                <w:kern w:val="0"/>
                <w:sz w:val="15"/>
                <w:szCs w:val="15"/>
                <w:highlight w:val="none"/>
              </w:rPr>
              <w:t>。</w:t>
            </w:r>
          </w:p>
        </w:tc>
        <w:tc>
          <w:tcPr>
            <w:tcW w:w="851" w:type="dxa"/>
            <w:vMerge w:val="restart"/>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vMerge w:val="restart"/>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spacing w:line="20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按照《基准》规定的执行</w:t>
            </w:r>
            <w:r>
              <w:rPr>
                <w:rFonts w:hint="eastAsia" w:cs="宋体" w:asciiTheme="minorEastAsia" w:hAnsiTheme="minorEastAsia" w:eastAsiaTheme="minorEastAsia"/>
                <w:color w:val="auto"/>
                <w:kern w:val="0"/>
                <w:sz w:val="15"/>
                <w:szCs w:val="15"/>
                <w:highlight w:val="none"/>
                <w:lang w:eastAsia="zh-CN"/>
              </w:rPr>
              <w:t>。</w:t>
            </w:r>
          </w:p>
        </w:tc>
        <w:tc>
          <w:tcPr>
            <w:tcW w:w="1785"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9"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捕捞、捕捉动物</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采挖植物，恐吓、投打、伤害动物</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在非投喂区投喂动物</w:t>
            </w:r>
            <w:r>
              <w:rPr>
                <w:rFonts w:hint="eastAsia" w:cs="宋体" w:asciiTheme="minorEastAsia" w:hAnsiTheme="minorEastAsia" w:eastAsiaTheme="minorEastAsia"/>
                <w:color w:val="auto"/>
                <w:kern w:val="0"/>
                <w:sz w:val="15"/>
                <w:szCs w:val="15"/>
                <w:highlight w:val="none"/>
              </w:rPr>
              <w:t>）</w:t>
            </w:r>
          </w:p>
        </w:tc>
        <w:tc>
          <w:tcPr>
            <w:tcW w:w="2789"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785"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385"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24" w:type="dxa"/>
            <w:tcBorders>
              <w:bottom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1"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在建筑物、构筑物、设施、树木上涂写、刻划</w:t>
            </w:r>
            <w:r>
              <w:rPr>
                <w:rFonts w:hint="eastAsia" w:cs="宋体" w:asciiTheme="minorEastAsia" w:hAnsiTheme="minorEastAsia" w:eastAsiaTheme="minorEastAsia"/>
                <w:color w:val="auto"/>
                <w:kern w:val="0"/>
                <w:sz w:val="15"/>
                <w:szCs w:val="15"/>
                <w:highlight w:val="none"/>
              </w:rPr>
              <w:t xml:space="preserve"> </w:t>
            </w:r>
          </w:p>
        </w:tc>
        <w:tc>
          <w:tcPr>
            <w:tcW w:w="2789"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w:t>
            </w:r>
            <w:r>
              <w:rPr>
                <w:rFonts w:hint="eastAsia" w:cs="宋体" w:asciiTheme="minorEastAsia" w:hAnsiTheme="minorEastAsia" w:eastAsiaTheme="minorEastAsia"/>
                <w:color w:val="auto"/>
                <w:kern w:val="0"/>
                <w:sz w:val="15"/>
                <w:szCs w:val="15"/>
                <w:highlight w:val="none"/>
              </w:rPr>
              <w:t>第（三）项；处罚条款：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第一款第（三）项 </w:t>
            </w:r>
            <w:r>
              <w:rPr>
                <w:rFonts w:cs="宋体" w:asciiTheme="minorEastAsia" w:hAnsiTheme="minorEastAsia" w:eastAsiaTheme="minorEastAsia"/>
                <w:color w:val="auto"/>
                <w:kern w:val="0"/>
                <w:sz w:val="15"/>
                <w:szCs w:val="15"/>
                <w:highlight w:val="none"/>
              </w:rPr>
              <w:t>给予警告，并处5元以上50元以下罚款</w:t>
            </w:r>
          </w:p>
        </w:tc>
        <w:tc>
          <w:tcPr>
            <w:tcW w:w="851"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40" w:type="dxa"/>
            <w:vMerge w:val="restart"/>
            <w:shd w:val="clear" w:color="auto" w:fill="auto"/>
            <w:vAlign w:val="center"/>
          </w:tcPr>
          <w:p>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 </w:t>
            </w:r>
          </w:p>
        </w:tc>
        <w:tc>
          <w:tcPr>
            <w:tcW w:w="1785"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385" w:type="dxa"/>
            <w:vMerge w:val="restart"/>
            <w:shd w:val="clear" w:color="auto" w:fill="auto"/>
            <w:vAlign w:val="center"/>
          </w:tcPr>
          <w:p>
            <w:pPr>
              <w:spacing w:line="20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0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6"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攀折花木</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损坏草坪、树木</w:t>
            </w:r>
            <w:r>
              <w:rPr>
                <w:rFonts w:hint="eastAsia" w:cs="宋体" w:asciiTheme="minorEastAsia" w:hAnsiTheme="minorEastAsia" w:eastAsiaTheme="minorEastAsia"/>
                <w:color w:val="auto"/>
                <w:kern w:val="0"/>
                <w:sz w:val="15"/>
                <w:szCs w:val="15"/>
                <w:highlight w:val="none"/>
              </w:rPr>
              <w:t>）</w:t>
            </w:r>
          </w:p>
        </w:tc>
        <w:tc>
          <w:tcPr>
            <w:tcW w:w="2789"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2304"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785"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2385"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24" w:type="dxa"/>
            <w:tcBorders>
              <w:bottom w:val="single" w:color="auto" w:sz="4" w:space="0"/>
            </w:tcBorders>
            <w:shd w:val="clear" w:color="auto" w:fill="auto"/>
            <w:vAlign w:val="center"/>
          </w:tcPr>
          <w:p>
            <w:pPr>
              <w:spacing w:line="20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2"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擅自改变公园的功能</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第（一）项 责令限期改正，恢复原功能，并可以处1万元以上10万元以下罚款。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1.改变</w:t>
            </w:r>
            <w:r>
              <w:rPr>
                <w:rFonts w:cs="宋体" w:asciiTheme="minorEastAsia" w:hAnsiTheme="minorEastAsia" w:eastAsiaTheme="minorEastAsia"/>
                <w:color w:val="auto"/>
                <w:kern w:val="0"/>
                <w:sz w:val="15"/>
                <w:szCs w:val="15"/>
                <w:highlight w:val="none"/>
              </w:rPr>
              <w:t>市主要公园</w:t>
            </w:r>
            <w:r>
              <w:rPr>
                <w:rFonts w:hint="eastAsia" w:cs="宋体" w:asciiTheme="minorEastAsia" w:hAnsiTheme="minorEastAsia" w:eastAsiaTheme="minorEastAsia"/>
                <w:color w:val="auto"/>
                <w:kern w:val="0"/>
                <w:sz w:val="15"/>
                <w:szCs w:val="15"/>
                <w:highlight w:val="none"/>
              </w:rPr>
              <w:t>功能</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c>
          <w:tcPr>
            <w:tcW w:w="824" w:type="dxa"/>
            <w:shd w:val="clear" w:color="auto" w:fill="auto"/>
            <w:vAlign w:val="center"/>
          </w:tcPr>
          <w:p>
            <w:pPr>
              <w:spacing w:line="20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2" w:hRule="atLeast"/>
          <w:jc w:val="center"/>
        </w:trPr>
        <w:tc>
          <w:tcPr>
            <w:tcW w:w="9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侵占公园用地</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第（二）项 责令立即腾退，恢复原状，并可以按照侵占面积每平方米处300元罚款。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罚款数额＝侵占面积×300元。</w:t>
            </w:r>
          </w:p>
        </w:tc>
        <w:tc>
          <w:tcPr>
            <w:tcW w:w="2385"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0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公园未经验收交付使用</w:t>
            </w:r>
          </w:p>
        </w:tc>
        <w:tc>
          <w:tcPr>
            <w:tcW w:w="2789"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十八</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二</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，责令改正，并可以处1万元以上10万元以下罚款。</w:t>
            </w:r>
          </w:p>
        </w:tc>
        <w:tc>
          <w:tcPr>
            <w:tcW w:w="851"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1.公园建设工程已经完工，具备开园条件，但未经验收交付使用的，系数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-4；2.公园建设工程尚未完全完工，且未经验收交付使用的，系数5-9。</w:t>
            </w:r>
          </w:p>
        </w:tc>
        <w:tc>
          <w:tcPr>
            <w:tcW w:w="1785"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在历史名园保护区内建设影响原有风貌和格局的建筑物、构建物</w:t>
            </w:r>
          </w:p>
        </w:tc>
        <w:tc>
          <w:tcPr>
            <w:tcW w:w="2789"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二十九</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三</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 责令限期拆除，恢复原貌；对违法建设建筑物、构筑物的，并可以按照违法建筑物、构筑物的面积每平方米处300元以上3000元以下罚款。</w:t>
            </w:r>
          </w:p>
        </w:tc>
        <w:tc>
          <w:tcPr>
            <w:tcW w:w="851"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1.面积500平方米以下（不含</w:t>
            </w:r>
            <w:r>
              <w:rPr>
                <w:rFonts w:cs="宋体" w:asciiTheme="minorEastAsia" w:hAnsiTheme="minorEastAsia" w:eastAsiaTheme="minorEastAsia"/>
                <w:color w:val="auto"/>
                <w:kern w:val="0"/>
                <w:sz w:val="15"/>
                <w:szCs w:val="15"/>
                <w:highlight w:val="none"/>
              </w:rPr>
              <w:t>本数</w:t>
            </w:r>
            <w:r>
              <w:rPr>
                <w:rFonts w:hint="eastAsia" w:cs="宋体" w:asciiTheme="minorEastAsia" w:hAnsiTheme="minorEastAsia" w:eastAsiaTheme="minorEastAsia"/>
                <w:color w:val="auto"/>
                <w:kern w:val="0"/>
                <w:sz w:val="15"/>
                <w:szCs w:val="15"/>
                <w:highlight w:val="none"/>
              </w:rPr>
              <w:t>）的，系数</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.违法建筑物、构筑物的面积500平方米以上不足1000平方米（不含</w:t>
            </w:r>
            <w:r>
              <w:rPr>
                <w:rFonts w:cs="宋体" w:asciiTheme="minorEastAsia" w:hAnsiTheme="minorEastAsia" w:eastAsiaTheme="minorEastAsia"/>
                <w:color w:val="auto"/>
                <w:kern w:val="0"/>
                <w:sz w:val="15"/>
                <w:szCs w:val="15"/>
                <w:highlight w:val="none"/>
              </w:rPr>
              <w:t>本数</w:t>
            </w:r>
            <w:r>
              <w:rPr>
                <w:rFonts w:hint="eastAsia" w:cs="宋体" w:asciiTheme="minorEastAsia" w:hAnsiTheme="minorEastAsia" w:eastAsiaTheme="minorEastAsia"/>
                <w:color w:val="auto"/>
                <w:kern w:val="0"/>
                <w:sz w:val="15"/>
                <w:szCs w:val="15"/>
                <w:highlight w:val="none"/>
              </w:rPr>
              <w:t>）的，系数4</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.违法建筑物、构筑物的面积1000平方米以上的，系数7-9。</w:t>
            </w:r>
          </w:p>
        </w:tc>
        <w:tc>
          <w:tcPr>
            <w:tcW w:w="1785"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＋变量系数）×面积。</w:t>
            </w:r>
          </w:p>
        </w:tc>
        <w:tc>
          <w:tcPr>
            <w:tcW w:w="2385"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对原有文物建筑及其附属物损毁、改建、拆除的，按照文物保护的法律、法规规定予以处罚和赔偿。</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5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擅自改变无法以人力再造和无法再生的自然景观</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 责令停止违法行为，并处1万元以上10万元以下罚款。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p>
            <w:pPr>
              <w:spacing w:line="240" w:lineRule="exact"/>
              <w:rPr>
                <w:rFonts w:cs="宋体" w:asciiTheme="minorEastAsia" w:hAnsiTheme="minorEastAsia" w:eastAsiaTheme="minorEastAsia"/>
                <w:color w:val="auto"/>
                <w:kern w:val="0"/>
                <w:sz w:val="15"/>
                <w:szCs w:val="15"/>
                <w:highlight w:val="none"/>
              </w:rPr>
            </w:pP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造成损失的，依法承担赔偿责任；构成犯罪的，依法追究刑事责任。</w:t>
            </w:r>
          </w:p>
        </w:tc>
        <w:tc>
          <w:tcPr>
            <w:tcW w:w="824"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擅自改变具有特殊历史文化价值的人文景观原有风貌和格局</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，责令停止违法行为，并处1万元以上10万元以下罚款。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公园管理机构未按照标准做好清扫保洁</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三十六</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第一款第</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六</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在公园内搭建棚舍、擅自摆摊设点</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三十七</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二</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5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在公园内随意堆放物料、拉绳挂物</w:t>
            </w:r>
          </w:p>
        </w:tc>
        <w:tc>
          <w:tcPr>
            <w:tcW w:w="2789" w:type="dxa"/>
            <w:shd w:val="clear" w:color="auto" w:fill="auto"/>
            <w:vAlign w:val="center"/>
          </w:tcPr>
          <w:p>
            <w:pPr>
              <w:spacing w:line="20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w:t>
            </w:r>
            <w:r>
              <w:rPr>
                <w:rFonts w:cs="宋体" w:asciiTheme="minorEastAsia" w:hAnsiTheme="minorEastAsia" w:eastAsiaTheme="minorEastAsia"/>
                <w:color w:val="auto"/>
                <w:spacing w:val="-4"/>
                <w:kern w:val="0"/>
                <w:sz w:val="15"/>
                <w:szCs w:val="15"/>
                <w:highlight w:val="none"/>
              </w:rPr>
              <w:t>第</w:t>
            </w:r>
            <w:r>
              <w:rPr>
                <w:rFonts w:hint="eastAsia" w:cs="宋体" w:asciiTheme="minorEastAsia" w:hAnsiTheme="minorEastAsia" w:eastAsiaTheme="minorEastAsia"/>
                <w:color w:val="auto"/>
                <w:spacing w:val="-4"/>
                <w:kern w:val="0"/>
                <w:sz w:val="15"/>
                <w:szCs w:val="15"/>
                <w:highlight w:val="none"/>
              </w:rPr>
              <w:t>三十七</w:t>
            </w:r>
            <w:r>
              <w:rPr>
                <w:rFonts w:cs="宋体" w:asciiTheme="minorEastAsia" w:hAnsiTheme="minorEastAsia" w:eastAsiaTheme="minorEastAsia"/>
                <w:color w:val="auto"/>
                <w:spacing w:val="-4"/>
                <w:kern w:val="0"/>
                <w:sz w:val="15"/>
                <w:szCs w:val="15"/>
                <w:highlight w:val="none"/>
              </w:rPr>
              <w:t>条</w:t>
            </w:r>
            <w:r>
              <w:rPr>
                <w:rFonts w:hint="eastAsia" w:cs="宋体" w:asciiTheme="minorEastAsia" w:hAnsiTheme="minorEastAsia" w:eastAsiaTheme="minorEastAsia"/>
                <w:color w:val="auto"/>
                <w:spacing w:val="-4"/>
                <w:kern w:val="0"/>
                <w:sz w:val="15"/>
                <w:szCs w:val="15"/>
                <w:highlight w:val="none"/>
              </w:rPr>
              <w:t>；处罚条款：</w:t>
            </w:r>
            <w:r>
              <w:rPr>
                <w:rFonts w:cs="宋体" w:asciiTheme="minorEastAsia" w:hAnsiTheme="minorEastAsia" w:eastAsiaTheme="minorEastAsia"/>
                <w:color w:val="auto"/>
                <w:spacing w:val="-4"/>
                <w:kern w:val="0"/>
                <w:sz w:val="15"/>
                <w:szCs w:val="15"/>
                <w:highlight w:val="none"/>
              </w:rPr>
              <w:t>第五十</w:t>
            </w:r>
            <w:r>
              <w:rPr>
                <w:rFonts w:hint="eastAsia" w:cs="宋体" w:asciiTheme="minorEastAsia" w:hAnsiTheme="minorEastAsia" w:eastAsiaTheme="minorEastAsia"/>
                <w:color w:val="auto"/>
                <w:spacing w:val="-4"/>
                <w:kern w:val="0"/>
                <w:sz w:val="15"/>
                <w:szCs w:val="15"/>
                <w:highlight w:val="none"/>
              </w:rPr>
              <w:t>五</w:t>
            </w:r>
            <w:r>
              <w:rPr>
                <w:rFonts w:cs="宋体" w:asciiTheme="minorEastAsia" w:hAnsiTheme="minorEastAsia" w:eastAsiaTheme="minorEastAsia"/>
                <w:color w:val="auto"/>
                <w:spacing w:val="-4"/>
                <w:kern w:val="0"/>
                <w:sz w:val="15"/>
                <w:szCs w:val="15"/>
                <w:highlight w:val="none"/>
              </w:rPr>
              <w:t>条第（</w:t>
            </w:r>
            <w:r>
              <w:rPr>
                <w:rFonts w:hint="eastAsia" w:cs="宋体" w:asciiTheme="minorEastAsia" w:hAnsiTheme="minorEastAsia" w:eastAsiaTheme="minorEastAsia"/>
                <w:color w:val="auto"/>
                <w:spacing w:val="-4"/>
                <w:kern w:val="0"/>
                <w:sz w:val="15"/>
                <w:szCs w:val="15"/>
                <w:highlight w:val="none"/>
              </w:rPr>
              <w:t>三</w:t>
            </w:r>
            <w:r>
              <w:rPr>
                <w:rFonts w:cs="宋体" w:asciiTheme="minorEastAsia" w:hAnsiTheme="minorEastAsia" w:eastAsiaTheme="minorEastAsia"/>
                <w:color w:val="auto"/>
                <w:spacing w:val="-4"/>
                <w:kern w:val="0"/>
                <w:sz w:val="15"/>
                <w:szCs w:val="15"/>
                <w:highlight w:val="none"/>
              </w:rPr>
              <w:t>）</w:t>
            </w:r>
            <w:r>
              <w:rPr>
                <w:rFonts w:hint="eastAsia" w:cs="宋体" w:asciiTheme="minorEastAsia" w:hAnsiTheme="minorEastAsia" w:eastAsiaTheme="minorEastAsia"/>
                <w:color w:val="auto"/>
                <w:spacing w:val="-4"/>
                <w:kern w:val="0"/>
                <w:sz w:val="15"/>
                <w:szCs w:val="15"/>
                <w:highlight w:val="none"/>
              </w:rPr>
              <w:t>项，责令改正，并可以处100元以上1000元以下罚款。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公园内牌示污损、丢失不及时更换或者补设</w:t>
            </w:r>
          </w:p>
        </w:tc>
        <w:tc>
          <w:tcPr>
            <w:tcW w:w="2789"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三十八</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在公园内追逐游客强行兜售物品</w:t>
            </w:r>
          </w:p>
        </w:tc>
        <w:tc>
          <w:tcPr>
            <w:tcW w:w="2789" w:type="dxa"/>
            <w:shd w:val="clear" w:color="auto" w:fill="auto"/>
            <w:vAlign w:val="center"/>
          </w:tcPr>
          <w:p>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w:t>
            </w:r>
            <w:r>
              <w:rPr>
                <w:rFonts w:hint="eastAsia" w:cs="宋体" w:asciiTheme="minorEastAsia" w:hAnsiTheme="minorEastAsia" w:eastAsiaTheme="minorEastAsia"/>
                <w:color w:val="auto"/>
                <w:kern w:val="0"/>
                <w:sz w:val="15"/>
                <w:szCs w:val="15"/>
                <w:highlight w:val="none"/>
              </w:rPr>
              <w:t>七条；处罚条款：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七</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，责令改正，没收违法所得，并处50元以上500元以下罚款。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北京市主要公园</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系数5-9</w:t>
            </w:r>
            <w:r>
              <w:rPr>
                <w:rFonts w:hint="eastAsia" w:cs="宋体" w:asciiTheme="minorEastAsia" w:hAnsiTheme="minorEastAsia" w:eastAsiaTheme="minorEastAsia"/>
                <w:color w:val="auto"/>
                <w:kern w:val="0"/>
                <w:sz w:val="15"/>
                <w:szCs w:val="15"/>
                <w:highlight w:val="none"/>
              </w:rPr>
              <w:t>；2.其它公园的，系数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1" w:hRule="atLeast"/>
          <w:jc w:val="center"/>
        </w:trPr>
        <w:tc>
          <w:tcPr>
            <w:tcW w:w="14218" w:type="dxa"/>
            <w:gridSpan w:val="9"/>
            <w:shd w:val="clear" w:color="auto" w:fill="auto"/>
            <w:vAlign w:val="center"/>
          </w:tcPr>
          <w:p>
            <w:pPr>
              <w:pStyle w:val="2"/>
              <w:bidi w:val="0"/>
              <w:rPr>
                <w:rFonts w:ascii="黑体" w:hAnsi="黑体" w:eastAsia="黑体" w:cs="宋体"/>
                <w:color w:val="auto"/>
                <w:kern w:val="0"/>
                <w:highlight w:val="none"/>
              </w:rPr>
            </w:pPr>
            <w:bookmarkStart w:id="112" w:name="_Toc124716043"/>
            <w:r>
              <w:rPr>
                <w:rFonts w:hint="eastAsia" w:ascii="黑体" w:hAnsi="黑体" w:eastAsia="黑体" w:cs="黑体"/>
                <w:b w:val="0"/>
                <w:bCs w:val="0"/>
                <w:color w:val="auto"/>
                <w:highlight w:val="none"/>
              </w:rPr>
              <w:t>环境保护管理方面</w:t>
            </w:r>
            <w:bookmarkEnd w:id="1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7" w:hRule="atLeast"/>
          <w:jc w:val="center"/>
        </w:trPr>
        <w:tc>
          <w:tcPr>
            <w:tcW w:w="14218" w:type="dxa"/>
            <w:gridSpan w:val="9"/>
            <w:shd w:val="clear" w:color="auto" w:fill="auto"/>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cs="宋体" w:asciiTheme="minorEastAsia" w:hAnsiTheme="minorEastAsia" w:eastAsiaTheme="minorEastAsia"/>
                <w:color w:val="auto"/>
                <w:kern w:val="0"/>
                <w:szCs w:val="15"/>
                <w:highlight w:val="none"/>
              </w:rPr>
            </w:pPr>
            <w:bookmarkStart w:id="113" w:name="_Toc138275872"/>
            <w:r>
              <w:rPr>
                <w:rFonts w:hint="eastAsia"/>
                <w:color w:val="auto"/>
                <w:sz w:val="21"/>
                <w:szCs w:val="21"/>
                <w:highlight w:val="none"/>
              </w:rPr>
              <w:t>《中华人民共和国大气污染防治法》案由</w:t>
            </w:r>
            <w:r>
              <w:rPr>
                <w:rFonts w:hint="eastAsia"/>
                <w:color w:val="auto"/>
                <w:sz w:val="21"/>
                <w:szCs w:val="21"/>
                <w:highlight w:val="none"/>
                <w:lang w:val="en-US" w:eastAsia="zh-CN"/>
              </w:rPr>
              <w:t>17</w:t>
            </w:r>
            <w:r>
              <w:rPr>
                <w:rFonts w:hint="eastAsia"/>
                <w:color w:val="auto"/>
                <w:sz w:val="21"/>
                <w:szCs w:val="21"/>
                <w:highlight w:val="none"/>
              </w:rPr>
              <w:t>项</w:t>
            </w:r>
            <w:bookmarkEnd w:id="1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施工单位未设置硬质围挡</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1.未按标准设置围挡长度16-30米的，系数1；31-45米的，系数2，以此类推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施工单位未采取有效防尘降尘措施</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施工单位未及时清运建筑土方（工程渣土、建筑垃圾）</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1.垃圾占地面积10㎡以下的，系数0；11－15㎡的，系数1；16－20㎡系数2，以此类推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。2.逾期不清的，每逾期2天，系数为１，以此累加</w:t>
            </w:r>
            <w:r>
              <w:rPr>
                <w:rFonts w:hint="eastAsia" w:cs="宋体" w:asciiTheme="minorEastAsia" w:hAnsiTheme="minorEastAsia" w:eastAsiaTheme="minorEastAsia"/>
                <w:color w:val="auto"/>
                <w:sz w:val="15"/>
                <w:szCs w:val="15"/>
                <w:highlight w:val="none"/>
                <w:lang w:eastAsia="zh-CN"/>
              </w:rPr>
              <w:t>，逾期</w:t>
            </w:r>
            <w:r>
              <w:rPr>
                <w:rFonts w:hint="eastAsia" w:cs="宋体" w:asciiTheme="minorEastAsia" w:hAnsiTheme="minorEastAsia" w:eastAsiaTheme="minorEastAsia"/>
                <w:color w:val="auto"/>
                <w:sz w:val="15"/>
                <w:szCs w:val="15"/>
                <w:highlight w:val="none"/>
                <w:lang w:val="en-US" w:eastAsia="zh-CN"/>
              </w:rPr>
              <w:t>18天及以上的，</w:t>
            </w:r>
            <w:r>
              <w:rPr>
                <w:rFonts w:hint="eastAsia" w:cs="Batang" w:asciiTheme="minorEastAsia" w:hAnsiTheme="minorEastAsia" w:eastAsiaTheme="minorEastAsia"/>
                <w:color w:val="auto"/>
                <w:sz w:val="15"/>
                <w:szCs w:val="15"/>
                <w:highlight w:val="none"/>
                <w:lang w:eastAsia="zh-CN"/>
              </w:rPr>
              <w:t>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3.造成尘土飞扬，严重污染环境的，系数为</w:t>
            </w:r>
            <w:r>
              <w:rPr>
                <w:rFonts w:hint="eastAsia" w:asciiTheme="minorEastAsia" w:hAnsiTheme="minorEastAsia" w:eastAsiaTheme="minorEastAsia"/>
                <w:color w:val="auto"/>
                <w:sz w:val="15"/>
                <w:szCs w:val="15"/>
                <w:highlight w:val="none"/>
                <w:lang w:val="en-US" w:eastAsia="zh-CN"/>
              </w:rPr>
              <w:t>5-</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施工单位未采用密闭式防尘网遮盖建筑土方（工程渣土、建筑垃圾）</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cs="宋体"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建设单位未对暂不开工的建设用地裸露地面进行覆盖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以内，变量系数为</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+变量系数+区域系数）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建设单位未对超过三个月不能开工的建设用地裸露地面进行绿化、铺装或者遮盖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以内，变量系数为</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+变量系数+区域系数）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运输散装、流体物料车辆未采取密闭或者其</w:t>
            </w:r>
            <w:r>
              <w:rPr>
                <w:rFonts w:hint="eastAsia" w:asciiTheme="minorEastAsia" w:hAnsiTheme="minorEastAsia" w:eastAsiaTheme="minorEastAsia"/>
                <w:color w:val="auto"/>
                <w:sz w:val="15"/>
                <w:szCs w:val="15"/>
                <w:highlight w:val="red"/>
                <w:lang w:eastAsia="zh-CN"/>
              </w:rPr>
              <w:t>他</w:t>
            </w:r>
            <w:r>
              <w:rPr>
                <w:rFonts w:hint="eastAsia" w:asciiTheme="minorEastAsia" w:hAnsiTheme="minorEastAsia" w:eastAsiaTheme="minorEastAsia"/>
                <w:color w:val="auto"/>
                <w:sz w:val="15"/>
                <w:szCs w:val="15"/>
                <w:highlight w:val="none"/>
              </w:rPr>
              <w:t>措施防止物料遗撒</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违反条款：第七十条第一款；处罚条款：第一百一十六条：责令改正，处二千元以上二万元以下的罚款；拒不改正的，车辆不得上道路行驶。</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车辆同时存在不符合条件、未安装卫星定位系统、未密闭等2种以上（含2种）行为的，系数4；造成</w:t>
            </w:r>
            <w:r>
              <w:rPr>
                <w:rFonts w:hint="eastAsia" w:asciiTheme="minorEastAsia" w:hAnsiTheme="minorEastAsia" w:eastAsiaTheme="minorEastAsia"/>
                <w:color w:val="auto"/>
                <w:sz w:val="15"/>
                <w:szCs w:val="15"/>
                <w:highlight w:val="none"/>
                <w:lang w:eastAsia="zh-CN"/>
              </w:rPr>
              <w:t>泄漏</w:t>
            </w:r>
            <w:r>
              <w:rPr>
                <w:rFonts w:hint="eastAsia" w:asciiTheme="minorEastAsia" w:hAnsiTheme="minorEastAsia" w:eastAsiaTheme="minorEastAsia"/>
                <w:color w:val="auto"/>
                <w:sz w:val="15"/>
                <w:szCs w:val="15"/>
                <w:highlight w:val="none"/>
              </w:rPr>
              <w:t>遗撒的，系数4-9。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易产生扬尘的物料未密闭贮存</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违反条款：第七十二条第一款；处罚条款：第一百一十七条第（一）项：责令改正，处一万元以上十万元以下的罚款；拒不改正的，责令停工整治或者停业整治：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6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易产生扬尘的物料不能密闭贮存的，未按规定设置围挡或者未采取有效覆盖措施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违反条款：第七十二条第一款；处罚条款：第一百一十七条第（二）项：责令改正，处一万元以上十万元以下的罚款；拒不改正的，责令停工整治或者停业整治：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2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装卸物料未采取密闭或者喷淋等方式控制扬尘</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违反条款：第七十条第二款；处罚条款：第一百一十七条第（三）项：责令改正，处一万元以上十万元以下的罚款；拒不改正的，责令停工整治或者停业整治：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尘土飞扬，对环境造成严重影响的，系数5-9。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4"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露天焚烧秸秆（落叶）等产生烟尘污染的物质</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违反条款：第七十七条；处罚条款：第一百一十九条第一款：责令改正，并可以处五百元以上二千元以下的罚款。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1.对大气环境或者生产生活造成较大影响的，系数2-3；2.导致其它事故发生的，系数3。</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9" w:hRule="atLeast"/>
          <w:jc w:val="center"/>
        </w:trPr>
        <w:tc>
          <w:tcPr>
            <w:tcW w:w="940" w:type="dxa"/>
            <w:vMerge w:val="restart"/>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12</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焚烧沥青（油毡、橡胶、塑料、皮革、垃圾）等产生有毒有害烟尘和恶臭气体的物质</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违反条款：第八十二条第一款；处罚条款：第一百一十九条第二款：责令改正，对单位处一万元以上十万元以下的罚款，对个人处五百元以上二千元以下的罚款。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1.对大气环境或者生产生活造成较大影响的，系数5-9；2.导致其它事故发生的，系数9。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5"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1.对大气环境或者生产生活造成较大影响的，系数2-3；2.导致其它事故发生的，系数3。</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76"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违反规定露天烧烤食品</w:t>
            </w:r>
          </w:p>
        </w:tc>
        <w:tc>
          <w:tcPr>
            <w:tcW w:w="2789" w:type="dxa"/>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1.占用无障碍设施或者机动车道、绿地的，系数为2；2.占用其它公共场地面积较大，或者造成通行秩序、市容环境秩序较为混乱的，系数为2。</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90"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违反规定为露天烧烤食品提供场地</w:t>
            </w:r>
          </w:p>
        </w:tc>
        <w:tc>
          <w:tcPr>
            <w:tcW w:w="2789"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违法行为持续时间较长、占用场地规模较大、群众多次举报（3次以上，含3次），或者造成通行秩序、市容环境秩序较为混乱等情形之一的，系数为4。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需酌情给予2000以下罚款的，说明理由，报案审会决定。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30"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拒不执行停止工地土石方作业（建筑物拆除施工）等重污染天气应急措施</w:t>
            </w:r>
          </w:p>
        </w:tc>
        <w:tc>
          <w:tcPr>
            <w:tcW w:w="2789"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违反条款：第九十六条第一款、第一百二十一条第二款；处罚条款：第一百二十一条第二款：处一万元以上十万元以下的罚款。</w:t>
            </w:r>
          </w:p>
          <w:p>
            <w:pPr>
              <w:spacing w:line="19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1.按照空气重污染预警级别，预警三级(黄)，系数3；预警二级(橙)，系数6；预警一级(红)，系数9；2.拒不停止土石方作业或者拆除施工作业，且未采取相关有效防尘措施污染严重的，系数9。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市政府的预警级别和应对措施请参照《北京市空气重污染应急预案（试行）》。</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4" w:hRule="atLeast"/>
          <w:jc w:val="center"/>
        </w:trPr>
        <w:tc>
          <w:tcPr>
            <w:tcW w:w="940"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16</w:t>
            </w:r>
          </w:p>
        </w:tc>
        <w:tc>
          <w:tcPr>
            <w:tcW w:w="1500"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拒不接受大气环境保护监督检查</w:t>
            </w:r>
          </w:p>
        </w:tc>
        <w:tc>
          <w:tcPr>
            <w:tcW w:w="2789"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违反条款：第九十八条；处罚条款：第九十八条：责令改正，处二万元以上二十万元以下的罚款；构成违反治安管理行为的，由公安机关依法予以处罚。</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1.经责令改正，仍拒不接受监督检查的，系数为4；2.空气重污染预警期间，拒不接受监督检查的，系数4；3.造成大气污染或者不良社会影响等较为严重情形之一的，系数为4-9。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“拒不配合”的情形，不纳入本案由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90" w:hRule="atLeast"/>
          <w:jc w:val="center"/>
        </w:trPr>
        <w:tc>
          <w:tcPr>
            <w:tcW w:w="940" w:type="dxa"/>
            <w:tcBorders>
              <w:bottom w:val="single" w:color="auto" w:sz="4" w:space="0"/>
            </w:tcBorders>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17</w:t>
            </w:r>
          </w:p>
        </w:tc>
        <w:tc>
          <w:tcPr>
            <w:tcW w:w="1500" w:type="dxa"/>
            <w:tcBorders>
              <w:bottom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接受大气环境保护监督检查时弄虚作假</w:t>
            </w:r>
          </w:p>
        </w:tc>
        <w:tc>
          <w:tcPr>
            <w:tcW w:w="2789" w:type="dxa"/>
            <w:tcBorders>
              <w:bottom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违反条款：第二十九条、第九十八条；处罚条款：第九十八条：责令改正，处二万元以上二十万元以下的罚款；构成违反治安管理行为的，由公安机关依法予以处罚。</w:t>
            </w:r>
          </w:p>
        </w:tc>
        <w:tc>
          <w:tcPr>
            <w:tcW w:w="851" w:type="dxa"/>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1.经责令改正，仍弄虚作假的，系数为4；2.空气重污染预警期间，弄虚作假的，系数4；3.造成大气污染或者不良社会影响等较为严重情形之一的，系数为4-9。</w:t>
            </w:r>
          </w:p>
        </w:tc>
        <w:tc>
          <w:tcPr>
            <w:tcW w:w="1785" w:type="dxa"/>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cs="Times New Roman"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color w:val="auto"/>
                <w:sz w:val="15"/>
                <w:szCs w:val="15"/>
                <w:highlight w:val="none"/>
              </w:rPr>
              <w:t>虚假陈述”的情形，不纳入本案由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9" w:hRule="atLeast"/>
          <w:jc w:val="center"/>
        </w:trPr>
        <w:tc>
          <w:tcPr>
            <w:tcW w:w="14218" w:type="dxa"/>
            <w:gridSpan w:val="9"/>
            <w:tcBorders>
              <w:bottom w:val="single" w:color="auto" w:sz="4" w:space="0"/>
            </w:tcBorders>
            <w:shd w:val="clear" w:color="auto" w:fill="auto"/>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asciiTheme="minorEastAsia" w:hAnsiTheme="minorEastAsia" w:eastAsiaTheme="minorEastAsia"/>
                <w:color w:val="auto"/>
                <w:szCs w:val="15"/>
                <w:highlight w:val="none"/>
              </w:rPr>
            </w:pPr>
            <w:bookmarkStart w:id="114" w:name="_Toc2052911917"/>
            <w:r>
              <w:rPr>
                <w:rFonts w:hint="eastAsia"/>
                <w:color w:val="auto"/>
                <w:sz w:val="21"/>
                <w:szCs w:val="21"/>
                <w:highlight w:val="none"/>
              </w:rPr>
              <w:t>《北京市大气污染防治条例》案由8项</w:t>
            </w:r>
            <w:bookmarkEnd w:id="11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tcBorders>
              <w:top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拒不执行空气重污染应急措施</w:t>
            </w:r>
          </w:p>
        </w:tc>
        <w:tc>
          <w:tcPr>
            <w:tcW w:w="2789"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违反条款：第二十条第二款、第三款；处罚条款：第九十一条第一款：处一万元以上十万元以下罚款。</w:t>
            </w:r>
          </w:p>
        </w:tc>
        <w:tc>
          <w:tcPr>
            <w:tcW w:w="851"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1.按照空气重污染预警级别，预警三级(黄)，系数3；预警二级(橙)，系数6；预警一级(红)，系数9；2.拒不停止土石方作业或者拆除施工作业或者露天烧烤，且未采取相关有效防尘措施污染严重的，系数9。</w:t>
            </w:r>
          </w:p>
        </w:tc>
        <w:tc>
          <w:tcPr>
            <w:tcW w:w="1785"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07"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在居民住宅楼（或未配套设立专用烟道的商住综合楼，或商住综合楼与居住层相邻的商业楼层）新建（或改建、扩建）产生油烟（异味、废气）的餐饮服务（干洗、汽修等）项目</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违反条款：第五十九条第二款；处罚条款：第一百零八条第二款，责令改正；拒不改正的，予以关闭，并处一万元以上十万元以下罚款。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产生较大环境污染或者社会影响的，系数为5-8；造成事故或者其它社会恶劣影响的，系数为9。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2"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露天焚烧秸秆（树叶、枯草）</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违反条款：第六十一条第一款；处罚条款：第一百一十条第一款：责令改正，可以处五百元以上二千元以下罚款。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1.对大气环境或者生产生活造成较大影响的，系数2-3；2.导致其它事故发生的，系数3。</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1"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露天焚烧垃圾（电子废物、油毡、橡胶、塑料、皮革、沥青）</w:t>
            </w:r>
          </w:p>
        </w:tc>
        <w:tc>
          <w:tcPr>
            <w:tcW w:w="2789"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违反条款：第六十一条第一款；处罚条款：第一百一十条第一款：责令改正，对单位处以一万元以上十万元以下罚款，对个人处五百元以上二千元以下罚款。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1.对大气环境或者生产生活造成较大影响的，系数5-9；2.导致其它事故发生的，系数9。</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vMerge w:val="restart"/>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1.对大气环境或者生产生活造成较大影响的，系数2-3；2.导致事故发生或者其它恶劣影响的，系数为3。</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824" w:type="dxa"/>
            <w:vMerge w:val="continue"/>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5" w:hRule="atLeast"/>
          <w:jc w:val="center"/>
        </w:trPr>
        <w:tc>
          <w:tcPr>
            <w:tcW w:w="9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shd w:val="clear" w:fill="FF0000"/>
              </w:rPr>
              <w:t>在政府划定的禁止范围内露天烧烤食品</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kern w:val="32"/>
                <w:sz w:val="15"/>
                <w:szCs w:val="15"/>
                <w:highlight w:val="none"/>
              </w:rPr>
            </w:pPr>
            <w:r>
              <w:rPr>
                <w:rFonts w:hint="eastAsia" w:asciiTheme="minorEastAsia" w:hAnsiTheme="minorEastAsia" w:eastAsiaTheme="minorEastAsia"/>
                <w:color w:val="auto"/>
                <w:sz w:val="15"/>
                <w:szCs w:val="15"/>
                <w:highlight w:val="none"/>
              </w:rPr>
              <w:t>违反条款：第六十一条第二款；处罚条款：第一百一十条第二款：</w:t>
            </w:r>
            <w:r>
              <w:rPr>
                <w:rFonts w:asciiTheme="minorEastAsia" w:hAnsiTheme="minorEastAsia" w:eastAsiaTheme="minorEastAsia"/>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1.占用无障碍设施或者机动车道、绿地的，系数为2；2.占用其它公共场地面积较大，或者造成通行秩序、市容环境秩序较为混乱的，系数为2。</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根据案件情形，需要作出公式之外其它罚款额度处罚的，报案审会决定。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07" w:hRule="atLeast"/>
          <w:jc w:val="center"/>
        </w:trPr>
        <w:tc>
          <w:tcPr>
            <w:tcW w:w="9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为露天烧烤食品提供场地</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kern w:val="32"/>
                <w:sz w:val="15"/>
                <w:szCs w:val="15"/>
                <w:highlight w:val="none"/>
              </w:rPr>
            </w:pPr>
            <w:r>
              <w:rPr>
                <w:rFonts w:hint="eastAsia" w:asciiTheme="minorEastAsia" w:hAnsiTheme="minorEastAsia" w:eastAsiaTheme="minorEastAsia"/>
                <w:color w:val="auto"/>
                <w:sz w:val="15"/>
                <w:szCs w:val="15"/>
                <w:highlight w:val="none"/>
              </w:rPr>
              <w:t>违反条款：第六十一条第二款； 处罚条款：第一百一十条第二款：</w:t>
            </w:r>
            <w:r>
              <w:rPr>
                <w:rFonts w:asciiTheme="minorEastAsia" w:hAnsiTheme="minorEastAsia" w:eastAsiaTheme="minorEastAsia"/>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违法行为持续时间较长、占用场地规模较大、群众多次举报（3次以上，含3次），或者造成通行秩序、市容环境秩序较为混乱等情形之一的，系数为4。</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需酌情给予2000以下罚款的，说明理由，报案审会决定。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7" w:hRule="atLeast"/>
          <w:jc w:val="center"/>
        </w:trPr>
        <w:tc>
          <w:tcPr>
            <w:tcW w:w="9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500"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运输散装、流体物料车辆不符合条件（未安装卫星定位系统、未密闭运输）</w:t>
            </w:r>
          </w:p>
        </w:tc>
        <w:tc>
          <w:tcPr>
            <w:tcW w:w="2789"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违反条款：第八十三条；处罚条款：第一百二十一条：责令改正，处二千元以上二万以下罚款；拒不改正的，车辆不得上道路行驶。</w:t>
            </w:r>
          </w:p>
        </w:tc>
        <w:tc>
          <w:tcPr>
            <w:tcW w:w="851"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车辆同时存在不符合条件、未安装卫星定位系统、未密闭等2种以上（含2种）行为的，系数4；造成</w:t>
            </w:r>
            <w:r>
              <w:rPr>
                <w:rFonts w:hint="eastAsia" w:asciiTheme="minorEastAsia" w:hAnsiTheme="minorEastAsia" w:eastAsiaTheme="minorEastAsia"/>
                <w:color w:val="auto"/>
                <w:sz w:val="15"/>
                <w:szCs w:val="15"/>
                <w:highlight w:val="none"/>
                <w:lang w:eastAsia="zh-CN"/>
              </w:rPr>
              <w:t>泄漏</w:t>
            </w:r>
            <w:r>
              <w:rPr>
                <w:rFonts w:hint="eastAsia" w:asciiTheme="minorEastAsia" w:hAnsiTheme="minorEastAsia" w:eastAsiaTheme="minorEastAsia"/>
                <w:color w:val="auto"/>
                <w:sz w:val="15"/>
                <w:szCs w:val="15"/>
                <w:highlight w:val="none"/>
              </w:rPr>
              <w:t>遗撒的，系数4-9。</w:t>
            </w:r>
          </w:p>
        </w:tc>
        <w:tc>
          <w:tcPr>
            <w:tcW w:w="17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2000×（1+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40"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0" w:hRule="atLeast"/>
          <w:jc w:val="center"/>
        </w:trPr>
        <w:tc>
          <w:tcPr>
            <w:tcW w:w="9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500"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建筑垃圾资源化处置场（渣土消纳场、燃煤电厂贮灰场、垃圾填埋场）未实施分区作业或者未采取措施防治扬尘污染</w:t>
            </w:r>
          </w:p>
        </w:tc>
        <w:tc>
          <w:tcPr>
            <w:tcW w:w="2789"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违反条款：第八十四条；处罚条款：第一百二十二条，责令限期改正，处一万元以上十万元以下罚款；拒不改正的，责令停工整治或者停业整治。</w:t>
            </w:r>
          </w:p>
        </w:tc>
        <w:tc>
          <w:tcPr>
            <w:tcW w:w="851"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p>
            <w:pPr>
              <w:spacing w:line="240" w:lineRule="exact"/>
              <w:jc w:val="center"/>
              <w:rPr>
                <w:rFonts w:asciiTheme="minorEastAsia" w:hAnsiTheme="minorEastAsia" w:eastAsiaTheme="minorEastAsia"/>
                <w:color w:val="auto"/>
                <w:sz w:val="15"/>
                <w:szCs w:val="15"/>
                <w:highlight w:val="none"/>
              </w:rPr>
            </w:pPr>
          </w:p>
        </w:tc>
        <w:tc>
          <w:tcPr>
            <w:tcW w:w="2304" w:type="dxa"/>
            <w:shd w:val="clear" w:color="auto" w:fill="auto"/>
            <w:vAlign w:val="center"/>
          </w:tcPr>
          <w:p>
            <w:pPr>
              <w:spacing w:line="24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产生较大环境污染或者社会影响的，系数为5-8；造成社会恶劣影响或者其它严重后果的，系数为9。</w:t>
            </w:r>
          </w:p>
        </w:tc>
        <w:tc>
          <w:tcPr>
            <w:tcW w:w="17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p>
        </w:tc>
        <w:tc>
          <w:tcPr>
            <w:tcW w:w="2385"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6"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15" w:name="_Toc110851471"/>
            <w:bookmarkStart w:id="116" w:name="_Toc1745180410"/>
            <w:bookmarkStart w:id="117" w:name="_Toc1309704035"/>
            <w:r>
              <w:rPr>
                <w:rFonts w:hint="eastAsia" w:asciiTheme="minorEastAsia" w:hAnsiTheme="minorEastAsia" w:eastAsiaTheme="minorEastAsia"/>
                <w:color w:val="auto"/>
                <w:sz w:val="21"/>
                <w:szCs w:val="21"/>
                <w:highlight w:val="none"/>
              </w:rPr>
              <w:t>《北京市环境噪声污染防治办法》案由</w:t>
            </w:r>
            <w:r>
              <w:rPr>
                <w:rFonts w:hint="eastAsia" w:asciiTheme="minorEastAsia" w:hAnsiTheme="minorEastAsia" w:eastAsiaTheme="minorEastAsia"/>
                <w:color w:val="auto"/>
                <w:sz w:val="21"/>
                <w:szCs w:val="21"/>
                <w:highlight w:val="none"/>
                <w:lang w:val="en-US" w:eastAsia="zh-CN"/>
              </w:rPr>
              <w:t>1</w:t>
            </w:r>
            <w:r>
              <w:rPr>
                <w:rFonts w:hint="eastAsia" w:asciiTheme="minorEastAsia" w:hAnsiTheme="minorEastAsia" w:eastAsiaTheme="minorEastAsia"/>
                <w:color w:val="auto"/>
                <w:sz w:val="21"/>
                <w:szCs w:val="21"/>
                <w:highlight w:val="none"/>
              </w:rPr>
              <w:t>项</w:t>
            </w:r>
            <w:bookmarkEnd w:id="115"/>
            <w:bookmarkEnd w:id="116"/>
            <w:bookmarkEnd w:id="1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72" w:hRule="atLeast"/>
          <w:jc w:val="center"/>
        </w:trPr>
        <w:tc>
          <w:tcPr>
            <w:tcW w:w="940"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p>
        </w:tc>
        <w:tc>
          <w:tcPr>
            <w:tcW w:w="1500" w:type="dxa"/>
            <w:tcBorders>
              <w:bottom w:val="single" w:color="auto" w:sz="4" w:space="0"/>
            </w:tcBorders>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特殊时段在噪声敏感建筑物集中区域内从事产生噪声的施工作业</w:t>
            </w:r>
          </w:p>
        </w:tc>
        <w:tc>
          <w:tcPr>
            <w:tcW w:w="2789" w:type="dxa"/>
            <w:tcBorders>
              <w:bottom w:val="single" w:color="auto" w:sz="4" w:space="0"/>
            </w:tcBorders>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违反条款：第十七条；</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处罚条款：第三十九条 责令停止违法行为，并处1万元以上3万元以下罚款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tabs>
                <w:tab w:val="left" w:pos="312"/>
              </w:tabs>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噪声较大或者持续时间较长，或者造成其它社会恶劣影响等情形，系数为1；2.媒体曝光，造成不良社会影响的，系数2；3.在中（高）考考场周边的，系数2。</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7" w:hRule="atLeast"/>
          <w:jc w:val="center"/>
        </w:trPr>
        <w:tc>
          <w:tcPr>
            <w:tcW w:w="14218" w:type="dxa"/>
            <w:gridSpan w:val="9"/>
            <w:shd w:val="clear" w:color="auto" w:fill="auto"/>
            <w:vAlign w:val="center"/>
          </w:tcPr>
          <w:p>
            <w:pPr>
              <w:keepNext w:val="0"/>
              <w:keepLines w:val="0"/>
              <w:pageBreakBefore w:val="0"/>
              <w:widowControl w:val="0"/>
              <w:tabs>
                <w:tab w:val="left" w:pos="5105"/>
              </w:tabs>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21"/>
                <w:szCs w:val="21"/>
                <w:highlight w:val="none"/>
              </w:rPr>
            </w:pPr>
            <w:bookmarkStart w:id="118" w:name="_Toc110851472"/>
            <w:bookmarkStart w:id="119" w:name="_Toc193344115"/>
            <w:bookmarkStart w:id="120" w:name="_Toc2131642380"/>
            <w:r>
              <w:rPr>
                <w:rStyle w:val="32"/>
                <w:rFonts w:hint="eastAsia" w:asciiTheme="minorEastAsia" w:hAnsiTheme="minorEastAsia" w:eastAsiaTheme="minorEastAsia"/>
                <w:color w:val="auto"/>
                <w:sz w:val="21"/>
                <w:szCs w:val="21"/>
                <w:highlight w:val="none"/>
              </w:rPr>
              <w:t>《中华人民共和国噪声污染防治法》案由</w:t>
            </w:r>
            <w:r>
              <w:rPr>
                <w:rStyle w:val="32"/>
                <w:rFonts w:hint="eastAsia" w:asciiTheme="minorEastAsia" w:hAnsiTheme="minorEastAsia" w:eastAsiaTheme="minorEastAsia"/>
                <w:color w:val="auto"/>
                <w:sz w:val="21"/>
                <w:szCs w:val="21"/>
                <w:highlight w:val="none"/>
                <w:lang w:val="en-US" w:eastAsia="zh-CN"/>
              </w:rPr>
              <w:t>6</w:t>
            </w:r>
            <w:r>
              <w:rPr>
                <w:rStyle w:val="32"/>
                <w:rFonts w:hint="eastAsia" w:asciiTheme="minorEastAsia" w:hAnsiTheme="minorEastAsia" w:eastAsiaTheme="minorEastAsia"/>
                <w:color w:val="auto"/>
                <w:sz w:val="21"/>
                <w:szCs w:val="21"/>
                <w:highlight w:val="none"/>
              </w:rPr>
              <w:t>项</w:t>
            </w:r>
            <w:bookmarkEnd w:id="118"/>
            <w:bookmarkEnd w:id="119"/>
            <w:bookmarkEnd w:id="1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未取得证明夜间施工</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违反条款：第四十三条第二款；</w:t>
            </w:r>
          </w:p>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处罚条款：第七十七条第（二）项 责令改正，处一万元以上十万元以下的罚款；拒不改正的，可以责令暂停施工。</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1.噪声较大或者持续时间较长，系数1-4；2.存在在中高考等特殊时段，投诉举报较多，媒体曝光，或者造成其它社会恶劣影响等情形的，系数5-9。</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20" w:lineRule="exact"/>
              <w:rPr>
                <w:color w:val="auto"/>
                <w:highlight w:val="none"/>
              </w:rPr>
            </w:pPr>
            <w:r>
              <w:rPr>
                <w:rFonts w:hint="eastAsia" w:asciiTheme="minorEastAsia" w:hAnsiTheme="minorEastAsia" w:eastAsiaTheme="minorEastAsia"/>
                <w:color w:val="auto"/>
                <w:sz w:val="15"/>
                <w:szCs w:val="15"/>
                <w:highlight w:val="none"/>
              </w:rPr>
              <w:t>对未取得证明夜间施工的行为，适用此案由和裁量，原《北京市建设工程施工现场管理办法》《北京市环境噪声污染防治办法》的“未经批准夜间施工”“超过批准期限夜间施工”等案由停止执行。存在“超过批准期限夜间施工”情形的，按照“未取得证明夜间施工”执行。</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32"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2</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未按照规定制定噪声污染防治实施方案</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违反条款：第四十条第二款 ；</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处罚条款：第七十八条第（二）项 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1.大型建设工程，开工时间较长，工地位置处于人口集中区域等情形的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系数1-4</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2.造成投诉举报较多，或者其他社会恶劣影响的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系数5-9</w:t>
            </w:r>
            <w:r>
              <w:rPr>
                <w:rFonts w:hint="eastAsia" w:asciiTheme="minorEastAsia" w:hAnsiTheme="minorEastAsia" w:eastAsiaTheme="minorEastAsia"/>
                <w:color w:val="auto"/>
                <w:sz w:val="15"/>
                <w:szCs w:val="15"/>
                <w:highlight w:val="none"/>
                <w:lang w:val="en"/>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w:t>
            </w:r>
            <w:r>
              <w:rPr>
                <w:rFonts w:hint="eastAsia" w:asciiTheme="minorEastAsia" w:hAnsiTheme="minorEastAsia" w:eastAsiaTheme="minorEastAsia"/>
                <w:color w:val="auto"/>
                <w:sz w:val="15"/>
                <w:szCs w:val="15"/>
                <w:highlight w:val="none"/>
                <w:lang w:val="en"/>
              </w:rPr>
              <w:t>是指</w:t>
            </w:r>
            <w:r>
              <w:rPr>
                <w:rFonts w:hint="eastAsia" w:asciiTheme="minorEastAsia" w:hAnsiTheme="minorEastAsia" w:eastAsiaTheme="minorEastAsia"/>
                <w:color w:val="auto"/>
                <w:sz w:val="15"/>
                <w:szCs w:val="15"/>
                <w:highlight w:val="none"/>
              </w:rPr>
              <w:t>：25层以上（含，下同）的房屋建筑工程；高度100米以上的构筑物或建筑物工程；单体建筑面积3万平方米以上的房屋建筑工程；建筑面积10万平方米以上的住宅小区或建筑群体工程单项合同额1亿元以上的房屋建筑工程。</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2.对“未按照规定制定噪声污染防治实施方案”违法行为适用此案由和裁量，《北京市环境噪声污染防治办法》的“未制定施工现场噪声污染防治管理制度”案由停止执行。</w:t>
            </w:r>
          </w:p>
        </w:tc>
        <w:tc>
          <w:tcPr>
            <w:tcW w:w="824" w:type="dxa"/>
            <w:vMerge w:val="restart"/>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04"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50000（拒不改正）</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1.大型建设工程，开工时间较长，工地位置处于人口集中区域等情形的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2.造成投诉举报较多，或者其他社会恶劣影响的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系数2-3</w:t>
            </w:r>
            <w:r>
              <w:rPr>
                <w:rFonts w:hint="eastAsia" w:asciiTheme="minorEastAsia" w:hAnsiTheme="minorEastAsia" w:eastAsiaTheme="minorEastAsia"/>
                <w:color w:val="auto"/>
                <w:sz w:val="15"/>
                <w:szCs w:val="15"/>
                <w:highlight w:val="none"/>
                <w:lang w:val="en"/>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《基准》“拒不改正”的情形，不纳入本案由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3"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建设单位夜间施工未按照规定公告</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违反条款：第四十三条第二款；</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处罚条款：第七十八条第（四）项，责令改正，处五千元以上五万元以下的罚款；拒不改正的，处五万元以上二十万元以下的罚款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1.未公告</w:t>
            </w:r>
            <w:r>
              <w:rPr>
                <w:rFonts w:hint="eastAsia" w:asciiTheme="minorEastAsia" w:hAnsiTheme="minorEastAsia" w:eastAsiaTheme="minorEastAsia"/>
                <w:color w:val="auto"/>
                <w:sz w:val="15"/>
                <w:szCs w:val="15"/>
                <w:highlight w:val="none"/>
                <w:lang w:val="en"/>
              </w:rPr>
              <w:t>持续</w:t>
            </w:r>
            <w:r>
              <w:rPr>
                <w:rFonts w:hint="eastAsia" w:asciiTheme="minorEastAsia" w:hAnsiTheme="minorEastAsia" w:eastAsiaTheme="minorEastAsia"/>
                <w:color w:val="auto"/>
                <w:sz w:val="15"/>
                <w:szCs w:val="15"/>
                <w:highlight w:val="none"/>
              </w:rPr>
              <w:t>时间较长，或者公告内容不全的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系数1-4</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系数5-9。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《北京市环境噪声污染防治办法》的“进行夜间施工作业未公告相关内容”停止执行。</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50000（拒不改正）</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1.未公告</w:t>
            </w:r>
            <w:r>
              <w:rPr>
                <w:rFonts w:hint="eastAsia" w:asciiTheme="minorEastAsia" w:hAnsiTheme="minorEastAsia" w:eastAsiaTheme="minorEastAsia"/>
                <w:color w:val="auto"/>
                <w:sz w:val="15"/>
                <w:szCs w:val="15"/>
                <w:highlight w:val="none"/>
                <w:lang w:val="en"/>
              </w:rPr>
              <w:t>持续</w:t>
            </w:r>
            <w:r>
              <w:rPr>
                <w:rFonts w:hint="eastAsia" w:asciiTheme="minorEastAsia" w:hAnsiTheme="minorEastAsia" w:eastAsiaTheme="minorEastAsia"/>
                <w:color w:val="auto"/>
                <w:sz w:val="15"/>
                <w:szCs w:val="15"/>
                <w:highlight w:val="none"/>
              </w:rPr>
              <w:t>时间较长，或者公告内容不全</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系数1</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造成投诉举报较多，或者其他社会恶劣影响的</w:t>
            </w:r>
            <w:r>
              <w:rPr>
                <w:rFonts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rPr>
              <w:t>系数2-3</w:t>
            </w:r>
            <w:r>
              <w:rPr>
                <w:rFonts w:hint="eastAsia" w:asciiTheme="minorEastAsia" w:hAnsiTheme="minorEastAsia" w:eastAsiaTheme="minorEastAsia"/>
                <w:color w:val="auto"/>
                <w:sz w:val="15"/>
                <w:szCs w:val="15"/>
                <w:highlight w:val="none"/>
                <w:lang w:val="en"/>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《基准》“拒不改正”的情形，不纳入本案由</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bookmarkStart w:id="121" w:name="_Toc110851473"/>
            <w:bookmarkStart w:id="122" w:name="_Toc760985315"/>
            <w:r>
              <w:rPr>
                <w:rFonts w:hint="eastAsia" w:cs="宋体" w:asciiTheme="minorEastAsia" w:hAnsiTheme="minorEastAsia" w:eastAsiaTheme="minorEastAsia"/>
                <w:color w:val="auto"/>
                <w:kern w:val="0"/>
                <w:sz w:val="15"/>
                <w:szCs w:val="15"/>
                <w:highlight w:val="none"/>
                <w:lang w:val="en-US" w:eastAsia="zh-CN"/>
              </w:rPr>
              <w:t>4</w:t>
            </w:r>
          </w:p>
        </w:tc>
        <w:tc>
          <w:tcPr>
            <w:tcW w:w="1500" w:type="dxa"/>
            <w:shd w:val="clear" w:color="auto" w:fill="auto"/>
            <w:vAlign w:val="center"/>
          </w:tcPr>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在噪声敏感建筑物禁止建设区域新建与航空无关的噪声敏感建筑物</w:t>
            </w:r>
          </w:p>
        </w:tc>
        <w:tc>
          <w:tcPr>
            <w:tcW w:w="2789" w:type="dxa"/>
            <w:shd w:val="clear" w:color="auto" w:fill="auto"/>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违反条款：</w:t>
            </w:r>
            <w:r>
              <w:rPr>
                <w:rFonts w:hint="eastAsia" w:ascii="宋体" w:hAnsi="宋体" w:eastAsia="宋体" w:cs="宋体"/>
                <w:color w:val="auto"/>
                <w:kern w:val="0"/>
                <w:sz w:val="15"/>
                <w:szCs w:val="15"/>
                <w:highlight w:val="none"/>
              </w:rPr>
              <w:t>第五十二条第二款</w:t>
            </w:r>
            <w:r>
              <w:rPr>
                <w:rFonts w:hint="eastAsia" w:ascii="宋体" w:hAnsi="宋体" w:eastAsia="宋体" w:cs="宋体"/>
                <w:color w:val="auto"/>
                <w:kern w:val="0"/>
                <w:sz w:val="15"/>
                <w:szCs w:val="15"/>
                <w:highlight w:val="none"/>
                <w:lang w:eastAsia="zh-CN"/>
              </w:rPr>
              <w:t>；</w:t>
            </w:r>
          </w:p>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处罚条款：第七十三条第二款</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责令停止违法行为，处建设工程合同价款百分之二以上百分之十以下的罚款，并报经有批准权的人民政府批准，责令拆除。</w:t>
            </w:r>
          </w:p>
        </w:tc>
        <w:tc>
          <w:tcPr>
            <w:tcW w:w="851" w:type="dxa"/>
            <w:shd w:val="clear" w:color="auto" w:fill="auto"/>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eastAsia="zh-CN"/>
              </w:rPr>
              <w:t>建设工程合同价款</w:t>
            </w:r>
          </w:p>
        </w:tc>
        <w:tc>
          <w:tcPr>
            <w:tcW w:w="840" w:type="dxa"/>
            <w:shd w:val="clear" w:color="auto" w:fill="auto"/>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2304" w:type="dxa"/>
            <w:shd w:val="clear" w:color="auto" w:fill="auto"/>
            <w:vAlign w:val="center"/>
          </w:tcPr>
          <w:p>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1.拒不改正</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或者投诉举报较多的，系数1-2;2.存在较大安全隐患或者造成社会恶劣影响的，系数3-4。</w:t>
            </w:r>
          </w:p>
        </w:tc>
        <w:tc>
          <w:tcPr>
            <w:tcW w:w="1785" w:type="dxa"/>
            <w:shd w:val="clear" w:color="auto" w:fill="auto"/>
            <w:vAlign w:val="center"/>
          </w:tcPr>
          <w:p>
            <w:pPr>
              <w:spacing w:line="232" w:lineRule="exact"/>
              <w:rPr>
                <w:rFonts w:hint="eastAsia" w:ascii="宋体" w:hAnsi="宋体" w:eastAsia="宋体" w:cs="宋体"/>
                <w:color w:val="auto"/>
                <w:kern w:val="0"/>
                <w:sz w:val="15"/>
                <w:szCs w:val="15"/>
                <w:highlight w:val="none"/>
                <w:lang w:val="en-US" w:eastAsia="zh-CN" w:bidi="ar-SA"/>
              </w:rPr>
            </w:pPr>
            <w:r>
              <w:rPr>
                <w:rFonts w:hint="eastAsia" w:ascii="宋体" w:hAnsi="宋体" w:eastAsia="宋体"/>
                <w:color w:val="auto"/>
                <w:sz w:val="15"/>
                <w:szCs w:val="15"/>
                <w:highlight w:val="none"/>
              </w:rPr>
              <w:t>罚款数额＝</w:t>
            </w:r>
            <w:r>
              <w:rPr>
                <w:rFonts w:hint="eastAsia" w:ascii="宋体" w:hAnsi="宋体"/>
                <w:color w:val="auto"/>
                <w:sz w:val="15"/>
                <w:szCs w:val="15"/>
                <w:highlight w:val="none"/>
                <w:lang w:eastAsia="zh-CN"/>
              </w:rPr>
              <w:t>建设工程合同价款</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×（1＋变量系数）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vMerge w:val="restart"/>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5</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未按照规定将噪声污染防治费用列入工程造价</w:t>
            </w:r>
          </w:p>
        </w:tc>
        <w:tc>
          <w:tcPr>
            <w:tcW w:w="2789" w:type="dxa"/>
            <w:vMerge w:val="restart"/>
            <w:shd w:val="clear" w:color="auto" w:fill="auto"/>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lang w:eastAsia="zh-CN"/>
              </w:rPr>
              <w:t>；</w:t>
            </w:r>
          </w:p>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处罚条款：第七十八条第（一）项</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5000</w:t>
            </w:r>
          </w:p>
        </w:tc>
        <w:tc>
          <w:tcPr>
            <w:tcW w:w="840"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1.开工时间较长，工地位置处于人口集中区域等情形的</w:t>
            </w:r>
            <w:r>
              <w:rPr>
                <w:rFonts w:hint="eastAsia" w:ascii="宋体" w:hAnsi="宋体" w:eastAsia="宋体"/>
                <w:color w:val="auto"/>
                <w:sz w:val="15"/>
                <w:szCs w:val="15"/>
                <w:highlight w:val="none"/>
                <w:lang w:val="en"/>
              </w:rPr>
              <w:t>,</w:t>
            </w:r>
            <w:r>
              <w:rPr>
                <w:rFonts w:hint="eastAsia" w:ascii="宋体" w:hAnsi="宋体" w:eastAsia="宋体"/>
                <w:color w:val="auto"/>
                <w:sz w:val="15"/>
                <w:szCs w:val="15"/>
                <w:highlight w:val="none"/>
              </w:rPr>
              <w:t>系数1-4</w:t>
            </w:r>
            <w:r>
              <w:rPr>
                <w:rFonts w:hint="eastAsia" w:ascii="宋体" w:hAnsi="宋体" w:eastAsia="宋体"/>
                <w:color w:val="auto"/>
                <w:sz w:val="15"/>
                <w:szCs w:val="15"/>
                <w:highlight w:val="none"/>
                <w:lang w:val="e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eastAsia="宋体"/>
                <w:color w:val="auto"/>
                <w:sz w:val="15"/>
                <w:szCs w:val="15"/>
                <w:highlight w:val="none"/>
                <w:lang w:val="en"/>
              </w:rPr>
              <w:t>。</w:t>
            </w:r>
          </w:p>
        </w:tc>
        <w:tc>
          <w:tcPr>
            <w:tcW w:w="17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50000（拒不改正）</w:t>
            </w:r>
          </w:p>
        </w:tc>
        <w:tc>
          <w:tcPr>
            <w:tcW w:w="840"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1.开工时间较长，工地位置处于人口集中区域等情形的</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系数1</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系数2-3</w:t>
            </w:r>
            <w:r>
              <w:rPr>
                <w:rFonts w:hint="eastAsia" w:ascii="宋体" w:hAnsi="宋体" w:eastAsia="宋体"/>
                <w:color w:val="auto"/>
                <w:sz w:val="15"/>
                <w:szCs w:val="15"/>
                <w:highlight w:val="none"/>
                <w:lang w:val="en"/>
              </w:rPr>
              <w:t>。</w:t>
            </w:r>
          </w:p>
        </w:tc>
        <w:tc>
          <w:tcPr>
            <w:tcW w:w="17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罚款数额＝50000×（1＋</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＋变量系数）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《基准》“拒不改正”的情形，不纳入本案由</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vMerge w:val="restart"/>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6</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未采取有效措施减少振动、降低噪声</w:t>
            </w:r>
          </w:p>
        </w:tc>
        <w:tc>
          <w:tcPr>
            <w:tcW w:w="2789" w:type="dxa"/>
            <w:vMerge w:val="restart"/>
            <w:shd w:val="clear" w:color="auto" w:fill="auto"/>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违反条款：第四十条第二款</w:t>
            </w:r>
            <w:r>
              <w:rPr>
                <w:rFonts w:hint="eastAsia" w:ascii="宋体" w:hAnsi="宋体" w:cs="宋体"/>
                <w:color w:val="auto"/>
                <w:kern w:val="0"/>
                <w:sz w:val="15"/>
                <w:szCs w:val="15"/>
                <w:highlight w:val="none"/>
                <w:lang w:eastAsia="zh-CN"/>
              </w:rPr>
              <w:t>；</w:t>
            </w:r>
          </w:p>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处罚条款：第七十八条第（二）项</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5000</w:t>
            </w:r>
          </w:p>
        </w:tc>
        <w:tc>
          <w:tcPr>
            <w:tcW w:w="840" w:type="dxa"/>
            <w:shd w:val="clear" w:color="auto" w:fill="auto"/>
            <w:vAlign w:val="center"/>
          </w:tcPr>
          <w:p>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1</w:t>
            </w:r>
          </w:p>
        </w:tc>
        <w:tc>
          <w:tcPr>
            <w:tcW w:w="2304" w:type="dxa"/>
            <w:shd w:val="clear" w:color="auto" w:fill="auto"/>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1.大型建设工程，开工时间较长，工地位置处于人口集中区域等情形的</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系数1-4</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eastAsia="宋体"/>
                <w:color w:val="auto"/>
                <w:sz w:val="15"/>
                <w:szCs w:val="15"/>
                <w:highlight w:val="none"/>
                <w:lang w:val="en"/>
              </w:rPr>
              <w:t>。</w:t>
            </w:r>
          </w:p>
        </w:tc>
        <w:tc>
          <w:tcPr>
            <w:tcW w:w="1785" w:type="dxa"/>
            <w:shd w:val="clear" w:color="auto" w:fill="auto"/>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＋变量系数）</w:t>
            </w:r>
          </w:p>
        </w:tc>
        <w:tc>
          <w:tcPr>
            <w:tcW w:w="2385" w:type="dxa"/>
            <w:shd w:val="clear" w:color="auto" w:fill="auto"/>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w:t>
            </w:r>
            <w:r>
              <w:rPr>
                <w:rFonts w:hint="eastAsia" w:ascii="宋体" w:hAnsi="宋体"/>
                <w:color w:val="auto"/>
                <w:sz w:val="15"/>
                <w:szCs w:val="15"/>
                <w:highlight w:val="none"/>
                <w:lang w:eastAsia="zh-CN"/>
              </w:rPr>
              <w:t>原</w:t>
            </w:r>
            <w:r>
              <w:rPr>
                <w:rFonts w:hint="eastAsia" w:ascii="宋体" w:hAnsi="宋体" w:eastAsia="宋体"/>
                <w:color w:val="auto"/>
                <w:sz w:val="15"/>
                <w:szCs w:val="15"/>
                <w:highlight w:val="none"/>
              </w:rPr>
              <w:t>《北京市环境噪声污染防治办法》中“未把产生噪声的设备、设施布置在远离居住区一侧”案由停止执行，存在</w:t>
            </w:r>
            <w:r>
              <w:rPr>
                <w:rFonts w:hint="eastAsia" w:ascii="宋体" w:hAnsi="宋体"/>
                <w:color w:val="auto"/>
                <w:sz w:val="15"/>
                <w:szCs w:val="15"/>
                <w:highlight w:val="none"/>
                <w:lang w:eastAsia="zh-CN"/>
              </w:rPr>
              <w:t>上述</w:t>
            </w:r>
            <w:r>
              <w:rPr>
                <w:rFonts w:hint="eastAsia" w:ascii="宋体" w:hAnsi="宋体" w:eastAsia="宋体"/>
                <w:color w:val="auto"/>
                <w:sz w:val="15"/>
                <w:szCs w:val="15"/>
                <w:highlight w:val="none"/>
              </w:rPr>
              <w:t>情形的，按照“施工单位未采取有效措施减少振动、降低噪声”</w:t>
            </w:r>
            <w:r>
              <w:rPr>
                <w:rFonts w:hint="eastAsia" w:ascii="宋体" w:hAnsi="宋体" w:eastAsia="宋体"/>
                <w:color w:val="auto"/>
                <w:sz w:val="15"/>
                <w:szCs w:val="15"/>
                <w:highlight w:val="none"/>
                <w:lang w:eastAsia="zh-CN"/>
              </w:rPr>
              <w:t>执行</w:t>
            </w:r>
            <w:r>
              <w:rPr>
                <w:rFonts w:hint="eastAsia" w:ascii="宋体" w:hAnsi="宋体" w:eastAsia="宋体"/>
                <w:color w:val="auto"/>
                <w:sz w:val="15"/>
                <w:szCs w:val="15"/>
                <w:highlight w:val="none"/>
              </w:rPr>
              <w:t>。</w:t>
            </w:r>
          </w:p>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2.大型建设工程是指：25层以上（含，下同）的房屋建筑工程；高度100米以上的构筑物或建筑物工程；单体建筑面积3万平方米以上的房屋建筑工程；建筑面积10万平方米以上的住宅小区或建筑群体工程单项合同额1亿元以上的房屋建筑工程。</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3" w:hRule="atLeast"/>
          <w:jc w:val="center"/>
        </w:trPr>
        <w:tc>
          <w:tcPr>
            <w:tcW w:w="940" w:type="dxa"/>
            <w:vMerge w:val="continue"/>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p>
        </w:tc>
        <w:tc>
          <w:tcPr>
            <w:tcW w:w="1500" w:type="dxa"/>
            <w:vMerge w:val="continue"/>
            <w:shd w:val="clear" w:color="auto" w:fill="auto"/>
            <w:vAlign w:val="center"/>
          </w:tcPr>
          <w:p>
            <w:pPr>
              <w:spacing w:line="232" w:lineRule="exact"/>
              <w:rPr>
                <w:rFonts w:hint="eastAsia" w:ascii="宋体" w:hAnsi="宋体" w:eastAsia="宋体" w:cs="宋体"/>
                <w:color w:val="auto"/>
                <w:kern w:val="0"/>
                <w:sz w:val="15"/>
                <w:szCs w:val="15"/>
                <w:highlight w:val="none"/>
              </w:rPr>
            </w:pPr>
          </w:p>
        </w:tc>
        <w:tc>
          <w:tcPr>
            <w:tcW w:w="2789" w:type="dxa"/>
            <w:vMerge w:val="continue"/>
            <w:shd w:val="clear" w:color="auto" w:fill="auto"/>
            <w:vAlign w:val="center"/>
          </w:tcPr>
          <w:p>
            <w:pPr>
              <w:spacing w:line="232" w:lineRule="exact"/>
              <w:rPr>
                <w:rFonts w:hint="eastAsia" w:ascii="宋体" w:hAnsi="宋体" w:eastAsia="宋体" w:cs="宋体"/>
                <w:color w:val="auto"/>
                <w:kern w:val="0"/>
                <w:sz w:val="15"/>
                <w:szCs w:val="15"/>
                <w:highlight w:val="none"/>
              </w:rPr>
            </w:pPr>
          </w:p>
        </w:tc>
        <w:tc>
          <w:tcPr>
            <w:tcW w:w="851" w:type="dxa"/>
            <w:shd w:val="clear" w:color="auto" w:fill="auto"/>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50000（拒不改正）</w:t>
            </w:r>
          </w:p>
        </w:tc>
        <w:tc>
          <w:tcPr>
            <w:tcW w:w="840" w:type="dxa"/>
            <w:shd w:val="clear" w:color="auto" w:fill="auto"/>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2304" w:type="dxa"/>
            <w:shd w:val="clear" w:color="auto" w:fill="auto"/>
            <w:vAlign w:val="center"/>
          </w:tcPr>
          <w:p>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1.大型建设工程，开工时间较长，工地位置处于人口集中区域等情形的</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系数1</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ascii="宋体" w:hAnsi="宋体" w:eastAsia="宋体"/>
                <w:color w:val="auto"/>
                <w:sz w:val="15"/>
                <w:szCs w:val="15"/>
                <w:highlight w:val="none"/>
                <w:lang w:val="en"/>
              </w:rPr>
              <w:t>,</w:t>
            </w:r>
            <w:r>
              <w:rPr>
                <w:rFonts w:hint="eastAsia" w:ascii="宋体" w:hAnsi="宋体" w:eastAsia="宋体"/>
                <w:color w:val="auto"/>
                <w:sz w:val="15"/>
                <w:szCs w:val="15"/>
                <w:highlight w:val="none"/>
              </w:rPr>
              <w:t>系数2-3</w:t>
            </w:r>
            <w:r>
              <w:rPr>
                <w:rFonts w:hint="eastAsia" w:ascii="宋体" w:hAnsi="宋体" w:eastAsia="宋体"/>
                <w:color w:val="auto"/>
                <w:sz w:val="15"/>
                <w:szCs w:val="15"/>
                <w:highlight w:val="none"/>
                <w:lang w:val="en"/>
              </w:rPr>
              <w:t>。</w:t>
            </w:r>
          </w:p>
        </w:tc>
        <w:tc>
          <w:tcPr>
            <w:tcW w:w="1785" w:type="dxa"/>
            <w:shd w:val="clear" w:color="auto" w:fill="auto"/>
            <w:vAlign w:val="center"/>
          </w:tcPr>
          <w:p>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罚款数额＝50000×（1＋</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＋变量系数）</w:t>
            </w:r>
          </w:p>
        </w:tc>
        <w:tc>
          <w:tcPr>
            <w:tcW w:w="2385" w:type="dxa"/>
            <w:shd w:val="clear" w:color="auto" w:fill="auto"/>
            <w:vAlign w:val="center"/>
          </w:tcPr>
          <w:p>
            <w:pPr>
              <w:spacing w:line="232" w:lineRule="exact"/>
              <w:rPr>
                <w:rFonts w:hint="eastAsia" w:ascii="宋体" w:hAnsi="宋体" w:eastAsia="宋体" w:cs="宋体"/>
                <w:color w:val="auto"/>
                <w:kern w:val="0"/>
                <w:sz w:val="15"/>
                <w:szCs w:val="15"/>
                <w:highlight w:val="none"/>
                <w:lang w:val="en-US" w:eastAsia="zh-CN" w:bidi="ar-SA"/>
              </w:rPr>
            </w:pPr>
            <w:r>
              <w:rPr>
                <w:rFonts w:hint="eastAsia" w:ascii="宋体" w:hAnsi="宋体" w:eastAsia="宋体"/>
                <w:color w:val="auto"/>
                <w:sz w:val="15"/>
                <w:szCs w:val="15"/>
                <w:highlight w:val="none"/>
              </w:rPr>
              <w:t>《基准》“拒不改正”的情形，不纳入本案由</w:t>
            </w:r>
            <w:r>
              <w:rPr>
                <w:rFonts w:hint="eastAsia" w:ascii="宋体" w:hAnsi="宋体" w:eastAsia="宋体"/>
                <w:color w:val="auto"/>
                <w:sz w:val="15"/>
                <w:szCs w:val="15"/>
                <w:highlight w:val="none"/>
                <w:lang w:eastAsia="zh-CN"/>
              </w:rPr>
              <w:t>常量系数</w:t>
            </w:r>
            <w:r>
              <w:rPr>
                <w:rFonts w:hint="eastAsia" w:ascii="宋体" w:hAnsi="宋体" w:eastAsia="宋体"/>
                <w:color w:val="auto"/>
                <w:sz w:val="15"/>
                <w:szCs w:val="15"/>
                <w:highlight w:val="none"/>
              </w:rPr>
              <w:t>。</w:t>
            </w:r>
          </w:p>
        </w:tc>
        <w:tc>
          <w:tcPr>
            <w:tcW w:w="824" w:type="dxa"/>
            <w:vMerge w:val="continue"/>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1"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23" w:name="_Toc939694038"/>
            <w:r>
              <w:rPr>
                <w:rFonts w:hint="eastAsia" w:ascii="黑体" w:hAnsi="黑体" w:eastAsia="黑体"/>
                <w:b w:val="0"/>
                <w:color w:val="auto"/>
                <w:sz w:val="36"/>
                <w:szCs w:val="36"/>
                <w:highlight w:val="none"/>
              </w:rPr>
              <w:t>施工现场管理方面</w:t>
            </w:r>
            <w:bookmarkEnd w:id="121"/>
            <w:bookmarkEnd w:id="122"/>
            <w:bookmarkEnd w:id="1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24" w:name="_Toc110851474"/>
            <w:bookmarkStart w:id="125" w:name="_Toc1669927446"/>
            <w:bookmarkStart w:id="126" w:name="_Toc360439743"/>
            <w:r>
              <w:rPr>
                <w:rFonts w:hint="eastAsia" w:asciiTheme="minorEastAsia" w:hAnsiTheme="minorEastAsia" w:eastAsiaTheme="minorEastAsia"/>
                <w:color w:val="auto"/>
                <w:sz w:val="21"/>
                <w:szCs w:val="21"/>
                <w:highlight w:val="none"/>
              </w:rPr>
              <w:t>《北京市大气污染防治条例》施工现场执法案由16项</w:t>
            </w:r>
            <w:bookmarkEnd w:id="124"/>
            <w:bookmarkEnd w:id="125"/>
            <w:bookmarkEnd w:id="1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建设单位未按标准设置围挡</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1.未按标准设置围挡长度16-30米的，系数1；31-45米的，系数2，以此类推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未按规定设置围挡</w:t>
            </w:r>
            <w:r>
              <w:rPr>
                <w:rFonts w:hint="eastAsia" w:asciiTheme="minorEastAsia" w:hAnsiTheme="minorEastAsia" w:eastAsiaTheme="minorEastAsia"/>
                <w:color w:val="auto"/>
                <w:sz w:val="15"/>
                <w:szCs w:val="15"/>
                <w:highlight w:val="none"/>
              </w:rPr>
              <w:t>危害公共安全的，系数9。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需要作出其它罚款额度的，说明理由，报案审会决定。</w:t>
            </w:r>
          </w:p>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施工单位未对围挡进行维护</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违反条款：第八十一条第一款第（一）项</w:t>
            </w: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1.未按规定管护围挡长度16-30米的，系数1；31-45米的，系数2，以此类推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未按规定管护围挡</w:t>
            </w:r>
            <w:r>
              <w:rPr>
                <w:rFonts w:hint="eastAsia" w:asciiTheme="minorEastAsia" w:hAnsiTheme="minorEastAsia" w:eastAsiaTheme="minorEastAsia"/>
                <w:color w:val="auto"/>
                <w:sz w:val="15"/>
                <w:szCs w:val="15"/>
                <w:highlight w:val="none"/>
              </w:rPr>
              <w:t>危害公共安全的，系数9。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6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施工单位未在施工现场出入口公示相关信息</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1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未对施工现场内主要道路和物料堆放场地进行硬化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未硬化、覆盖或者绿化面积10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9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未对施工现场内除主要道路和物料堆放场地外其它场地进行覆盖或者临时绿化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w:t>
            </w:r>
            <w:r>
              <w:rPr>
                <w:rFonts w:asciiTheme="minorEastAsia" w:hAnsiTheme="minorEastAsia" w:eastAsiaTheme="minorEastAsia"/>
                <w:color w:val="auto"/>
                <w:sz w:val="15"/>
                <w:szCs w:val="15"/>
                <w:highlight w:val="none"/>
              </w:rPr>
              <w:t>土方</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集中堆放</w:t>
            </w:r>
            <w:r>
              <w:rPr>
                <w:rFonts w:hint="eastAsia" w:asciiTheme="minorEastAsia" w:hAnsiTheme="minorEastAsia" w:eastAsiaTheme="minorEastAsia"/>
                <w:color w:val="auto"/>
                <w:sz w:val="15"/>
                <w:szCs w:val="15"/>
                <w:highlight w:val="none"/>
              </w:rPr>
              <w:t>或者未</w:t>
            </w:r>
            <w:r>
              <w:rPr>
                <w:rFonts w:asciiTheme="minorEastAsia" w:hAnsiTheme="minorEastAsia" w:eastAsiaTheme="minorEastAsia"/>
                <w:color w:val="auto"/>
                <w:sz w:val="15"/>
                <w:szCs w:val="15"/>
                <w:highlight w:val="none"/>
              </w:rPr>
              <w:t>采取覆盖</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固化措施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大风天气未停止可能产生扬尘污染的施工作业</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违反条款：第八十一条第一款第（四）项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1.6</w:t>
            </w:r>
            <w:r>
              <w:rPr>
                <w:rFonts w:hint="eastAsia" w:asciiTheme="minorEastAsia" w:hAnsiTheme="minorEastAsia" w:eastAsiaTheme="minorEastAsia"/>
                <w:color w:val="auto"/>
                <w:sz w:val="15"/>
                <w:szCs w:val="15"/>
                <w:highlight w:val="none"/>
              </w:rPr>
              <w:t>级及</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级以上大风未停止可能产生扬尘污染的施工作业的，系数</w:t>
            </w:r>
            <w:r>
              <w:rPr>
                <w:rFonts w:asciiTheme="minorEastAsia" w:hAnsiTheme="minorEastAsia" w:eastAsiaTheme="minorEastAsia"/>
                <w:color w:val="auto"/>
                <w:sz w:val="15"/>
                <w:szCs w:val="15"/>
                <w:highlight w:val="none"/>
              </w:rPr>
              <w:t>5-8</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施工现场出口处未设置冲洗车辆设施</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施工现场未按规定安装视频监控系统</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施工车辆未经除泥、冲洗驶出工地</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8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hint="default" w:cs="宋体" w:asciiTheme="minorEastAsia" w:hAnsiTheme="minorEastAsia" w:eastAsiaTheme="minorEastAsia"/>
                <w:color w:val="auto"/>
                <w:sz w:val="15"/>
                <w:szCs w:val="15"/>
                <w:highlight w:val="none"/>
                <w:lang w:val="en"/>
              </w:rPr>
            </w:pPr>
            <w:r>
              <w:rPr>
                <w:rFonts w:hint="eastAsia" w:asciiTheme="minorEastAsia" w:hAnsiTheme="minorEastAsia" w:eastAsiaTheme="minorEastAsia"/>
                <w:color w:val="auto"/>
                <w:sz w:val="15"/>
                <w:szCs w:val="15"/>
                <w:highlight w:val="none"/>
              </w:rPr>
              <w:t>车辆清洗处未配套设置排水、泥浆沉淀设施</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按照《基准》规定</w:t>
            </w:r>
            <w:r>
              <w:rPr>
                <w:rFonts w:asciiTheme="minorEastAsia" w:hAnsiTheme="minorEastAsia" w:eastAsiaTheme="minorEastAsia"/>
                <w:color w:val="auto"/>
                <w:sz w:val="15"/>
                <w:szCs w:val="15"/>
                <w:highlight w:val="none"/>
              </w:rPr>
              <w:t>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2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施工现场道路及进出口周边一百米以内的道路有泥土和建筑垃圾</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违反条款：第八十一条第一款第（六）项；</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污染道路长21－30米的，系数1；31－40米的，系数2；以此类推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道路挖掘施工过程中未及时覆盖破损路面并采取措施</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违反条款：第八十一条第一款第（七）项；</w:t>
            </w:r>
          </w:p>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路面长21－30米的，系数1；31－40米的，系数2；以此类推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1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4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道路挖掘施工完成后未及时修复路面</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违反条款：第八十一条第一款第（七）项；</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未修复的道路长21－30米的，系数1；31－40米的，系数2；以此类推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1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产生扬尘的物料未按规定贮存或者未</w:t>
            </w:r>
            <w:r>
              <w:rPr>
                <w:rFonts w:hint="eastAsia" w:asciiTheme="minorEastAsia" w:hAnsiTheme="minorEastAsia" w:eastAsiaTheme="minorEastAsia"/>
                <w:bCs/>
                <w:color w:val="auto"/>
                <w:sz w:val="15"/>
                <w:szCs w:val="15"/>
                <w:highlight w:val="none"/>
              </w:rPr>
              <w:t>采取有效防尘措施</w:t>
            </w:r>
          </w:p>
        </w:tc>
        <w:tc>
          <w:tcPr>
            <w:tcW w:w="2789"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违反条款：第八十二条第一款；</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处罚条款：第一百二十条：责令限期改正，处一万元以上十万元以下罚款；拒不改正的，责令停工整治或者停业整治。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12" w:lineRule="exact"/>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拒不改正的，责令停工整治或者停业整治。</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7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未按规定处置或覆盖建筑土方、工程渣土、建筑垃圾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处罚条款：第一百二十条：责令限期改正，处一万元以上十万元以下罚款；拒不改正的，责令停工整治或者停业整治。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占地面积10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的，系数1；16－20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+变量系数+区域系数）</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拒不改正的，责令停工整治或者停业整治。</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27" w:name="_Toc854219027"/>
            <w:bookmarkStart w:id="128" w:name="_Toc110851475"/>
            <w:bookmarkStart w:id="129" w:name="_Toc1299249536"/>
            <w:r>
              <w:rPr>
                <w:rFonts w:hint="eastAsia" w:asciiTheme="minorEastAsia" w:hAnsiTheme="minorEastAsia" w:eastAsiaTheme="minorEastAsia"/>
                <w:color w:val="auto"/>
                <w:sz w:val="21"/>
                <w:szCs w:val="21"/>
                <w:highlight w:val="none"/>
              </w:rPr>
              <w:t>《北京市建设工程施工现场管理办法》案由13项</w:t>
            </w:r>
            <w:bookmarkEnd w:id="127"/>
            <w:bookmarkEnd w:id="128"/>
            <w:bookmarkEnd w:id="1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7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建设单位未按标准设置围挡</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1.未按标准设置围挡长度1</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米的，系数1；</w:t>
            </w:r>
            <w:r>
              <w:rPr>
                <w:rFonts w:asciiTheme="minorEastAsia" w:hAnsiTheme="minorEastAsia" w:eastAsiaTheme="minorEastAsia"/>
                <w:color w:val="auto"/>
                <w:sz w:val="15"/>
                <w:szCs w:val="15"/>
                <w:highlight w:val="none"/>
              </w:rPr>
              <w:t>31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45</w:t>
            </w:r>
            <w:r>
              <w:rPr>
                <w:rFonts w:hint="eastAsia" w:asciiTheme="minorEastAsia" w:hAnsiTheme="minorEastAsia" w:eastAsiaTheme="minorEastAsia"/>
                <w:color w:val="auto"/>
                <w:sz w:val="15"/>
                <w:szCs w:val="15"/>
                <w:highlight w:val="none"/>
              </w:rPr>
              <w:t>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5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施工单位未对围挡进行维护</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1.未按规定管护围挡长度</w:t>
            </w:r>
            <w:r>
              <w:rPr>
                <w:rFonts w:asciiTheme="minorEastAsia" w:hAnsiTheme="minorEastAsia" w:eastAsiaTheme="minorEastAsia"/>
                <w:color w:val="auto"/>
                <w:sz w:val="15"/>
                <w:szCs w:val="15"/>
                <w:highlight w:val="none"/>
              </w:rPr>
              <w:t>16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米的，系数1；</w:t>
            </w:r>
            <w:r>
              <w:rPr>
                <w:rFonts w:asciiTheme="minorEastAsia" w:hAnsiTheme="minorEastAsia" w:eastAsiaTheme="minorEastAsia"/>
                <w:color w:val="auto"/>
                <w:sz w:val="15"/>
                <w:szCs w:val="15"/>
                <w:highlight w:val="none"/>
              </w:rPr>
              <w:t>31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45</w:t>
            </w:r>
            <w:r>
              <w:rPr>
                <w:rFonts w:hint="eastAsia" w:asciiTheme="minorEastAsia" w:hAnsiTheme="minorEastAsia" w:eastAsiaTheme="minorEastAsia"/>
                <w:color w:val="auto"/>
                <w:sz w:val="15"/>
                <w:szCs w:val="15"/>
                <w:highlight w:val="none"/>
              </w:rPr>
              <w:t>米的，系数2，以此类推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7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市政基础设施工程因特殊情况不能进行围挡的未设置警示标志（或未在工程危险部位采取防护措施）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1.违法行为持续时间较长，或者未设置警示标志或者防护措施的长度、面积较大的，发生在人口密集地区的，系数</w:t>
            </w:r>
            <w:r>
              <w:rPr>
                <w:rFonts w:asciiTheme="minorEastAsia" w:hAnsiTheme="minorEastAsia" w:eastAsiaTheme="minorEastAsia"/>
                <w:color w:val="auto"/>
                <w:sz w:val="15"/>
                <w:szCs w:val="15"/>
                <w:highlight w:val="none"/>
              </w:rPr>
              <w:t>5-9</w:t>
            </w:r>
            <w:r>
              <w:rPr>
                <w:rFonts w:hint="eastAsia" w:asciiTheme="minorEastAsia" w:hAnsiTheme="minorEastAsia" w:eastAsiaTheme="minorEastAsia"/>
                <w:color w:val="auto"/>
                <w:sz w:val="15"/>
                <w:szCs w:val="15"/>
                <w:highlight w:val="none"/>
              </w:rPr>
              <w:t>；2.期间发生危害公共安全行为的，系数9。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未按规定对施工现场道路、场地进行硬化、覆盖或者绿化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未硬化、覆盖或者绿化面积</w:t>
            </w:r>
            <w:r>
              <w:rPr>
                <w:rFonts w:cs="宋体" w:asciiTheme="minorEastAsia" w:hAnsiTheme="minorEastAsia" w:eastAsiaTheme="minorEastAsia"/>
                <w:color w:val="auto"/>
                <w:kern w:val="0"/>
                <w:sz w:val="15"/>
                <w:szCs w:val="15"/>
                <w:highlight w:val="none"/>
              </w:rPr>
              <w:t>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w:t>
            </w:r>
            <w:r>
              <w:rPr>
                <w:rFonts w:cs="宋体" w:asciiTheme="minorEastAsia" w:hAnsiTheme="minorEastAsia" w:eastAsiaTheme="minorEastAsia"/>
                <w:color w:val="auto"/>
                <w:kern w:val="0"/>
                <w:sz w:val="15"/>
                <w:szCs w:val="15"/>
                <w:highlight w:val="none"/>
              </w:rPr>
              <w:t>11</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26</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5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w:t>
            </w:r>
            <w:r>
              <w:rPr>
                <w:rFonts w:asciiTheme="minorEastAsia" w:hAnsiTheme="minorEastAsia" w:eastAsiaTheme="minorEastAsia"/>
                <w:color w:val="auto"/>
                <w:sz w:val="15"/>
                <w:szCs w:val="15"/>
                <w:highlight w:val="none"/>
              </w:rPr>
              <w:t>土方</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集中堆放</w:t>
            </w:r>
            <w:r>
              <w:rPr>
                <w:rFonts w:hint="eastAsia" w:asciiTheme="minorEastAsia" w:hAnsiTheme="minorEastAsia" w:eastAsiaTheme="minorEastAsia"/>
                <w:color w:val="auto"/>
                <w:sz w:val="15"/>
                <w:szCs w:val="15"/>
                <w:highlight w:val="none"/>
              </w:rPr>
              <w:t>或者未</w:t>
            </w:r>
            <w:r>
              <w:rPr>
                <w:rFonts w:asciiTheme="minorEastAsia" w:hAnsiTheme="minorEastAsia" w:eastAsiaTheme="minorEastAsia"/>
                <w:color w:val="auto"/>
                <w:sz w:val="15"/>
                <w:szCs w:val="15"/>
                <w:highlight w:val="none"/>
              </w:rPr>
              <w:t>采取覆盖</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固化等措施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10000×（1+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1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建设单位</w:t>
            </w:r>
            <w:r>
              <w:rPr>
                <w:rFonts w:hint="eastAsia" w:cs="宋体" w:asciiTheme="minorEastAsia" w:hAnsiTheme="minorEastAsia" w:eastAsiaTheme="minorEastAsia"/>
                <w:color w:val="auto"/>
                <w:kern w:val="0"/>
                <w:sz w:val="15"/>
                <w:szCs w:val="15"/>
                <w:highlight w:val="none"/>
              </w:rPr>
              <w:t>未对暂时不开发的空地进行绿化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以内，变量系数为</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auto"/>
            <w:vAlign w:val="center"/>
          </w:tcPr>
          <w:p>
            <w:pPr>
              <w:spacing w:line="232" w:lineRule="exact"/>
              <w:rPr>
                <w:rFonts w:cs="宋体" w:asciiTheme="minorEastAsia" w:hAnsiTheme="minorEastAsia" w:eastAsiaTheme="minorEastAsia"/>
                <w:dstrike/>
                <w:color w:val="auto"/>
                <w:sz w:val="15"/>
                <w:szCs w:val="15"/>
                <w:highlight w:val="none"/>
              </w:rPr>
            </w:pPr>
            <w:r>
              <w:rPr>
                <w:rFonts w:hint="eastAsia" w:asciiTheme="minorEastAsia" w:hAnsiTheme="minorEastAsia" w:eastAsiaTheme="minorEastAsia"/>
                <w:color w:val="auto"/>
                <w:sz w:val="15"/>
                <w:szCs w:val="15"/>
                <w:highlight w:val="none"/>
              </w:rPr>
              <w:t>施工现场未采取洒水措施防止扬尘</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违反条款：第二十三条第（三）项；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2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拆除作业时未采取洒水措施防止扬尘</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4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可能产生扬尘污染的建筑材料未在库房存放或者未严密遮盖</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违反条款：第二十三条第（四）项；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面积</w:t>
            </w:r>
            <w:r>
              <w:rPr>
                <w:rFonts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w:t>
            </w:r>
            <w:r>
              <w:rPr>
                <w:rFonts w:asciiTheme="minorEastAsia" w:hAnsiTheme="minorEastAsia" w:eastAsiaTheme="minorEastAsia"/>
                <w:color w:val="auto"/>
                <w:sz w:val="15"/>
                <w:szCs w:val="15"/>
                <w:highlight w:val="none"/>
              </w:rPr>
              <w:t>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6－</w:t>
            </w:r>
            <w:r>
              <w:rPr>
                <w:rFonts w:asciiTheme="minorEastAsia" w:hAnsiTheme="minorEastAsia" w:eastAsiaTheme="minorEastAsia"/>
                <w:color w:val="auto"/>
                <w:sz w:val="15"/>
                <w:szCs w:val="15"/>
                <w:highlight w:val="none"/>
              </w:rPr>
              <w:t>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。2.造成尘土飞扬，严重污染环境的，系数为9。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适用于施工现场相关违法行为的查处。</w:t>
            </w:r>
          </w:p>
          <w:p>
            <w:pPr>
              <w:spacing w:line="232" w:lineRule="exact"/>
              <w:jc w:val="lef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5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施工现场存放油料未采取防止泄漏和污染措施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违反条款：第二十三条第（四）项；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p>
            <w:pPr>
              <w:spacing w:line="232" w:lineRule="exact"/>
              <w:jc w:val="center"/>
              <w:rPr>
                <w:rFonts w:asciiTheme="minorEastAsia" w:hAnsiTheme="minorEastAsia" w:eastAsiaTheme="minorEastAsia"/>
                <w:color w:val="auto"/>
                <w:sz w:val="15"/>
                <w:szCs w:val="15"/>
                <w:highlight w:val="none"/>
              </w:rPr>
            </w:pP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。2.其他严重污染环境情形的，系数为9。</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施工现场出口处未设置冲洗车辆设施</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违反条款：第二十四条；</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w:t>
            </w:r>
            <w:r>
              <w:rPr>
                <w:rFonts w:asciiTheme="minorEastAsia" w:hAnsiTheme="minorEastAsia" w:eastAsiaTheme="minorEastAsia"/>
                <w:color w:val="auto"/>
                <w:sz w:val="15"/>
                <w:szCs w:val="15"/>
                <w:highlight w:val="none"/>
              </w:rPr>
              <w:t>三十七条，</w:t>
            </w:r>
            <w:r>
              <w:rPr>
                <w:rFonts w:hint="eastAsia" w:asciiTheme="minorEastAsia" w:hAnsiTheme="minorEastAsia" w:eastAsiaTheme="minorEastAsia"/>
                <w:color w:val="auto"/>
                <w:sz w:val="15"/>
                <w:szCs w:val="15"/>
                <w:highlight w:val="none"/>
              </w:rPr>
              <w:t>违反本办法第二十四条规定，未设置冲洗车辆设施的，由城市管理综合执法部门责令限期改正，处1万元以上10万元以下罚款；逾期未改正的，责令停工整治。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p>
            <w:pPr>
              <w:spacing w:line="232" w:lineRule="exact"/>
              <w:rPr>
                <w:rFonts w:hint="eastAsia"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未设密闭式垃圾站</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未设置时间持续较长、垃圾堆放量较大，垃圾飘洒、恶臭等环境脏乱严重等情形，系数为1。</w:t>
            </w:r>
          </w:p>
        </w:tc>
        <w:tc>
          <w:tcPr>
            <w:tcW w:w="1785" w:type="dxa"/>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2"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未搭设密闭式专用垃圾通道或者未采用容器吊运的</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未搭设密闭式专用垃圾通道时间持续较长或不采用容器吊运时间较长的，系数为1。</w:t>
            </w:r>
          </w:p>
        </w:tc>
        <w:tc>
          <w:tcPr>
            <w:tcW w:w="1785" w:type="dxa"/>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常量系数＋变量系数＋区域系数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w:t>
            </w:r>
            <w:r>
              <w:rPr>
                <w:rFonts w:hint="eastAsia" w:cs="宋体" w:asciiTheme="minorEastAsia" w:hAnsiTheme="minorEastAsia" w:eastAsiaTheme="minorEastAsia"/>
                <w:color w:val="auto"/>
                <w:kern w:val="0"/>
                <w:sz w:val="15"/>
                <w:szCs w:val="15"/>
                <w:highlight w:val="none"/>
              </w:rPr>
              <w:t>罚款额度的，说明</w:t>
            </w:r>
            <w:r>
              <w:rPr>
                <w:rFonts w:cs="宋体" w:asciiTheme="minorEastAsia" w:hAnsiTheme="minorEastAsia" w:eastAsiaTheme="minorEastAsia"/>
                <w:color w:val="auto"/>
                <w:kern w:val="0"/>
                <w:sz w:val="15"/>
                <w:szCs w:val="15"/>
                <w:highlight w:val="none"/>
              </w:rPr>
              <w:t>理由，报</w:t>
            </w:r>
            <w:r>
              <w:rPr>
                <w:rFonts w:hint="eastAsia" w:cs="宋体" w:asciiTheme="minorEastAsia" w:hAnsiTheme="minorEastAsia" w:eastAsiaTheme="minorEastAsia"/>
                <w:color w:val="auto"/>
                <w:kern w:val="0"/>
                <w:sz w:val="15"/>
                <w:szCs w:val="15"/>
                <w:highlight w:val="none"/>
              </w:rPr>
              <w:t>案</w:t>
            </w:r>
            <w:r>
              <w:rPr>
                <w:rFonts w:cs="宋体" w:asciiTheme="minorEastAsia" w:hAnsiTheme="minorEastAsia" w:eastAsiaTheme="minorEastAsia"/>
                <w:color w:val="auto"/>
                <w:kern w:val="0"/>
                <w:sz w:val="15"/>
                <w:szCs w:val="15"/>
                <w:highlight w:val="none"/>
              </w:rPr>
              <w:t>审会决定</w:t>
            </w:r>
            <w:r>
              <w:rPr>
                <w:rFonts w:hint="eastAsia" w:cs="宋体" w:asciiTheme="minorEastAsia" w:hAnsiTheme="minorEastAsia" w:eastAsiaTheme="minorEastAsia"/>
                <w:color w:val="auto"/>
                <w:kern w:val="0"/>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30" w:name="_Toc1256403622"/>
            <w:bookmarkStart w:id="131" w:name="_Toc110851476"/>
            <w:bookmarkStart w:id="132" w:name="_Toc2005568916"/>
            <w:r>
              <w:rPr>
                <w:rFonts w:hint="eastAsia" w:ascii="黑体" w:hAnsi="黑体" w:eastAsia="黑体"/>
                <w:b w:val="0"/>
                <w:color w:val="auto"/>
                <w:sz w:val="36"/>
                <w:szCs w:val="36"/>
                <w:highlight w:val="none"/>
              </w:rPr>
              <w:t>停车场管理方面案由</w:t>
            </w:r>
            <w:bookmarkEnd w:id="130"/>
            <w:bookmarkEnd w:id="131"/>
            <w:bookmarkEnd w:id="13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2"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3" w:name="_Toc509001082"/>
            <w:bookmarkStart w:id="134" w:name="_Toc110851477"/>
            <w:bookmarkStart w:id="135" w:name="_Toc429358351"/>
            <w:r>
              <w:rPr>
                <w:rFonts w:hint="eastAsia" w:asciiTheme="minorEastAsia" w:hAnsiTheme="minorEastAsia" w:eastAsiaTheme="minorEastAsia"/>
                <w:color w:val="auto"/>
                <w:sz w:val="21"/>
                <w:szCs w:val="21"/>
                <w:highlight w:val="none"/>
              </w:rPr>
              <w:t>《北京市机动车停车管理办法》案由13项</w:t>
            </w:r>
            <w:bookmarkEnd w:id="133"/>
            <w:bookmarkEnd w:id="134"/>
            <w:bookmarkEnd w:id="13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擅自停止使用机动车停车场</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违反条款第十四条第一款；处罚条款：第三十一条：责令限期改正，恢复原状。</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擅自将机动车停车场改作他用</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违反条款第十四条第一款；处罚条款;第三十一条:责令限期改正，恢复原状。</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擅自将机动车临时停车场停止使用</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违反条款第十四条第二款；处罚条款；第三十一条：责令限期改正，恢复原状。</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190" w:lineRule="exact"/>
              <w:contextualSpacing/>
              <w:jc w:val="left"/>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无照经营（机动车停车场）</w:t>
            </w:r>
          </w:p>
        </w:tc>
        <w:tc>
          <w:tcPr>
            <w:tcW w:w="2789" w:type="dxa"/>
            <w:shd w:val="clear" w:color="auto" w:fill="auto"/>
            <w:vAlign w:val="center"/>
          </w:tcPr>
          <w:p>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违反条款：《北京市机动车停车管理办法》第二十条第一款、《无证无照经营查处办法》第二条；</w:t>
            </w:r>
          </w:p>
          <w:p>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处罚条款：《北京市机动车停车管理办法》第三十二条第一款、《无证无照经营查处办法》第十三条，责令停止违法行为，没收违法所得，并处1万元以下的罚款。</w:t>
            </w:r>
          </w:p>
        </w:tc>
        <w:tc>
          <w:tcPr>
            <w:tcW w:w="851" w:type="dxa"/>
            <w:shd w:val="clear" w:color="auto" w:fill="auto"/>
            <w:vAlign w:val="center"/>
          </w:tcPr>
          <w:p>
            <w:pPr>
              <w:spacing w:line="190"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3000</w:t>
            </w:r>
          </w:p>
        </w:tc>
        <w:tc>
          <w:tcPr>
            <w:tcW w:w="840" w:type="dxa"/>
            <w:shd w:val="clear" w:color="auto" w:fill="auto"/>
            <w:vAlign w:val="center"/>
          </w:tcPr>
          <w:p>
            <w:pPr>
              <w:spacing w:line="190"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w:t>
            </w:r>
          </w:p>
        </w:tc>
        <w:tc>
          <w:tcPr>
            <w:tcW w:w="2304" w:type="dxa"/>
            <w:shd w:val="clear" w:color="auto" w:fill="auto"/>
            <w:vAlign w:val="center"/>
          </w:tcPr>
          <w:p>
            <w:pPr>
              <w:spacing w:line="190" w:lineRule="exact"/>
              <w:contextualSpacing/>
              <w:jc w:val="left"/>
              <w:rPr>
                <w:rFonts w:hint="eastAsia" w:cs="宋体" w:asciiTheme="minorEastAsia" w:hAnsiTheme="minorEastAsia" w:eastAsiaTheme="minorEastAsia"/>
                <w:bCs/>
                <w:color w:val="auto"/>
                <w:kern w:val="0"/>
                <w:sz w:val="15"/>
                <w:szCs w:val="15"/>
                <w:highlight w:val="none"/>
                <w:lang w:eastAsia="zh-CN"/>
              </w:rPr>
            </w:pPr>
            <w:r>
              <w:rPr>
                <w:rFonts w:hint="eastAsia" w:cs="宋体" w:asciiTheme="minorEastAsia" w:hAnsiTheme="minorEastAsia" w:eastAsiaTheme="minorEastAsia"/>
                <w:bCs/>
                <w:color w:val="auto"/>
                <w:kern w:val="0"/>
                <w:sz w:val="15"/>
                <w:szCs w:val="15"/>
                <w:highlight w:val="none"/>
              </w:rPr>
              <w:t>按照《基准》的规定执行</w:t>
            </w:r>
            <w:r>
              <w:rPr>
                <w:rFonts w:hint="eastAsia" w:cs="宋体" w:asciiTheme="minorEastAsia" w:hAnsiTheme="minorEastAsia" w:eastAsiaTheme="minorEastAsia"/>
                <w:bCs/>
                <w:color w:val="auto"/>
                <w:kern w:val="0"/>
                <w:sz w:val="15"/>
                <w:szCs w:val="15"/>
                <w:highlight w:val="none"/>
                <w:lang w:eastAsia="zh-CN"/>
              </w:rPr>
              <w:t>。</w:t>
            </w:r>
          </w:p>
        </w:tc>
        <w:tc>
          <w:tcPr>
            <w:tcW w:w="1785" w:type="dxa"/>
            <w:shd w:val="clear" w:color="auto" w:fill="auto"/>
            <w:vAlign w:val="center"/>
          </w:tcPr>
          <w:p>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罚款数额＝3000×（1＋</w:t>
            </w:r>
            <w:r>
              <w:rPr>
                <w:rFonts w:hint="eastAsia" w:cs="宋体" w:asciiTheme="minorEastAsia" w:hAnsiTheme="minorEastAsia" w:eastAsiaTheme="minorEastAsia"/>
                <w:bCs/>
                <w:color w:val="auto"/>
                <w:kern w:val="0"/>
                <w:sz w:val="15"/>
                <w:szCs w:val="15"/>
                <w:highlight w:val="none"/>
                <w:lang w:eastAsia="zh-CN"/>
              </w:rPr>
              <w:t>常量系数＋区域系数</w:t>
            </w:r>
            <w:r>
              <w:rPr>
                <w:rFonts w:hint="eastAsia" w:cs="宋体" w:asciiTheme="minorEastAsia" w:hAnsiTheme="minorEastAsia" w:eastAsiaTheme="minorEastAsia"/>
                <w:bCs/>
                <w:color w:val="auto"/>
                <w:kern w:val="0"/>
                <w:sz w:val="15"/>
                <w:szCs w:val="15"/>
                <w:highlight w:val="none"/>
              </w:rPr>
              <w:t>）</w:t>
            </w:r>
          </w:p>
        </w:tc>
        <w:tc>
          <w:tcPr>
            <w:tcW w:w="2385" w:type="dxa"/>
            <w:shd w:val="clear" w:color="auto" w:fill="auto"/>
            <w:vAlign w:val="center"/>
          </w:tcPr>
          <w:p>
            <w:pPr>
              <w:spacing w:line="190" w:lineRule="exact"/>
              <w:contextualSpacing/>
              <w:rPr>
                <w:rFonts w:hint="eastAsia" w:cs="宋体" w:asciiTheme="minorEastAsia" w:hAnsiTheme="minorEastAsia" w:eastAsiaTheme="minorEastAsia"/>
                <w:bCs/>
                <w:color w:val="auto"/>
                <w:kern w:val="0"/>
                <w:sz w:val="15"/>
                <w:szCs w:val="15"/>
                <w:highlight w:val="none"/>
                <w:lang w:eastAsia="zh-CN"/>
              </w:rPr>
            </w:pPr>
            <w:r>
              <w:rPr>
                <w:rFonts w:hint="eastAsia" w:cs="宋体" w:asciiTheme="minorEastAsia" w:hAnsiTheme="minorEastAsia" w:eastAsiaTheme="minorEastAsia"/>
                <w:bCs/>
                <w:color w:val="auto"/>
                <w:kern w:val="0"/>
                <w:sz w:val="15"/>
                <w:szCs w:val="15"/>
                <w:highlight w:val="none"/>
                <w:lang w:eastAsia="zh-CN"/>
              </w:rPr>
              <w:t>需要</w:t>
            </w:r>
            <w:r>
              <w:rPr>
                <w:rFonts w:hint="eastAsia" w:cs="宋体" w:asciiTheme="minorEastAsia" w:hAnsiTheme="minorEastAsia" w:eastAsiaTheme="minorEastAsia"/>
                <w:bCs/>
                <w:color w:val="auto"/>
                <w:kern w:val="0"/>
                <w:sz w:val="15"/>
                <w:szCs w:val="15"/>
                <w:highlight w:val="none"/>
              </w:rPr>
              <w:t>在3000元以下进行处罚</w:t>
            </w:r>
            <w:r>
              <w:rPr>
                <w:rFonts w:hint="eastAsia" w:cs="宋体" w:asciiTheme="minorEastAsia" w:hAnsiTheme="minorEastAsia" w:eastAsiaTheme="minorEastAsia"/>
                <w:bCs/>
                <w:color w:val="auto"/>
                <w:kern w:val="0"/>
                <w:sz w:val="15"/>
                <w:szCs w:val="15"/>
                <w:highlight w:val="none"/>
                <w:lang w:eastAsia="zh-CN"/>
              </w:rPr>
              <w:t>，</w:t>
            </w:r>
            <w:r>
              <w:rPr>
                <w:rFonts w:hint="eastAsia" w:cs="宋体" w:asciiTheme="minorEastAsia" w:hAnsiTheme="minorEastAsia" w:eastAsiaTheme="minorEastAsia"/>
                <w:bCs/>
                <w:color w:val="auto"/>
                <w:kern w:val="0"/>
                <w:sz w:val="15"/>
                <w:szCs w:val="15"/>
                <w:highlight w:val="none"/>
              </w:rPr>
              <w:t>报案审会审议</w:t>
            </w:r>
            <w:r>
              <w:rPr>
                <w:rFonts w:hint="eastAsia" w:cs="宋体" w:asciiTheme="minorEastAsia" w:hAnsiTheme="minorEastAsia" w:eastAsiaTheme="minorEastAsia"/>
                <w:bCs/>
                <w:color w:val="auto"/>
                <w:kern w:val="0"/>
                <w:sz w:val="15"/>
                <w:szCs w:val="15"/>
                <w:highlight w:val="none"/>
                <w:lang w:eastAsia="zh-CN"/>
              </w:rPr>
              <w:t>决定。</w:t>
            </w:r>
          </w:p>
        </w:tc>
        <w:tc>
          <w:tcPr>
            <w:tcW w:w="824"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未按规定对停车泊位备案</w:t>
            </w:r>
          </w:p>
        </w:tc>
        <w:tc>
          <w:tcPr>
            <w:tcW w:w="2789" w:type="dxa"/>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违反条款：第二十条第一款；处罚条款：第三十二条第二款:处1万元罚款.</w:t>
            </w:r>
          </w:p>
        </w:tc>
        <w:tc>
          <w:tcPr>
            <w:tcW w:w="851"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0"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停车场管理单位未配置完备的停车设施标志标识（或未为停车人进出提供明确的引导或未为残疾人提供必要服务）</w:t>
            </w:r>
          </w:p>
        </w:tc>
        <w:tc>
          <w:tcPr>
            <w:tcW w:w="2789" w:type="dxa"/>
            <w:vMerge w:val="restart"/>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违反条款：第二十一条第一款第（三）项；处罚条款：第三十三条第二款：给予警告，并责令限期改正；逾期未改正的，处1000元罚款；造成严重后果的，处5000元以上1万元以下罚款。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7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190"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19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同时存在设施标志标识不“完备”、“未提供明确引导”、“未为残疾人提供必要服务”等2个以上（含2个）违法行为的（认定可参照国家GB11/T-596-2008标准），系数0.5；同时存在本款2个以上（含2个）违法形态的，系数1。</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构成变量系数规定的情形之一，或者一年内2次以上同类违法行为受到告诫或处罚的，视为情节严重。</w:t>
            </w:r>
          </w:p>
          <w:p>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停车场管理单位未指挥车辆按序进出和停放，维护停车秩序</w:t>
            </w:r>
          </w:p>
        </w:tc>
        <w:tc>
          <w:tcPr>
            <w:tcW w:w="2789" w:type="dxa"/>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违反条款：第二十一条第一款第（四）项；处罚条款：第三十三条第二款：给予警告，并责令限期改正；逾期未改正的，处1000元罚款；造成严重后果的，处5000元以上1万元以下罚款。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因未有效指挥和维护停车秩序，致使周边交通拥堵2小时以上的，或者因上述原因诱发停车事故或者交通事故的，系数1；同时存在本款2个以上（含2个）违法形态的，系数1。</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因未有效指挥和维护停车秩序，致使周边交通拥堵或者诱发其它停车事故、交通事故的，或者一年内2次以上同类违法行为受到告诫或处罚的，视为情节严重。</w:t>
            </w:r>
          </w:p>
          <w:p>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8"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停车场管理单位未对停车管理员进行专业培训、考核</w:t>
            </w:r>
          </w:p>
        </w:tc>
        <w:tc>
          <w:tcPr>
            <w:tcW w:w="2789" w:type="dxa"/>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违反条款：第二十一条第一款第（六）项；处罚条款：第三十三条第二款：给予警告，并责令限期改正；逾期未改正的，处1000元罚款；造成严重后果的，处5000元以上1万元以下罚款。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29"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经核实，管理单位长达半年以上未对管理员进行培训考核，或者存在3名以上管理员同时未参与培训、考核的情形，系数1。</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构成变量系数规定的情形之一，或者一年内2次以上同类违法行为受到告诫或处罚的，视为情节严重。</w:t>
            </w:r>
          </w:p>
          <w:p>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5"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停车场管理单位在停车区域从事影响车辆安全停放的其</w:t>
            </w:r>
            <w:r>
              <w:rPr>
                <w:rFonts w:hint="eastAsia" w:asciiTheme="minorEastAsia" w:hAnsiTheme="minorEastAsia" w:eastAsiaTheme="minorEastAsia"/>
                <w:color w:val="auto"/>
                <w:sz w:val="15"/>
                <w:szCs w:val="15"/>
                <w:highlight w:val="none"/>
                <w:shd w:val="clear" w:fill="FF0000"/>
                <w:lang w:eastAsia="zh-CN"/>
              </w:rPr>
              <w:t>他</w:t>
            </w:r>
            <w:r>
              <w:rPr>
                <w:rFonts w:hint="eastAsia" w:asciiTheme="minorEastAsia" w:hAnsiTheme="minorEastAsia" w:eastAsiaTheme="minorEastAsia"/>
                <w:color w:val="auto"/>
                <w:sz w:val="15"/>
                <w:szCs w:val="15"/>
                <w:highlight w:val="none"/>
              </w:rPr>
              <w:t>经营活动</w:t>
            </w:r>
          </w:p>
        </w:tc>
        <w:tc>
          <w:tcPr>
            <w:tcW w:w="2789" w:type="dxa"/>
            <w:vMerge w:val="restart"/>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违反条款：第二十一条第一款第（七）项；处罚条款：第三十三条第二款，给予警告，并责令限期改正；逾期未改正的，处1000元罚款；造成严重后果的，处5000元以上1万元以下罚款。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4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1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1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一年内群众投诉3次以上，或者致使周边交通拥堵的，或者因上述原因诱发停车事故或者交通事故的，系数1。</w:t>
            </w:r>
          </w:p>
        </w:tc>
        <w:tc>
          <w:tcPr>
            <w:tcW w:w="17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致使周边交通拥堵或者诱发其它停车事故、交通事故的，或者一年内2次以上同类违法行为受到告诫或处罚的，视为情节严重。</w:t>
            </w:r>
          </w:p>
          <w:p>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停车场管理单位未建立投诉处理制度</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违反条款：第二十一条第一款第（八）项；处罚条款：第三十三条第二款：给予警告，并责令限期改正；逾期未改正的，处1000元罚款；造成严重后果的，处5000元以上1万元以下罚款。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3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一年内群众投诉3次以上，或者诱发其它停车事故、交通事故、治安事件的，系数1。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群众3次以上投诉，或者诱发其它停车事故、交通事故、治安事件的，或者一年内2次以上同类违法行为受到告诫或处罚的，视为情节严重。</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1" w:hRule="atLeast"/>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停车场管理单位未遵守国家和本市其</w:t>
            </w:r>
            <w:r>
              <w:rPr>
                <w:rFonts w:hint="eastAsia" w:asciiTheme="minorEastAsia" w:hAnsiTheme="minorEastAsia" w:eastAsiaTheme="minorEastAsia"/>
                <w:color w:val="auto"/>
                <w:sz w:val="15"/>
                <w:szCs w:val="15"/>
                <w:highlight w:val="none"/>
                <w:shd w:val="clear" w:fill="FF0000"/>
                <w:lang w:eastAsia="zh-CN"/>
              </w:rPr>
              <w:t>他</w:t>
            </w:r>
            <w:r>
              <w:rPr>
                <w:rFonts w:hint="eastAsia" w:asciiTheme="minorEastAsia" w:hAnsiTheme="minorEastAsia" w:eastAsiaTheme="minorEastAsia"/>
                <w:color w:val="auto"/>
                <w:sz w:val="15"/>
                <w:szCs w:val="15"/>
                <w:highlight w:val="none"/>
              </w:rPr>
              <w:t>相关停车管理服务规范和标准</w:t>
            </w:r>
          </w:p>
        </w:tc>
        <w:tc>
          <w:tcPr>
            <w:tcW w:w="2789" w:type="dxa"/>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违反条款：第二十一条第一款第（九）项；处罚条款：第三十三条第二款：给予警告，并责令限期改正；逾期未改正的，处1000元罚款；造成严重后果的，处5000元以上1万元以下罚款。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4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一年内群众投诉3次以上，或者诱发其它停车事故、交通事故、治安事件的，系数1。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群众3次以上投诉，或者诱发其它停车事故、交通事故、治安事件的，或者一年内2次以上同类违法行为受到告诫或处罚的，视为情节严重。</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逾期不改正的情形，不记入本项“</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停车场未按规定24小时开放</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违反条款：第二十一条第二款；处罚条款：第三十四条，责令限期改正，并处5000元以上1万元以下罚款。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一年内群众投诉3次以上的，系数1。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 xml:space="preserve">适用于中心城范围内向社会开放并收费的停车场；按规定实行限时的临时停车场除外。 </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9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擅自设置地桩、地锁等障碍物</w:t>
            </w:r>
          </w:p>
        </w:tc>
        <w:tc>
          <w:tcPr>
            <w:tcW w:w="2789" w:type="dxa"/>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违反条款：第二十七条第一款；处罚条款：第三十七条</w:t>
            </w:r>
            <w:r>
              <w:rPr>
                <w:rFonts w:hint="eastAsia" w:asciiTheme="minorEastAsia" w:hAnsiTheme="minorEastAsia" w:eastAsiaTheme="minorEastAsia"/>
                <w:color w:val="auto"/>
                <w:sz w:val="15"/>
                <w:szCs w:val="15"/>
                <w:highlight w:val="none"/>
                <w:lang w:eastAsia="zh-CN"/>
              </w:rPr>
              <w:t>第一款</w:t>
            </w:r>
            <w:r>
              <w:rPr>
                <w:rFonts w:hint="eastAsia" w:asciiTheme="minorEastAsia" w:hAnsiTheme="minorEastAsia" w:eastAsiaTheme="minorEastAsia"/>
                <w:color w:val="auto"/>
                <w:sz w:val="15"/>
                <w:szCs w:val="15"/>
                <w:highlight w:val="none"/>
              </w:rPr>
              <w:t>，责令停止违法行为，恢复原状，并处500元以上5000元以下罚款。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一年内群众投诉3次以上的，系数1；2.设置地桩、地锁等障碍物数量2个，系数1；3个，系数2，以此累加</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10个及以上的，系数9</w:t>
            </w:r>
            <w:r>
              <w:rPr>
                <w:rFonts w:hint="eastAsia" w:cs="宋体" w:asciiTheme="minorEastAsia" w:hAnsiTheme="minorEastAsia" w:eastAsiaTheme="minorEastAsia"/>
                <w:color w:val="auto"/>
                <w:kern w:val="0"/>
                <w:sz w:val="15"/>
                <w:szCs w:val="15"/>
                <w:highlight w:val="none"/>
              </w:rPr>
              <w:t>；3.存在其它严重影响通行和市容秩序、致使公共安全等事件的，系数9。</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常量系数＋变量系数＋区域系数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5"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6" w:name="_Toc1557995543"/>
            <w:bookmarkStart w:id="137" w:name="_Toc110851478"/>
            <w:bookmarkStart w:id="138" w:name="_Toc1642510659"/>
            <w:r>
              <w:rPr>
                <w:rFonts w:hint="eastAsia" w:asciiTheme="minorEastAsia" w:hAnsiTheme="minorEastAsia" w:eastAsiaTheme="minorEastAsia"/>
                <w:color w:val="auto"/>
                <w:sz w:val="21"/>
                <w:szCs w:val="21"/>
                <w:highlight w:val="none"/>
              </w:rPr>
              <w:t>《北京市</w:t>
            </w:r>
            <w:r>
              <w:rPr>
                <w:rFonts w:asciiTheme="minorEastAsia" w:hAnsiTheme="minorEastAsia" w:eastAsiaTheme="minorEastAsia"/>
                <w:color w:val="auto"/>
                <w:sz w:val="21"/>
                <w:szCs w:val="21"/>
                <w:highlight w:val="none"/>
              </w:rPr>
              <w:t>机动车停车条例</w:t>
            </w:r>
            <w:r>
              <w:rPr>
                <w:rFonts w:hint="eastAsia" w:asciiTheme="minorEastAsia" w:hAnsiTheme="minorEastAsia" w:eastAsiaTheme="minorEastAsia"/>
                <w:color w:val="auto"/>
                <w:sz w:val="21"/>
                <w:szCs w:val="21"/>
                <w:highlight w:val="none"/>
              </w:rPr>
              <w:t>》案由6项</w:t>
            </w:r>
            <w:bookmarkEnd w:id="136"/>
            <w:bookmarkEnd w:id="137"/>
            <w:bookmarkEnd w:id="13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4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未如实报送停车设施设置情况</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处罚条款：第二十一条第三款，责令限期改正；逾期未改正的，处1万元罚款。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先行责令限期改正，当事人在规定期限内改正的，不予处罚；逾期未改正的，处1万元罚款。</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未按照规定时限（或未如实）报送停车设施设置情况</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违反条款：第二十二条第一款。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处罚条款：第二十二条第二款，责令限期改正；逾期未改正的，处2000元罚款。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先行责令限期改正，当事人在规定期限内改正的，不予处罚；逾期未改正的，处2000元罚款。</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7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公共停车设施未按照标准配建停车诱导设施（进出车辆信息采集及号牌系统、与所在区域停车诱导系统实时对接）</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违反条款：第二十四条第二款。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处罚条款：第二十四条第三款，责令限期改正；逾期未改正的，处1万元罚款。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先行责令限期改正，当事人在规定期限内改正的，不予处罚；逾期未改正的，处1万元罚款。</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9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擅自设置固定或者可移动障碍物</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处罚条款：第二十六条第二款，责令停止违法行为，恢复原状，并处500元以上1000元以下罚款。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该条规定的障碍物包括地桩、地锁等固定式障碍物和废旧桌椅、自行车等可移动障碍物，和《办法》规定的“地桩、地锁等障碍物”有所区别。</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1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停车场未按规定24小时开放</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处罚条款：第三十二条第二款，责令限期改正，并处5000元以上1万元以下罚款。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1.仅限于中心城区范围内经营性停车设施；2.《条例》未涉及的停车设施经营单位应遵守的其它规定，依据《办法》第二十一条规定执行。</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9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违反规划将停车设施改作他用</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处罚条款：第三十三条第四款，责令限期改正、恢复原状，并处每个泊位1万元罚款。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按照规定执行，处每个泊位1万元罚款。</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6"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9" w:name="_Toc110851479"/>
            <w:bookmarkStart w:id="140" w:name="_Toc67594986"/>
            <w:bookmarkStart w:id="141" w:name="_Toc878395085"/>
            <w:r>
              <w:rPr>
                <w:rFonts w:hint="eastAsia" w:asciiTheme="minorEastAsia" w:hAnsiTheme="minorEastAsia" w:eastAsiaTheme="minorEastAsia"/>
                <w:color w:val="auto"/>
                <w:sz w:val="21"/>
                <w:szCs w:val="21"/>
                <w:highlight w:val="none"/>
              </w:rPr>
              <w:t>《北京市非机动车停车管理办法》《北京市</w:t>
            </w:r>
            <w:r>
              <w:rPr>
                <w:rFonts w:asciiTheme="minorEastAsia" w:hAnsiTheme="minorEastAsia" w:eastAsiaTheme="minorEastAsia"/>
                <w:color w:val="auto"/>
                <w:sz w:val="21"/>
                <w:szCs w:val="21"/>
                <w:highlight w:val="none"/>
              </w:rPr>
              <w:t>非机动车</w:t>
            </w:r>
            <w:r>
              <w:rPr>
                <w:rFonts w:hint="eastAsia" w:asciiTheme="minorEastAsia" w:hAnsiTheme="minorEastAsia" w:eastAsiaTheme="minorEastAsia"/>
                <w:color w:val="auto"/>
                <w:sz w:val="21"/>
                <w:szCs w:val="21"/>
                <w:highlight w:val="none"/>
              </w:rPr>
              <w:t>管理</w:t>
            </w:r>
            <w:r>
              <w:rPr>
                <w:rFonts w:asciiTheme="minorEastAsia" w:hAnsiTheme="minorEastAsia" w:eastAsiaTheme="minorEastAsia"/>
                <w:color w:val="auto"/>
                <w:sz w:val="21"/>
                <w:szCs w:val="21"/>
                <w:highlight w:val="none"/>
              </w:rPr>
              <w:t>条例</w:t>
            </w:r>
            <w:r>
              <w:rPr>
                <w:rFonts w:hint="eastAsia" w:asciiTheme="minorEastAsia" w:hAnsiTheme="minorEastAsia" w:eastAsiaTheme="minorEastAsia"/>
                <w:color w:val="auto"/>
                <w:sz w:val="21"/>
                <w:szCs w:val="21"/>
                <w:highlight w:val="none"/>
              </w:rPr>
              <w:t>》案由</w:t>
            </w:r>
            <w:r>
              <w:rPr>
                <w:rFonts w:asciiTheme="minorEastAsia" w:hAnsiTheme="minorEastAsia" w:eastAsiaTheme="minorEastAsia"/>
                <w:color w:val="auto"/>
                <w:sz w:val="21"/>
                <w:szCs w:val="21"/>
                <w:highlight w:val="none"/>
              </w:rPr>
              <w:t>6</w:t>
            </w:r>
            <w:r>
              <w:rPr>
                <w:rFonts w:hint="eastAsia" w:asciiTheme="minorEastAsia" w:hAnsiTheme="minorEastAsia" w:eastAsiaTheme="minorEastAsia"/>
                <w:color w:val="auto"/>
                <w:sz w:val="21"/>
                <w:szCs w:val="21"/>
                <w:highlight w:val="none"/>
              </w:rPr>
              <w:t>项</w:t>
            </w:r>
            <w:bookmarkEnd w:id="139"/>
            <w:bookmarkEnd w:id="140"/>
            <w:bookmarkEnd w:id="14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7" w:hRule="atLeast"/>
          <w:jc w:val="center"/>
        </w:trPr>
        <w:tc>
          <w:tcPr>
            <w:tcW w:w="940"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非机动车公共停车场未对公众开放</w:t>
            </w:r>
          </w:p>
        </w:tc>
        <w:tc>
          <w:tcPr>
            <w:tcW w:w="2789"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000000" w:sz="4" w:space="0"/>
              <w:right w:val="single" w:color="000000" w:sz="4" w:space="0"/>
            </w:tcBorders>
            <w:vAlign w:val="center"/>
          </w:tcPr>
          <w:p>
            <w:pPr>
              <w:spacing w:line="232" w:lineRule="exact"/>
              <w:jc w:val="center"/>
              <w:rPr>
                <w:rFonts w:asciiTheme="minorEastAsia" w:hAnsiTheme="minorEastAsia" w:eastAsiaTheme="minorEastAsia"/>
                <w:color w:val="auto"/>
                <w:sz w:val="15"/>
                <w:szCs w:val="15"/>
                <w:highlight w:val="none"/>
              </w:rPr>
            </w:pPr>
          </w:p>
        </w:tc>
        <w:tc>
          <w:tcPr>
            <w:tcW w:w="824" w:type="dxa"/>
            <w:tcBorders>
              <w:top w:val="single" w:color="000000" w:sz="4" w:space="0"/>
              <w:left w:val="single" w:color="000000" w:sz="4" w:space="0"/>
              <w:bottom w:val="single" w:color="000000" w:sz="4" w:space="0"/>
              <w:right w:val="single" w:color="000000" w:sz="4" w:space="0"/>
            </w:tcBorders>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75" w:hRule="atLeast"/>
          <w:jc w:val="center"/>
        </w:trPr>
        <w:tc>
          <w:tcPr>
            <w:tcW w:w="940" w:type="dxa"/>
            <w:tcBorders>
              <w:top w:val="single" w:color="000000" w:sz="4" w:space="0"/>
              <w:left w:val="single" w:color="000000" w:sz="4" w:space="0"/>
              <w:bottom w:val="single" w:color="000000"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2</w:t>
            </w:r>
          </w:p>
        </w:tc>
        <w:tc>
          <w:tcPr>
            <w:tcW w:w="1500"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擅自侵占、停止使用非机动车公共停车场或者将其挪作他用</w:t>
            </w:r>
          </w:p>
        </w:tc>
        <w:tc>
          <w:tcPr>
            <w:tcW w:w="2789"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150" w:firstLineChars="100"/>
              <w:jc w:val="center"/>
              <w:rPr>
                <w:rFonts w:asciiTheme="minorEastAsia" w:hAnsiTheme="minorEastAsia" w:eastAsiaTheme="minorEastAsia"/>
                <w:color w:val="auto"/>
                <w:sz w:val="15"/>
                <w:szCs w:val="15"/>
                <w:highlight w:val="none"/>
              </w:rPr>
            </w:pPr>
          </w:p>
        </w:tc>
        <w:tc>
          <w:tcPr>
            <w:tcW w:w="824" w:type="dxa"/>
            <w:tcBorders>
              <w:top w:val="single" w:color="000000" w:sz="4" w:space="0"/>
              <w:left w:val="single" w:color="000000" w:sz="4" w:space="0"/>
              <w:bottom w:val="single" w:color="000000" w:sz="4" w:space="0"/>
              <w:right w:val="single" w:color="000000" w:sz="4" w:space="0"/>
            </w:tcBorders>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9" w:hRule="atLeast"/>
          <w:jc w:val="center"/>
        </w:trPr>
        <w:tc>
          <w:tcPr>
            <w:tcW w:w="940" w:type="dxa"/>
            <w:vMerge w:val="restart"/>
            <w:tcBorders>
              <w:top w:val="single" w:color="000000" w:sz="4" w:space="0"/>
              <w:left w:val="single" w:color="000000"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cs="Arial" w:asciiTheme="minorEastAsia" w:hAnsiTheme="minorEastAsia" w:eastAsiaTheme="minorEastAsia"/>
                <w:color w:val="auto"/>
                <w:kern w:val="0"/>
                <w:sz w:val="15"/>
                <w:szCs w:val="15"/>
                <w:highlight w:val="none"/>
              </w:rPr>
              <w:t>3</w:t>
            </w:r>
          </w:p>
        </w:tc>
        <w:tc>
          <w:tcPr>
            <w:tcW w:w="1500" w:type="dxa"/>
            <w:vMerge w:val="restart"/>
            <w:tcBorders>
              <w:top w:val="single" w:color="000000" w:sz="4" w:space="0"/>
              <w:left w:val="single" w:color="000000"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非机动车公共停车场未按规范设置</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vMerge w:val="restart"/>
            <w:tcBorders>
              <w:top w:val="single" w:color="000000" w:sz="4" w:space="0"/>
              <w:left w:val="single" w:color="000000" w:sz="4" w:space="0"/>
              <w:right w:val="single" w:color="000000" w:sz="4" w:space="0"/>
            </w:tcBorders>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适应于非经营性非机车停车场。</w:t>
            </w:r>
          </w:p>
        </w:tc>
        <w:tc>
          <w:tcPr>
            <w:tcW w:w="824" w:type="dxa"/>
            <w:vMerge w:val="restart"/>
            <w:tcBorders>
              <w:top w:val="single" w:color="000000" w:sz="4" w:space="0"/>
              <w:left w:val="single" w:color="000000" w:sz="4" w:space="0"/>
              <w:right w:val="single" w:color="000000"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87" w:hRule="atLeast"/>
          <w:jc w:val="center"/>
        </w:trPr>
        <w:tc>
          <w:tcPr>
            <w:tcW w:w="940" w:type="dxa"/>
            <w:vMerge w:val="continue"/>
            <w:tcBorders>
              <w:left w:val="single" w:color="000000"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500" w:type="dxa"/>
            <w:vMerge w:val="continue"/>
            <w:tcBorders>
              <w:left w:val="single" w:color="000000"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2000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vMerge w:val="continue"/>
            <w:tcBorders>
              <w:left w:val="single" w:color="000000"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适用于经营性停车场。</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需要做出其它处罚额度的，报案审会决定。</w:t>
            </w:r>
          </w:p>
        </w:tc>
        <w:tc>
          <w:tcPr>
            <w:tcW w:w="824" w:type="dxa"/>
            <w:vMerge w:val="continue"/>
            <w:tcBorders>
              <w:left w:val="single" w:color="000000" w:sz="4" w:space="0"/>
              <w:right w:val="single" w:color="000000"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91" w:hRule="atLeast"/>
          <w:jc w:val="center"/>
        </w:trPr>
        <w:tc>
          <w:tcPr>
            <w:tcW w:w="940" w:type="dxa"/>
            <w:vMerge w:val="continue"/>
            <w:tcBorders>
              <w:left w:val="single" w:color="000000" w:sz="4" w:space="0"/>
              <w:bottom w:val="single" w:color="auto"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500" w:type="dxa"/>
            <w:vMerge w:val="continue"/>
            <w:tcBorders>
              <w:left w:val="single" w:color="000000" w:sz="4" w:space="0"/>
              <w:bottom w:val="single" w:color="auto" w:sz="4" w:space="0"/>
              <w:right w:val="single" w:color="000000" w:sz="4" w:space="0"/>
            </w:tcBorders>
            <w:shd w:val="clear" w:color="auto" w:fill="auto"/>
            <w:vAlign w:val="center"/>
          </w:tcPr>
          <w:p>
            <w:pPr>
              <w:spacing w:line="232" w:lineRule="exact"/>
              <w:rPr>
                <w:rFonts w:cs="Arial" w:asciiTheme="minorEastAsia" w:hAnsiTheme="minorEastAsia" w:eastAsiaTheme="minorEastAsia"/>
                <w:color w:val="auto"/>
                <w:kern w:val="0"/>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cs="Arial" w:asciiTheme="minorEastAsia" w:hAnsiTheme="minorEastAsia" w:eastAsiaTheme="minorEastAsia"/>
                <w:color w:val="auto"/>
                <w:kern w:val="0"/>
                <w:sz w:val="15"/>
                <w:szCs w:val="15"/>
                <w:highlight w:val="none"/>
              </w:rPr>
              <w:t>2</w:t>
            </w:r>
            <w:r>
              <w:rPr>
                <w:rFonts w:hint="eastAsia" w:cs="Arial" w:asciiTheme="minorEastAsia" w:hAnsiTheme="minorEastAsia" w:eastAsiaTheme="minorEastAsia"/>
                <w:color w:val="auto"/>
                <w:kern w:val="0"/>
                <w:sz w:val="15"/>
                <w:szCs w:val="15"/>
                <w:highlight w:val="none"/>
              </w:rPr>
              <w:t>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vMerge w:val="continue"/>
            <w:tcBorders>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适用于经营性停车场。</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需要做出其它处罚额度的，报案审会决定。</w:t>
            </w:r>
          </w:p>
        </w:tc>
        <w:tc>
          <w:tcPr>
            <w:tcW w:w="824" w:type="dxa"/>
            <w:vMerge w:val="continue"/>
            <w:tcBorders>
              <w:left w:val="single" w:color="000000" w:sz="4" w:space="0"/>
              <w:bottom w:val="single" w:color="auto" w:sz="4" w:space="0"/>
              <w:right w:val="single" w:color="000000"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65" w:hRule="atLeast"/>
          <w:jc w:val="center"/>
        </w:trPr>
        <w:tc>
          <w:tcPr>
            <w:tcW w:w="940" w:type="dxa"/>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非机动车公共停车场未建立并落实各项管理和服务制度</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按照《北京市非机动车管理条例》进行查处。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24" w:hRule="atLeast"/>
          <w:jc w:val="center"/>
        </w:trPr>
        <w:tc>
          <w:tcPr>
            <w:tcW w:w="940"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违反条款：《北京市非机动车管理条例》第二十三条第（一）项；处罚条款：《北京市非机动车管理条例》第三十二条第一款 责令改正，处1000元以上5000元以下罚款。</w:t>
            </w:r>
          </w:p>
        </w:tc>
        <w:tc>
          <w:tcPr>
            <w:tcW w:w="851"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2385"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shd w:val="clear" w:color="auto" w:fill="auto"/>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非机动车公共停车场的经营、管理单位拒绝接受指导和监督检查</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81" w:hRule="atLeast"/>
          <w:jc w:val="center"/>
        </w:trPr>
        <w:tc>
          <w:tcPr>
            <w:tcW w:w="940" w:type="dxa"/>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未保证非机动车公共停车场内的停车秩序（环境卫生、停车安全）</w:t>
            </w:r>
          </w:p>
        </w:tc>
        <w:tc>
          <w:tcPr>
            <w:tcW w:w="2789"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违反条款：《北京市非机动车停车管理办法》第十一条第一款第（五）项；</w:t>
            </w:r>
          </w:p>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适用于查处“未保证良好的环境卫生”行为。</w:t>
            </w:r>
          </w:p>
        </w:tc>
        <w:tc>
          <w:tcPr>
            <w:tcW w:w="824"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55" w:hRule="atLeast"/>
          <w:jc w:val="center"/>
        </w:trPr>
        <w:tc>
          <w:tcPr>
            <w:tcW w:w="940"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500"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2789"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违反条款：《北京市非机动车管理条例》第二十三条第（二）项。</w:t>
            </w:r>
          </w:p>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r>
              <w:rPr>
                <w:rFonts w:cs="Arial" w:asciiTheme="minorEastAsia" w:hAnsiTheme="minorEastAsia" w:eastAsiaTheme="minorEastAsia"/>
                <w:color w:val="auto"/>
                <w:kern w:val="0"/>
                <w:sz w:val="15"/>
                <w:szCs w:val="15"/>
                <w:highlight w:val="none"/>
              </w:rPr>
              <w:t>000</w:t>
            </w:r>
          </w:p>
        </w:tc>
        <w:tc>
          <w:tcPr>
            <w:tcW w:w="840"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+区域系数）</w:t>
            </w:r>
          </w:p>
        </w:tc>
        <w:tc>
          <w:tcPr>
            <w:tcW w:w="2385" w:type="dxa"/>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适用于查处“未保障停车场内的停车秩序和停车安全”行为。</w:t>
            </w:r>
          </w:p>
        </w:tc>
        <w:tc>
          <w:tcPr>
            <w:tcW w:w="824"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3"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42" w:name="_Toc110851480"/>
            <w:bookmarkStart w:id="143" w:name="_Toc2072679585"/>
            <w:bookmarkStart w:id="144" w:name="_Toc1549181582"/>
            <w:r>
              <w:rPr>
                <w:rFonts w:hint="eastAsia" w:ascii="黑体" w:hAnsi="黑体" w:eastAsia="黑体"/>
                <w:b w:val="0"/>
                <w:color w:val="auto"/>
                <w:sz w:val="36"/>
                <w:szCs w:val="36"/>
                <w:highlight w:val="none"/>
              </w:rPr>
              <w:t>交通运输管理方面</w:t>
            </w:r>
            <w:bookmarkEnd w:id="142"/>
            <w:bookmarkEnd w:id="143"/>
            <w:bookmarkEnd w:id="14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strike w:val="0"/>
                <w:color w:val="auto"/>
                <w:sz w:val="15"/>
                <w:szCs w:val="15"/>
                <w:highlight w:val="none"/>
              </w:rPr>
            </w:pPr>
            <w:bookmarkStart w:id="145" w:name="_Toc110851481"/>
            <w:bookmarkStart w:id="146" w:name="_Toc1833599949"/>
            <w:bookmarkStart w:id="147" w:name="_Toc192409684"/>
            <w:r>
              <w:rPr>
                <w:rFonts w:hint="eastAsia" w:asciiTheme="minorEastAsia" w:hAnsiTheme="minorEastAsia" w:eastAsiaTheme="minorEastAsia"/>
                <w:b/>
                <w:bCs/>
                <w:strike w:val="0"/>
                <w:dstrike w:val="0"/>
                <w:color w:val="auto"/>
                <w:sz w:val="21"/>
                <w:szCs w:val="21"/>
                <w:highlight w:val="none"/>
              </w:rPr>
              <w:t>《巡游出租汽车经营服务管理规定》案由1项</w:t>
            </w:r>
            <w:bookmarkEnd w:id="145"/>
            <w:bookmarkEnd w:id="146"/>
            <w:bookmarkEnd w:id="14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43"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1500" w:type="dxa"/>
            <w:shd w:val="clear" w:color="auto" w:fill="auto"/>
            <w:vAlign w:val="center"/>
          </w:tcPr>
          <w:p>
            <w:pPr>
              <w:spacing w:line="204"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无证经营出租汽车</w:t>
            </w:r>
          </w:p>
        </w:tc>
        <w:tc>
          <w:tcPr>
            <w:tcW w:w="278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违反条款：第八条；</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处罚条款：第四十五条，未取得巡游出租汽车经营许可，擅自从事巡游出租汽车经营活动的，由县级以上地方人民政府出租汽车行政主管部门责令改正，并处以5000元以上20000元以下罚款。构成犯罪的，依法追究刑事责任。</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5000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230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造成秩序混乱或者较大社会影响的，系数1-3。</w:t>
            </w:r>
          </w:p>
        </w:tc>
        <w:tc>
          <w:tcPr>
            <w:tcW w:w="1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strike w:val="0"/>
                <w:dstrike w:val="0"/>
                <w:color w:val="auto"/>
                <w:sz w:val="15"/>
                <w:szCs w:val="15"/>
                <w:highlight w:val="none"/>
              </w:rPr>
            </w:pPr>
            <w:r>
              <w:rPr>
                <w:rFonts w:hint="eastAsia" w:cs="宋体" w:asciiTheme="minorEastAsia" w:hAnsiTheme="minorEastAsia" w:eastAsiaTheme="minorEastAsia"/>
                <w:strike w:val="0"/>
                <w:dstrike w:val="0"/>
                <w:color w:val="auto"/>
                <w:sz w:val="15"/>
                <w:szCs w:val="15"/>
                <w:highlight w:val="none"/>
              </w:rPr>
              <w:t>罚款数额＝5000×</w:t>
            </w:r>
            <w:r>
              <w:rPr>
                <w:rFonts w:hint="eastAsia" w:cs="宋体" w:asciiTheme="minorEastAsia" w:hAnsiTheme="minorEastAsia" w:eastAsiaTheme="minorEastAsia"/>
                <w:bCs/>
                <w:strike w:val="0"/>
                <w:dstrike w:val="0"/>
                <w:color w:val="auto"/>
                <w:sz w:val="15"/>
                <w:szCs w:val="15"/>
                <w:highlight w:val="none"/>
              </w:rPr>
              <w:t>（1＋</w:t>
            </w:r>
            <w:r>
              <w:rPr>
                <w:rFonts w:hint="eastAsia" w:cs="宋体" w:asciiTheme="minorEastAsia" w:hAnsiTheme="minorEastAsia" w:eastAsiaTheme="minorEastAsia"/>
                <w:bCs/>
                <w:strike w:val="0"/>
                <w:dstrike w:val="0"/>
                <w:color w:val="auto"/>
                <w:sz w:val="15"/>
                <w:szCs w:val="15"/>
                <w:highlight w:val="none"/>
                <w:lang w:eastAsia="zh-CN"/>
              </w:rPr>
              <w:t>常量系数</w:t>
            </w:r>
            <w:r>
              <w:rPr>
                <w:rFonts w:hint="eastAsia" w:cs="宋体" w:asciiTheme="minorEastAsia" w:hAnsiTheme="minorEastAsia" w:eastAsiaTheme="minorEastAsia"/>
                <w:bCs/>
                <w:strike w:val="0"/>
                <w:dstrike w:val="0"/>
                <w:color w:val="auto"/>
                <w:sz w:val="15"/>
                <w:szCs w:val="15"/>
                <w:highlight w:val="none"/>
              </w:rPr>
              <w:t>+变量系数</w:t>
            </w:r>
            <w:r>
              <w:rPr>
                <w:rFonts w:hint="eastAsia" w:cs="宋体" w:asciiTheme="minorEastAsia" w:hAnsiTheme="minorEastAsia" w:eastAsiaTheme="minorEastAsia"/>
                <w:bCs/>
                <w:strike w:val="0"/>
                <w:dstrike w:val="0"/>
                <w:color w:val="auto"/>
                <w:sz w:val="15"/>
                <w:szCs w:val="15"/>
                <w:highlight w:val="none"/>
                <w:lang w:eastAsia="zh-CN"/>
              </w:rPr>
              <w:t>＋区域系数</w:t>
            </w:r>
            <w:r>
              <w:rPr>
                <w:rFonts w:hint="eastAsia" w:cs="宋体" w:asciiTheme="minorEastAsia" w:hAnsiTheme="minorEastAsia" w:eastAsiaTheme="minorEastAsia"/>
                <w:bCs/>
                <w:strike w:val="0"/>
                <w:dstrike w:val="0"/>
                <w:color w:val="auto"/>
                <w:sz w:val="15"/>
                <w:szCs w:val="15"/>
                <w:highlight w:val="none"/>
              </w:rPr>
              <w:t>）</w:t>
            </w:r>
          </w:p>
        </w:tc>
        <w:tc>
          <w:tcPr>
            <w:tcW w:w="23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重点站区适用本案由，参照交通执法相关裁量基准。</w:t>
            </w:r>
          </w:p>
        </w:tc>
        <w:tc>
          <w:tcPr>
            <w:tcW w:w="824" w:type="dxa"/>
            <w:shd w:val="clear" w:color="auto" w:fill="auto"/>
            <w:vAlign w:val="center"/>
          </w:tcPr>
          <w:p>
            <w:pPr>
              <w:spacing w:line="204" w:lineRule="exact"/>
              <w:jc w:val="center"/>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街道</w:t>
            </w:r>
          </w:p>
          <w:p>
            <w:pPr>
              <w:spacing w:line="204" w:lineRule="exact"/>
              <w:jc w:val="center"/>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3"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48" w:name="_Toc121789162"/>
            <w:bookmarkStart w:id="149" w:name="_Toc110851482"/>
            <w:bookmarkStart w:id="150" w:name="_Toc793120085"/>
            <w:r>
              <w:rPr>
                <w:rFonts w:hint="eastAsia" w:asciiTheme="minorEastAsia" w:hAnsiTheme="minorEastAsia" w:eastAsiaTheme="minorEastAsia"/>
                <w:color w:val="auto"/>
                <w:sz w:val="21"/>
                <w:szCs w:val="21"/>
                <w:highlight w:val="none"/>
              </w:rPr>
              <w:t>《北京市查处非法客运若干规定》案由2项</w:t>
            </w:r>
            <w:bookmarkEnd w:id="148"/>
            <w:bookmarkEnd w:id="149"/>
            <w:bookmarkEnd w:id="15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2" w:hRule="atLeast"/>
          <w:jc w:val="center"/>
        </w:trPr>
        <w:tc>
          <w:tcPr>
            <w:tcW w:w="94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未经许可擅自（或组织）从事巡游出租汽车客运经营</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条，责令停止经营，扣押车辆，有违法所得的，没收违法所得；没有违法所得或者违法所得不足2万元的，处1万元以上5万元以下罚款；违法所得2万元以上的，处违法所得2倍以上10倍以下罚款；对非法安装的专用营运标识、设施，予以没收。</w:t>
            </w:r>
          </w:p>
        </w:tc>
        <w:tc>
          <w:tcPr>
            <w:tcW w:w="851"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没有违法所得或者违法所得不足2万元的，基数为10000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造成秩序混乱或者较大社会影响的，系数2-4；对组织行为，系数为2-4。</w:t>
            </w:r>
          </w:p>
        </w:tc>
        <w:tc>
          <w:tcPr>
            <w:tcW w:w="1785" w:type="dxa"/>
            <w:shd w:val="clear" w:color="auto" w:fill="auto"/>
            <w:vAlign w:val="center"/>
          </w:tcPr>
          <w:p>
            <w:pPr>
              <w:spacing w:line="232" w:lineRule="exact"/>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Cs/>
                <w:color w:val="auto"/>
                <w:kern w:val="0"/>
                <w:sz w:val="15"/>
                <w:szCs w:val="15"/>
                <w:highlight w:val="none"/>
              </w:rPr>
              <w:t>10000×（1＋</w:t>
            </w:r>
            <w:r>
              <w:rPr>
                <w:rFonts w:hint="eastAsia" w:cs="宋体" w:asciiTheme="minorEastAsia" w:hAnsiTheme="minorEastAsia" w:eastAsiaTheme="minorEastAsia"/>
                <w:bCs/>
                <w:color w:val="auto"/>
                <w:kern w:val="0"/>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cs="宋体" w:asciiTheme="minorEastAsia" w:hAnsiTheme="minorEastAsia" w:eastAsiaTheme="minorEastAsia"/>
                <w:bCs/>
                <w:color w:val="auto"/>
                <w:kern w:val="0"/>
                <w:sz w:val="15"/>
                <w:szCs w:val="15"/>
                <w:highlight w:val="none"/>
                <w:lang w:eastAsia="zh-CN"/>
              </w:rPr>
              <w:t>＋区域系数</w:t>
            </w:r>
            <w:r>
              <w:rPr>
                <w:rFonts w:hint="eastAsia" w:cs="宋体" w:asciiTheme="minorEastAsia" w:hAnsiTheme="minorEastAsia" w:eastAsiaTheme="minorEastAsia"/>
                <w:bCs/>
                <w:color w:val="auto"/>
                <w:kern w:val="0"/>
                <w:sz w:val="15"/>
                <w:szCs w:val="15"/>
                <w:highlight w:val="none"/>
              </w:rPr>
              <w:t>）</w:t>
            </w:r>
          </w:p>
        </w:tc>
        <w:tc>
          <w:tcPr>
            <w:tcW w:w="2385"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需要给予其它处罚额度的，报案审会决定。</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重点站区适用本案由，参照交通执法相关裁量基准。</w:t>
            </w: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22"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违法所得2万元以上的，基数为违法所得。</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造成秩序混乱或者较大社会影响的，系数2-4；对组织行为，系数为2-4。</w:t>
            </w:r>
          </w:p>
        </w:tc>
        <w:tc>
          <w:tcPr>
            <w:tcW w:w="1785"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Cs/>
                <w:color w:val="auto"/>
                <w:kern w:val="0"/>
                <w:sz w:val="15"/>
                <w:szCs w:val="15"/>
                <w:highlight w:val="none"/>
              </w:rPr>
              <w:t>违法所得×2×（1＋</w:t>
            </w:r>
            <w:r>
              <w:rPr>
                <w:rFonts w:hint="eastAsia" w:cs="宋体" w:asciiTheme="minorEastAsia" w:hAnsiTheme="minorEastAsia" w:eastAsiaTheme="minorEastAsia"/>
                <w:bCs/>
                <w:color w:val="auto"/>
                <w:kern w:val="0"/>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cs="宋体" w:asciiTheme="minorEastAsia" w:hAnsiTheme="minorEastAsia" w:eastAsiaTheme="minorEastAsia"/>
                <w:bCs/>
                <w:color w:val="auto"/>
                <w:kern w:val="0"/>
                <w:sz w:val="15"/>
                <w:szCs w:val="15"/>
                <w:highlight w:val="none"/>
                <w:lang w:eastAsia="zh-CN"/>
              </w:rPr>
              <w:t>＋区域系数</w:t>
            </w:r>
            <w:r>
              <w:rPr>
                <w:rFonts w:hint="eastAsia" w:cs="宋体" w:asciiTheme="minorEastAsia" w:hAnsiTheme="minorEastAsia" w:eastAsiaTheme="minorEastAsia"/>
                <w:bCs/>
                <w:color w:val="auto"/>
                <w:kern w:val="0"/>
                <w:sz w:val="15"/>
                <w:szCs w:val="15"/>
                <w:highlight w:val="none"/>
              </w:rPr>
              <w:t>）</w:t>
            </w: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9" w:hRule="atLeast"/>
          <w:jc w:val="center"/>
        </w:trPr>
        <w:tc>
          <w:tcPr>
            <w:tcW w:w="9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利用摩托车、三轮车、残疾人机动轮椅车等车辆从事客运经营</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违反条款：第八条第一款。 </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处罚条款：第八条第二款，没收车辆，没收违法所得，并可处500元以上2000元以下罚款。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造成秩序混乱或者较大社会影响的，系数1-3。</w:t>
            </w:r>
          </w:p>
        </w:tc>
        <w:tc>
          <w:tcPr>
            <w:tcW w:w="17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w:t>
            </w:r>
            <w:r>
              <w:rPr>
                <w:rFonts w:hint="eastAsia" w:cs="宋体" w:asciiTheme="minorEastAsia" w:hAnsiTheme="minorEastAsia" w:eastAsiaTheme="minorEastAsia"/>
                <w:bCs/>
                <w:color w:val="auto"/>
                <w:sz w:val="15"/>
                <w:szCs w:val="15"/>
                <w:highlight w:val="none"/>
              </w:rPr>
              <w:t>（1</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cs="宋体" w:asciiTheme="minorEastAsia" w:hAnsiTheme="minorEastAsia" w:eastAsiaTheme="minorEastAsia"/>
                <w:bCs/>
                <w:color w:val="auto"/>
                <w:sz w:val="15"/>
                <w:szCs w:val="15"/>
                <w:highlight w:val="none"/>
              </w:rPr>
              <w:t>）</w:t>
            </w:r>
          </w:p>
        </w:tc>
        <w:tc>
          <w:tcPr>
            <w:tcW w:w="2385"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需要给予其它处罚额度的，报案审会决定。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74"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51" w:name="_Toc110851483"/>
            <w:bookmarkStart w:id="152" w:name="_Toc360901343"/>
            <w:bookmarkStart w:id="153" w:name="_Toc734791251"/>
            <w:r>
              <w:rPr>
                <w:rFonts w:hint="eastAsia" w:ascii="黑体" w:hAnsi="黑体" w:eastAsia="黑体"/>
                <w:b w:val="0"/>
                <w:color w:val="auto"/>
                <w:sz w:val="36"/>
                <w:szCs w:val="36"/>
                <w:highlight w:val="none"/>
              </w:rPr>
              <w:t>市场监督管理（流动无照经营）方面</w:t>
            </w:r>
            <w:bookmarkEnd w:id="151"/>
            <w:bookmarkEnd w:id="152"/>
            <w:bookmarkEnd w:id="15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76"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54" w:name="_Toc704954681"/>
            <w:bookmarkStart w:id="155" w:name="_Toc110851484"/>
            <w:bookmarkStart w:id="156" w:name="_Toc504994495"/>
            <w:r>
              <w:rPr>
                <w:rFonts w:hint="eastAsia" w:asciiTheme="minorEastAsia" w:hAnsiTheme="minorEastAsia" w:eastAsiaTheme="minorEastAsia"/>
                <w:color w:val="auto"/>
                <w:sz w:val="21"/>
                <w:szCs w:val="21"/>
                <w:highlight w:val="none"/>
              </w:rPr>
              <w:t>《无证</w:t>
            </w:r>
            <w:r>
              <w:rPr>
                <w:rFonts w:asciiTheme="minorEastAsia" w:hAnsiTheme="minorEastAsia" w:eastAsiaTheme="minorEastAsia"/>
                <w:color w:val="auto"/>
                <w:sz w:val="21"/>
                <w:szCs w:val="21"/>
                <w:highlight w:val="none"/>
              </w:rPr>
              <w:t>无照经营查处办法</w:t>
            </w:r>
            <w:r>
              <w:rPr>
                <w:rFonts w:hint="eastAsia" w:asciiTheme="minorEastAsia" w:hAnsiTheme="minorEastAsia" w:eastAsiaTheme="minorEastAsia"/>
                <w:color w:val="auto"/>
                <w:sz w:val="21"/>
                <w:szCs w:val="21"/>
                <w:highlight w:val="none"/>
              </w:rPr>
              <w:t>》案由3项</w:t>
            </w:r>
            <w:bookmarkEnd w:id="154"/>
            <w:bookmarkEnd w:id="155"/>
            <w:bookmarkEnd w:id="15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75" w:hRule="atLeast"/>
          <w:jc w:val="center"/>
        </w:trPr>
        <w:tc>
          <w:tcPr>
            <w:tcW w:w="940"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w:t>
            </w:r>
          </w:p>
        </w:tc>
        <w:tc>
          <w:tcPr>
            <w:tcW w:w="1500"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无照经营</w:t>
            </w:r>
          </w:p>
        </w:tc>
        <w:tc>
          <w:tcPr>
            <w:tcW w:w="2789"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违反条款：第二条；</w:t>
            </w:r>
          </w:p>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处罚条款：第十三条，责令停止违法行为，没收违法所得，并处1万元以下的罚款。</w:t>
            </w:r>
          </w:p>
        </w:tc>
        <w:tc>
          <w:tcPr>
            <w:tcW w:w="851"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100</w:t>
            </w:r>
          </w:p>
        </w:tc>
        <w:tc>
          <w:tcPr>
            <w:tcW w:w="840"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contextualSpacing/>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按照《基准》的规定执行</w:t>
            </w:r>
            <w:r>
              <w:rPr>
                <w:rFonts w:hint="eastAsia" w:asciiTheme="minorEastAsia" w:hAnsiTheme="minorEastAsia" w:eastAsiaTheme="minorEastAsia"/>
                <w:color w:val="auto"/>
                <w:sz w:val="15"/>
                <w:szCs w:val="15"/>
                <w:highlight w:val="none"/>
                <w:lang w:eastAsia="zh-CN"/>
              </w:rPr>
              <w:t>。</w:t>
            </w:r>
          </w:p>
        </w:tc>
        <w:tc>
          <w:tcPr>
            <w:tcW w:w="1785"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罚款数额＝100×（1＋</w:t>
            </w:r>
            <w:r>
              <w:rPr>
                <w:rFonts w:hint="eastAsia" w:asciiTheme="minorEastAsia" w:hAnsiTheme="minorEastAsia" w:eastAsiaTheme="minorEastAsia"/>
                <w:color w:val="auto"/>
                <w:sz w:val="15"/>
                <w:szCs w:val="15"/>
                <w:highlight w:val="none"/>
                <w:lang w:eastAsia="zh-CN"/>
              </w:rPr>
              <w:t>常量系数＋区域系数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适用于一般无照经营情形；2.占用无障碍设施或者机动车道；占用过街桥、地下过街通道；使用畜力车、农用运输车及其它机动车、电动车为经营工具；经营违禁品；占用非机动车道或者其它公共场所面积较大；或者造成通行秩序、市容秩序混乱等无照经营情形，原则按照“摆摊设点”案由查处；需要给予500元以下较轻罚款的，说明理由，报案审会决定按照“无照经营”案由查处。</w:t>
            </w:r>
          </w:p>
        </w:tc>
        <w:tc>
          <w:tcPr>
            <w:tcW w:w="824"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940"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2</w:t>
            </w:r>
          </w:p>
        </w:tc>
        <w:tc>
          <w:tcPr>
            <w:tcW w:w="1500"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cs="宋体" w:asciiTheme="minorEastAsia" w:hAnsiTheme="minorEastAsia" w:eastAsiaTheme="minorEastAsia"/>
                <w:bCs/>
                <w:color w:val="auto"/>
                <w:kern w:val="0"/>
                <w:sz w:val="15"/>
                <w:szCs w:val="15"/>
                <w:highlight w:val="none"/>
              </w:rPr>
              <w:t>为无照经营者提供</w:t>
            </w:r>
            <w:r>
              <w:rPr>
                <w:rFonts w:hint="eastAsia" w:cs="宋体" w:asciiTheme="minorEastAsia" w:hAnsiTheme="minorEastAsia" w:eastAsiaTheme="minorEastAsia"/>
                <w:bCs/>
                <w:color w:val="auto"/>
                <w:kern w:val="0"/>
                <w:sz w:val="15"/>
                <w:szCs w:val="15"/>
                <w:highlight w:val="none"/>
              </w:rPr>
              <w:t>场所或者条件</w:t>
            </w:r>
          </w:p>
        </w:tc>
        <w:tc>
          <w:tcPr>
            <w:tcW w:w="2789"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违反条款：第十四条；</w:t>
            </w:r>
          </w:p>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处罚条款：第十四条，责令停止违法行为，没收违法所得，并处</w:t>
            </w:r>
            <w:r>
              <w:rPr>
                <w:rFonts w:cs="宋体" w:asciiTheme="minorEastAsia" w:hAnsiTheme="minorEastAsia" w:eastAsiaTheme="minorEastAsia"/>
                <w:bCs/>
                <w:color w:val="auto"/>
                <w:kern w:val="0"/>
                <w:sz w:val="15"/>
                <w:szCs w:val="15"/>
                <w:highlight w:val="none"/>
              </w:rPr>
              <w:t>5000</w:t>
            </w:r>
            <w:r>
              <w:rPr>
                <w:rFonts w:hint="eastAsia" w:cs="宋体" w:asciiTheme="minorEastAsia" w:hAnsiTheme="minorEastAsia" w:eastAsiaTheme="minorEastAsia"/>
                <w:bCs/>
                <w:color w:val="auto"/>
                <w:kern w:val="0"/>
                <w:sz w:val="15"/>
                <w:szCs w:val="15"/>
                <w:highlight w:val="none"/>
              </w:rPr>
              <w:t>元以下的罚款。</w:t>
            </w:r>
          </w:p>
        </w:tc>
        <w:tc>
          <w:tcPr>
            <w:tcW w:w="851"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500</w:t>
            </w:r>
          </w:p>
        </w:tc>
        <w:tc>
          <w:tcPr>
            <w:tcW w:w="840"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auto"/>
            <w:vAlign w:val="center"/>
          </w:tcPr>
          <w:p>
            <w:pPr>
              <w:spacing w:line="232" w:lineRule="exact"/>
              <w:contextualSpacing/>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造成</w:t>
            </w:r>
            <w:r>
              <w:rPr>
                <w:rFonts w:hint="eastAsia" w:asciiTheme="minorEastAsia" w:hAnsiTheme="minorEastAsia" w:eastAsiaTheme="minorEastAsia"/>
                <w:color w:val="auto"/>
                <w:sz w:val="15"/>
                <w:szCs w:val="15"/>
                <w:highlight w:val="none"/>
                <w:lang w:eastAsia="zh-CN"/>
              </w:rPr>
              <w:t>严重</w:t>
            </w:r>
            <w:r>
              <w:rPr>
                <w:rFonts w:hint="eastAsia" w:asciiTheme="minorEastAsia" w:hAnsiTheme="minorEastAsia" w:eastAsiaTheme="minorEastAsia"/>
                <w:color w:val="auto"/>
                <w:sz w:val="15"/>
                <w:szCs w:val="15"/>
                <w:highlight w:val="none"/>
              </w:rPr>
              <w:t>影响的，系数</w:t>
            </w:r>
            <w:r>
              <w:rPr>
                <w:rFonts w:hint="eastAsia" w:asciiTheme="minorEastAsia" w:hAnsiTheme="minorEastAsia" w:eastAsiaTheme="minorEastAsia"/>
                <w:color w:val="auto"/>
                <w:sz w:val="15"/>
                <w:szCs w:val="15"/>
                <w:highlight w:val="none"/>
                <w:lang w:val="en-US" w:eastAsia="zh-CN"/>
              </w:rPr>
              <w:t>5-9</w:t>
            </w:r>
            <w:r>
              <w:rPr>
                <w:rFonts w:hint="eastAsia" w:asciiTheme="minorEastAsia" w:hAnsiTheme="minorEastAsia" w:eastAsiaTheme="minorEastAsia"/>
                <w:color w:val="auto"/>
                <w:sz w:val="15"/>
                <w:szCs w:val="15"/>
                <w:highlight w:val="none"/>
              </w:rPr>
              <w:t>。</w:t>
            </w:r>
          </w:p>
        </w:tc>
        <w:tc>
          <w:tcPr>
            <w:tcW w:w="1785" w:type="dxa"/>
            <w:shd w:val="clear" w:color="auto" w:fill="auto"/>
            <w:vAlign w:val="center"/>
          </w:tcPr>
          <w:p>
            <w:pPr>
              <w:spacing w:line="232" w:lineRule="exact"/>
              <w:contextualSpacing/>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00×（1＋</w:t>
            </w:r>
            <w:r>
              <w:rPr>
                <w:rFonts w:hint="eastAsia" w:asciiTheme="minorEastAsia" w:hAnsiTheme="minorEastAsia" w:eastAsiaTheme="minorEastAsia"/>
                <w:color w:val="auto"/>
                <w:sz w:val="15"/>
                <w:szCs w:val="15"/>
                <w:highlight w:val="none"/>
                <w:lang w:eastAsia="zh-CN"/>
              </w:rPr>
              <w:t>常量系数</w:t>
            </w:r>
            <w:r>
              <w:rPr>
                <w:rFonts w:hint="eastAsia" w:cs="宋体" w:asciiTheme="minorEastAsia" w:hAnsiTheme="minorEastAsia" w:eastAsiaTheme="minorEastAsia"/>
                <w:bCs/>
                <w:color w:val="auto"/>
                <w:sz w:val="15"/>
                <w:szCs w:val="15"/>
                <w:highlight w:val="none"/>
              </w:rPr>
              <w:t>+变量系数</w:t>
            </w:r>
            <w:r>
              <w:rPr>
                <w:rFonts w:hint="eastAsia" w:asciiTheme="minorEastAsia" w:hAnsiTheme="minorEastAsia" w:eastAsiaTheme="minorEastAsia"/>
                <w:color w:val="auto"/>
                <w:sz w:val="15"/>
                <w:szCs w:val="15"/>
                <w:highlight w:val="none"/>
                <w:lang w:eastAsia="zh-CN"/>
              </w:rPr>
              <w:t>＋区域系数</w:t>
            </w:r>
            <w:r>
              <w:rPr>
                <w:rFonts w:hint="eastAsia" w:asciiTheme="minorEastAsia" w:hAnsiTheme="minorEastAsia" w:eastAsiaTheme="minorEastAsia"/>
                <w:color w:val="auto"/>
                <w:sz w:val="15"/>
                <w:szCs w:val="15"/>
                <w:highlight w:val="none"/>
              </w:rPr>
              <w:t>）</w:t>
            </w:r>
          </w:p>
        </w:tc>
        <w:tc>
          <w:tcPr>
            <w:tcW w:w="2385" w:type="dxa"/>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p>
        </w:tc>
        <w:tc>
          <w:tcPr>
            <w:tcW w:w="824"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04" w:hRule="atLeast"/>
          <w:jc w:val="center"/>
        </w:trPr>
        <w:tc>
          <w:tcPr>
            <w:tcW w:w="940" w:type="dxa"/>
            <w:shd w:val="clear" w:color="auto" w:fill="auto"/>
            <w:vAlign w:val="center"/>
          </w:tcPr>
          <w:p>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cs="宋体" w:asciiTheme="minorEastAsia" w:hAnsiTheme="minorEastAsia" w:eastAsiaTheme="minorEastAsia"/>
                <w:bCs/>
                <w:strike w:val="0"/>
                <w:dstrike w:val="0"/>
                <w:color w:val="auto"/>
                <w:kern w:val="0"/>
                <w:sz w:val="15"/>
                <w:szCs w:val="15"/>
                <w:highlight w:val="none"/>
              </w:rPr>
              <w:t>3</w:t>
            </w:r>
          </w:p>
        </w:tc>
        <w:tc>
          <w:tcPr>
            <w:tcW w:w="1500" w:type="dxa"/>
            <w:shd w:val="clear" w:color="auto" w:fill="auto"/>
            <w:vAlign w:val="center"/>
          </w:tcPr>
          <w:p>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无照经营（人力三轮车等业务）</w:t>
            </w:r>
          </w:p>
        </w:tc>
        <w:tc>
          <w:tcPr>
            <w:tcW w:w="2789" w:type="dxa"/>
            <w:shd w:val="clear" w:color="auto" w:fill="auto"/>
            <w:vAlign w:val="center"/>
          </w:tcPr>
          <w:p>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违反条款：第二条；</w:t>
            </w:r>
          </w:p>
          <w:p>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处罚条款：第十三条，责令停止违法行为，没收违法所得，并处1万元以下的罚款。</w:t>
            </w:r>
          </w:p>
        </w:tc>
        <w:tc>
          <w:tcPr>
            <w:tcW w:w="851" w:type="dxa"/>
            <w:shd w:val="clear" w:color="auto" w:fill="auto"/>
            <w:vAlign w:val="center"/>
          </w:tcPr>
          <w:p>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500</w:t>
            </w:r>
          </w:p>
        </w:tc>
        <w:tc>
          <w:tcPr>
            <w:tcW w:w="840" w:type="dxa"/>
            <w:shd w:val="clear" w:color="auto" w:fill="auto"/>
            <w:vAlign w:val="center"/>
          </w:tcPr>
          <w:p>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1</w:t>
            </w:r>
          </w:p>
        </w:tc>
        <w:tc>
          <w:tcPr>
            <w:tcW w:w="2304" w:type="dxa"/>
            <w:shd w:val="clear" w:color="auto" w:fill="auto"/>
            <w:vAlign w:val="center"/>
          </w:tcPr>
          <w:p>
            <w:pPr>
              <w:spacing w:line="232" w:lineRule="exact"/>
              <w:contextualSpacing/>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造成秩序混乱或者较大社会影响的，系数1-3。</w:t>
            </w:r>
          </w:p>
        </w:tc>
        <w:tc>
          <w:tcPr>
            <w:tcW w:w="1785" w:type="dxa"/>
            <w:shd w:val="clear" w:color="auto" w:fill="auto"/>
            <w:vAlign w:val="center"/>
          </w:tcPr>
          <w:p>
            <w:pPr>
              <w:spacing w:line="232" w:lineRule="exact"/>
              <w:contextualSpacing/>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罚款数额＝500×</w:t>
            </w:r>
            <w:r>
              <w:rPr>
                <w:rFonts w:hint="eastAsia" w:cs="宋体" w:asciiTheme="minorEastAsia" w:hAnsiTheme="minorEastAsia" w:eastAsiaTheme="minorEastAsia"/>
                <w:bCs/>
                <w:strike w:val="0"/>
                <w:dstrike w:val="0"/>
                <w:color w:val="auto"/>
                <w:sz w:val="15"/>
                <w:szCs w:val="15"/>
                <w:highlight w:val="none"/>
              </w:rPr>
              <w:t>（1</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strike w:val="0"/>
                <w:dstrike w:val="0"/>
                <w:color w:val="auto"/>
                <w:sz w:val="15"/>
                <w:szCs w:val="15"/>
                <w:highlight w:val="none"/>
                <w:lang w:eastAsia="zh-CN"/>
              </w:rPr>
              <w:t>常量系数</w:t>
            </w:r>
            <w:r>
              <w:rPr>
                <w:rFonts w:hint="eastAsia" w:cs="宋体" w:asciiTheme="minorEastAsia" w:hAnsiTheme="minorEastAsia" w:eastAsiaTheme="minorEastAsia"/>
                <w:bCs/>
                <w:strike w:val="0"/>
                <w:dstrike w:val="0"/>
                <w:color w:val="auto"/>
                <w:sz w:val="15"/>
                <w:szCs w:val="15"/>
                <w:highlight w:val="none"/>
              </w:rPr>
              <w:t>+变量系数</w:t>
            </w:r>
            <w:r>
              <w:rPr>
                <w:rFonts w:hint="eastAsia" w:asciiTheme="minorEastAsia" w:hAnsiTheme="minorEastAsia" w:eastAsiaTheme="minorEastAsia"/>
                <w:strike w:val="0"/>
                <w:dstrike w:val="0"/>
                <w:color w:val="auto"/>
                <w:sz w:val="15"/>
                <w:szCs w:val="15"/>
                <w:highlight w:val="none"/>
                <w:lang w:eastAsia="zh-CN"/>
              </w:rPr>
              <w:t>＋区域系数</w:t>
            </w:r>
            <w:r>
              <w:rPr>
                <w:rFonts w:hint="eastAsia" w:cs="宋体" w:asciiTheme="minorEastAsia" w:hAnsiTheme="minorEastAsia" w:eastAsiaTheme="minorEastAsia"/>
                <w:bCs/>
                <w:strike w:val="0"/>
                <w:dstrike w:val="0"/>
                <w:color w:val="auto"/>
                <w:sz w:val="15"/>
                <w:szCs w:val="15"/>
                <w:highlight w:val="none"/>
              </w:rPr>
              <w:t>）</w:t>
            </w:r>
          </w:p>
        </w:tc>
        <w:tc>
          <w:tcPr>
            <w:tcW w:w="2385" w:type="dxa"/>
            <w:shd w:val="clear" w:color="auto" w:fill="auto"/>
            <w:vAlign w:val="center"/>
          </w:tcPr>
          <w:p>
            <w:pPr>
              <w:spacing w:line="232" w:lineRule="exact"/>
              <w:rPr>
                <w:rFonts w:asciiTheme="minorEastAsia" w:hAnsiTheme="minorEastAsia" w:eastAsiaTheme="minorEastAsia"/>
                <w:strike w:val="0"/>
                <w:color w:val="auto"/>
                <w:sz w:val="15"/>
                <w:szCs w:val="15"/>
                <w:highlight w:val="none"/>
              </w:rPr>
            </w:pPr>
            <w:r>
              <w:rPr>
                <w:rFonts w:hint="eastAsia" w:asciiTheme="minorEastAsia" w:hAnsiTheme="minorEastAsia" w:eastAsiaTheme="minorEastAsia"/>
                <w:strike w:val="0"/>
                <w:color w:val="auto"/>
                <w:sz w:val="15"/>
                <w:szCs w:val="15"/>
                <w:highlight w:val="none"/>
              </w:rPr>
              <w:t>需要给予其它处罚额度的，报案审会决定。</w:t>
            </w:r>
          </w:p>
          <w:p>
            <w:pPr>
              <w:spacing w:line="232" w:lineRule="exact"/>
              <w:contextualSpacing/>
              <w:rPr>
                <w:rFonts w:hint="eastAsia" w:asciiTheme="minorEastAsia" w:hAnsiTheme="minorEastAsia" w:eastAsiaTheme="minorEastAsia"/>
                <w:strike w:val="0"/>
                <w:dstrike w:val="0"/>
                <w:color w:val="auto"/>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14218" w:type="dxa"/>
            <w:gridSpan w:val="9"/>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b w:val="0"/>
                <w:color w:val="auto"/>
                <w:sz w:val="24"/>
                <w:szCs w:val="24"/>
                <w:highlight w:val="none"/>
              </w:rPr>
            </w:pPr>
            <w:bookmarkStart w:id="157" w:name="_Toc1160691890"/>
            <w:bookmarkStart w:id="158" w:name="_Toc110851485"/>
            <w:bookmarkStart w:id="159" w:name="_Toc1070422418"/>
            <w:r>
              <w:rPr>
                <w:rFonts w:hint="eastAsia" w:ascii="黑体" w:hAnsi="黑体" w:eastAsia="黑体"/>
                <w:b w:val="0"/>
                <w:color w:val="auto"/>
                <w:sz w:val="36"/>
                <w:szCs w:val="36"/>
                <w:highlight w:val="none"/>
              </w:rPr>
              <w:t>城市规划管理方面</w:t>
            </w:r>
            <w:bookmarkEnd w:id="157"/>
            <w:bookmarkEnd w:id="158"/>
            <w:bookmarkEnd w:id="15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asciiTheme="minorEastAsia" w:hAnsiTheme="minorEastAsia" w:eastAsiaTheme="minorEastAsia"/>
                <w:color w:val="auto"/>
                <w:sz w:val="15"/>
                <w:szCs w:val="15"/>
                <w:highlight w:val="none"/>
              </w:rPr>
            </w:pPr>
            <w:bookmarkStart w:id="160" w:name="_Toc110851486"/>
            <w:bookmarkStart w:id="161" w:name="_Toc187041735"/>
            <w:bookmarkStart w:id="162" w:name="_Toc961352188"/>
            <w:r>
              <w:rPr>
                <w:rFonts w:hint="eastAsia" w:asciiTheme="minorEastAsia" w:hAnsiTheme="minorEastAsia" w:eastAsiaTheme="minorEastAsia"/>
                <w:color w:val="auto"/>
                <w:sz w:val="21"/>
                <w:szCs w:val="21"/>
                <w:highlight w:val="none"/>
              </w:rPr>
              <w:t>《中华人民共和国城乡规划法》《北京市城乡规划条例》</w:t>
            </w:r>
            <w:r>
              <w:rPr>
                <w:rFonts w:hint="eastAsia" w:asciiTheme="minorEastAsia" w:hAnsiTheme="minorEastAsia" w:eastAsiaTheme="minorEastAsia"/>
                <w:color w:val="auto"/>
                <w:sz w:val="21"/>
                <w:szCs w:val="21"/>
                <w:highlight w:val="none"/>
                <w:lang w:val="en-US" w:eastAsia="zh-CN"/>
              </w:rPr>
              <w:t xml:space="preserve"> </w:t>
            </w:r>
            <w:r>
              <w:rPr>
                <w:rFonts w:hint="eastAsia" w:asciiTheme="minorEastAsia" w:hAnsiTheme="minorEastAsia" w:eastAsiaTheme="minorEastAsia"/>
                <w:color w:val="auto"/>
                <w:sz w:val="21"/>
                <w:szCs w:val="21"/>
                <w:highlight w:val="none"/>
              </w:rPr>
              <w:t>案由2项</w:t>
            </w:r>
            <w:bookmarkEnd w:id="160"/>
            <w:bookmarkEnd w:id="161"/>
            <w:bookmarkEnd w:id="16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vMerge w:val="restart"/>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违法建设</w:t>
            </w:r>
          </w:p>
        </w:tc>
        <w:tc>
          <w:tcPr>
            <w:tcW w:w="8569" w:type="dxa"/>
            <w:gridSpan w:val="5"/>
            <w:shd w:val="clear" w:color="auto" w:fill="auto"/>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新生违法建设</w:t>
            </w:r>
            <w:r>
              <w:rPr>
                <w:rFonts w:cs="宋体" w:asciiTheme="minorEastAsia" w:hAnsiTheme="minorEastAsia" w:eastAsiaTheme="minorEastAsia"/>
                <w:b/>
                <w:bCs/>
                <w:color w:val="auto"/>
                <w:kern w:val="0"/>
                <w:sz w:val="15"/>
                <w:szCs w:val="15"/>
                <w:highlight w:val="none"/>
              </w:rPr>
              <w:t>]</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拆除条款：</w:t>
            </w:r>
            <w:r>
              <w:rPr>
                <w:rFonts w:hint="eastAsia" w:cs="宋体" w:asciiTheme="minorEastAsia" w:hAnsiTheme="minorEastAsia" w:eastAsiaTheme="minorEastAsia"/>
                <w:color w:val="auto"/>
                <w:kern w:val="0"/>
                <w:sz w:val="15"/>
                <w:szCs w:val="15"/>
                <w:highlight w:val="none"/>
              </w:rPr>
              <w:t>《北京市城乡规划条例》第七十四条，书面责令违法建设当事人立即停止建设、自行拆除或者回填；并可以查封违法建设施工现场、扣押违法建设施工工具和材料。当事人拒不停止建设或者拒不拆除、回填的，执法机关应当依法立即强制拆除、回填。</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r>
              <w:rPr>
                <w:rFonts w:hint="eastAsia" w:cs="宋体" w:asciiTheme="minorEastAsia" w:hAnsiTheme="minorEastAsia" w:eastAsiaTheme="minorEastAsia"/>
                <w:color w:val="auto"/>
                <w:kern w:val="0"/>
                <w:sz w:val="15"/>
                <w:szCs w:val="15"/>
                <w:highlight w:val="none"/>
              </w:rPr>
              <w:br w:type="textWrapping"/>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940" w:type="dxa"/>
            <w:vMerge w:val="continue"/>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tcBorders>
              <w:bottom w:val="single" w:color="auto" w:sz="4" w:space="0"/>
            </w:tcBorders>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69" w:type="dxa"/>
            <w:gridSpan w:val="5"/>
            <w:tcBorders>
              <w:bottom w:val="single" w:color="auto" w:sz="4" w:space="0"/>
            </w:tcBorders>
            <w:shd w:val="clear" w:color="auto" w:fill="auto"/>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已建成违法建设</w:t>
            </w:r>
            <w:r>
              <w:rPr>
                <w:rFonts w:cs="宋体" w:asciiTheme="minorEastAsia" w:hAnsiTheme="minorEastAsia" w:eastAsiaTheme="minorEastAsia"/>
                <w:b/>
                <w:bCs/>
                <w:color w:val="auto"/>
                <w:kern w:val="0"/>
                <w:sz w:val="15"/>
                <w:szCs w:val="15"/>
                <w:highlight w:val="none"/>
              </w:rPr>
              <w:t>]</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拆除条款：（限期拆除）</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（强制拆除）</w:t>
            </w:r>
            <w:r>
              <w:rPr>
                <w:rFonts w:hint="eastAsia" w:cs="宋体" w:asciiTheme="minorEastAsia" w:hAnsiTheme="minorEastAsia" w:eastAsiaTheme="minorEastAsia"/>
                <w:color w:val="auto"/>
                <w:kern w:val="0"/>
                <w:sz w:val="15"/>
                <w:szCs w:val="15"/>
                <w:highlight w:val="none"/>
              </w:rPr>
              <w:t>第七十八条第一款，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b/>
                <w:color w:val="auto"/>
                <w:kern w:val="0"/>
                <w:sz w:val="15"/>
                <w:szCs w:val="15"/>
                <w:highlight w:val="none"/>
              </w:rPr>
              <w:t>（无主公告）</w:t>
            </w:r>
            <w:r>
              <w:rPr>
                <w:rFonts w:hint="eastAsia" w:cs="宋体" w:asciiTheme="minorEastAsia" w:hAnsiTheme="minorEastAsia" w:eastAsiaTheme="minorEastAsia"/>
                <w:color w:val="auto"/>
                <w:kern w:val="0"/>
                <w:sz w:val="15"/>
                <w:szCs w:val="15"/>
                <w:highlight w:val="none"/>
              </w:rPr>
              <w:t>第七十八条第二款，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日。公告期间届满后</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个月内无人提起行政复议或者行政诉讼的，依法强制拆除或者没收。</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2385" w:type="dxa"/>
            <w:tcBorders>
              <w:bottom w:val="single" w:color="auto" w:sz="4" w:space="0"/>
            </w:tcBorders>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p>
        </w:tc>
        <w:tc>
          <w:tcPr>
            <w:tcW w:w="824" w:type="dxa"/>
            <w:tcBorders>
              <w:bottom w:val="single" w:color="auto" w:sz="4" w:space="0"/>
            </w:tcBorders>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5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69" w:type="dxa"/>
            <w:gridSpan w:val="5"/>
            <w:shd w:val="clear" w:color="auto" w:fill="auto"/>
          </w:tcPr>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bCs/>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城镇临时建设工程未取得临时建设工程规划许可证违法建设</w:t>
            </w:r>
            <w:r>
              <w:rPr>
                <w:rFonts w:cs="宋体" w:asciiTheme="minorEastAsia" w:hAnsiTheme="minorEastAsia" w:eastAsiaTheme="minorEastAsia"/>
                <w:b/>
                <w:bCs/>
                <w:color w:val="auto"/>
                <w:kern w:val="0"/>
                <w:sz w:val="15"/>
                <w:szCs w:val="15"/>
                <w:highlight w:val="none"/>
              </w:rPr>
              <w:t>]</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拆除条款：</w:t>
            </w:r>
            <w:r>
              <w:rPr>
                <w:rFonts w:hint="eastAsia" w:cs="宋体" w:asciiTheme="minorEastAsia" w:hAnsiTheme="minorEastAsia" w:eastAsiaTheme="minorEastAsia"/>
                <w:color w:val="auto"/>
                <w:kern w:val="0"/>
                <w:sz w:val="15"/>
                <w:szCs w:val="15"/>
                <w:highlight w:val="none"/>
              </w:rPr>
              <w:t>第七十六条，城镇临时建设工程未取得临时建设工程规划许可证或者未按照临时建设工程规划许可证许可内容进行建设或者逾期未拆除的，责令限期拆除，可以并处该建设工程造价一倍以下的罚款。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第七十八条，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日。公告期间届满后</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个月内无人提起行政复议或者行政诉讼的，依法强制拆除或者没收。</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color w:val="auto"/>
                <w:kern w:val="0"/>
                <w:sz w:val="15"/>
                <w:szCs w:val="15"/>
                <w:highlight w:val="none"/>
                <w:lang w:val="en"/>
              </w:rPr>
            </w:pP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《北京市城乡规划条例》第七十六条。</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未按照规定在施工现场对外公示建设工程规划许可证（含临时）及附件、附图</w:t>
            </w:r>
          </w:p>
        </w:tc>
        <w:tc>
          <w:tcPr>
            <w:tcW w:w="2789"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《北京市城乡规划条例》第六十四条；</w:t>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《北京市城乡规划条例》第八十五条，责令限期改正，可以并处</w:t>
            </w:r>
            <w:r>
              <w:rPr>
                <w:rFonts w:cs="宋体" w:asciiTheme="minorEastAsia" w:hAnsiTheme="minorEastAsia" w:eastAsiaTheme="minorEastAsia"/>
                <w:color w:val="auto"/>
                <w:kern w:val="0"/>
                <w:sz w:val="15"/>
                <w:szCs w:val="15"/>
                <w:highlight w:val="none"/>
              </w:rPr>
              <w:t>5000</w:t>
            </w:r>
            <w:r>
              <w:rPr>
                <w:rFonts w:hint="eastAsia" w:cs="宋体" w:asciiTheme="minorEastAsia" w:hAnsiTheme="minorEastAsia" w:eastAsiaTheme="minorEastAsia"/>
                <w:color w:val="auto"/>
                <w:kern w:val="0"/>
                <w:sz w:val="15"/>
                <w:szCs w:val="15"/>
                <w:highlight w:val="none"/>
              </w:rPr>
              <w:t>元以上</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按照《基准》的有关规定执行</w:t>
            </w:r>
          </w:p>
        </w:tc>
        <w:tc>
          <w:tcPr>
            <w:tcW w:w="1785"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5000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rPr>
              <w:t>该项案由执法区域范畴与查处违法建设分工区域范畴相同</w:t>
            </w:r>
            <w:r>
              <w:rPr>
                <w:rFonts w:hint="eastAsia" w:cs="宋体" w:asciiTheme="minorEastAsia" w:hAnsiTheme="minorEastAsia" w:eastAsiaTheme="minorEastAsia"/>
                <w:strike w:val="0"/>
                <w:dstrike w:val="0"/>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2"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63" w:name="_Toc250975437"/>
            <w:bookmarkStart w:id="164" w:name="_Toc110851487"/>
            <w:bookmarkStart w:id="165" w:name="_Toc331751861"/>
            <w:r>
              <w:rPr>
                <w:rFonts w:hint="eastAsia" w:ascii="黑体" w:hAnsi="黑体" w:eastAsia="黑体"/>
                <w:b w:val="0"/>
                <w:color w:val="auto"/>
                <w:sz w:val="36"/>
                <w:szCs w:val="36"/>
                <w:highlight w:val="none"/>
              </w:rPr>
              <w:t>旅游管理（黑导游）方面</w:t>
            </w:r>
            <w:bookmarkEnd w:id="163"/>
            <w:bookmarkEnd w:id="164"/>
            <w:bookmarkEnd w:id="16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5"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66" w:name="_Toc110851488"/>
            <w:bookmarkStart w:id="167" w:name="_Toc363033362"/>
            <w:bookmarkStart w:id="168" w:name="_Toc103234006"/>
            <w:r>
              <w:rPr>
                <w:rFonts w:hint="eastAsia" w:asciiTheme="minorEastAsia" w:hAnsiTheme="minorEastAsia" w:eastAsiaTheme="minorEastAsia"/>
                <w:color w:val="auto"/>
                <w:sz w:val="21"/>
                <w:szCs w:val="21"/>
                <w:highlight w:val="none"/>
              </w:rPr>
              <w:t>《中华人民共和国旅游法》案由1项</w:t>
            </w:r>
            <w:bookmarkEnd w:id="166"/>
            <w:bookmarkEnd w:id="167"/>
            <w:bookmarkEnd w:id="16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无导游证进行导游活动</w:t>
            </w:r>
          </w:p>
        </w:tc>
        <w:tc>
          <w:tcPr>
            <w:tcW w:w="2789"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违反、处罚条款：第一百零二条第一款，责令改正，没收违法所得，并处1千元以上1万元以下罚款，予以公告。</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在4A级景区，系数1；5A级景区，系数2。</w:t>
            </w:r>
          </w:p>
        </w:tc>
        <w:tc>
          <w:tcPr>
            <w:tcW w:w="1785" w:type="dxa"/>
            <w:shd w:val="clear" w:color="auto" w:fill="auto"/>
            <w:vAlign w:val="center"/>
          </w:tcPr>
          <w:p>
            <w:pPr>
              <w:spacing w:line="220"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numPr>
                <w:ilvl w:val="0"/>
                <w:numId w:val="0"/>
              </w:num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需要给予其它处罚额度的，报案审会决定。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5" w:hRule="atLeast"/>
          <w:jc w:val="center"/>
        </w:trPr>
        <w:tc>
          <w:tcPr>
            <w:tcW w:w="14218" w:type="dxa"/>
            <w:gridSpan w:val="9"/>
            <w:shd w:val="clear" w:color="auto" w:fill="auto"/>
            <w:vAlign w:val="center"/>
          </w:tcPr>
          <w:p>
            <w:pPr>
              <w:pStyle w:val="2"/>
              <w:keepNext w:val="0"/>
              <w:keepLines w:val="0"/>
              <w:rPr>
                <w:rFonts w:ascii="黑体" w:hAnsi="黑体" w:eastAsia="黑体"/>
                <w:b w:val="0"/>
                <w:color w:val="auto"/>
                <w:sz w:val="36"/>
                <w:szCs w:val="36"/>
                <w:highlight w:val="none"/>
              </w:rPr>
            </w:pPr>
            <w:bookmarkStart w:id="169" w:name="_Toc8089072"/>
            <w:bookmarkStart w:id="170" w:name="_Toc110851489"/>
            <w:bookmarkStart w:id="171" w:name="_Toc1411480696"/>
            <w:r>
              <w:rPr>
                <w:rFonts w:hint="eastAsia" w:ascii="黑体" w:hAnsi="黑体" w:eastAsia="黑体"/>
                <w:b w:val="0"/>
                <w:color w:val="auto"/>
                <w:sz w:val="36"/>
                <w:szCs w:val="36"/>
                <w:highlight w:val="none"/>
              </w:rPr>
              <w:t>食品安全管理方面</w:t>
            </w:r>
            <w:bookmarkEnd w:id="169"/>
            <w:bookmarkEnd w:id="170"/>
            <w:bookmarkEnd w:id="17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7" w:hRule="atLeast"/>
          <w:jc w:val="center"/>
        </w:trPr>
        <w:tc>
          <w:tcPr>
            <w:tcW w:w="14218" w:type="dxa"/>
            <w:gridSpan w:val="9"/>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72" w:name="_Toc110851490"/>
            <w:bookmarkStart w:id="173" w:name="_Toc948913247"/>
            <w:bookmarkStart w:id="174" w:name="_Toc2139524843"/>
            <w:r>
              <w:rPr>
                <w:rFonts w:hint="eastAsia" w:asciiTheme="minorEastAsia" w:hAnsiTheme="minorEastAsia" w:eastAsiaTheme="minorEastAsia"/>
                <w:color w:val="auto"/>
                <w:sz w:val="21"/>
                <w:szCs w:val="21"/>
                <w:highlight w:val="none"/>
              </w:rPr>
              <w:t>《北京市小规模食品生产经营管理规定》案由23项</w:t>
            </w:r>
            <w:bookmarkEnd w:id="172"/>
            <w:bookmarkEnd w:id="173"/>
            <w:bookmarkEnd w:id="17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食品摊贩以欺骗、贿赂等不正当手段取得备案</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处罚条款：第二十三条，对食品摊贩处2000元以上5000元以下罚款。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0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食品摊贩超出备案载明的经营区域、经营时段从事食品生产经营活动</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违反条款：第八条第二款和《北京市市容环境卫生条例》第三十五条第一款；</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处罚条款：第二十四条第三款和《北京市市容环境卫生条例》第三十五条第五款，责令改正，没收违法所得和非法财物，并可处500元以上5000元以下的罚款。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1.超出</w:t>
            </w:r>
            <w:r>
              <w:rPr>
                <w:rFonts w:cs="宋体" w:asciiTheme="minorEastAsia" w:hAnsiTheme="minorEastAsia" w:eastAsiaTheme="minorEastAsia"/>
                <w:color w:val="auto"/>
                <w:kern w:val="0"/>
                <w:sz w:val="15"/>
                <w:szCs w:val="15"/>
                <w:highlight w:val="none"/>
              </w:rPr>
              <w:t>备案载明的经营区域或经营时段的，系数</w:t>
            </w:r>
            <w:r>
              <w:rPr>
                <w:rFonts w:hint="eastAsia" w:cs="宋体" w:asciiTheme="minorEastAsia" w:hAnsiTheme="minorEastAsia" w:eastAsiaTheme="minorEastAsia"/>
                <w:color w:val="auto"/>
                <w:kern w:val="0"/>
                <w:sz w:val="15"/>
                <w:szCs w:val="15"/>
                <w:highlight w:val="none"/>
              </w:rPr>
              <w:t>为</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；2.同时</w:t>
            </w:r>
            <w:r>
              <w:rPr>
                <w:rFonts w:cs="宋体" w:asciiTheme="minorEastAsia" w:hAnsiTheme="minorEastAsia" w:eastAsiaTheme="minorEastAsia"/>
                <w:color w:val="auto"/>
                <w:kern w:val="0"/>
                <w:sz w:val="15"/>
                <w:szCs w:val="15"/>
                <w:highlight w:val="none"/>
              </w:rPr>
              <w:t>超出</w:t>
            </w:r>
            <w:r>
              <w:rPr>
                <w:rFonts w:hint="eastAsia" w:cs="宋体" w:asciiTheme="minorEastAsia" w:hAnsiTheme="minorEastAsia" w:eastAsiaTheme="minorEastAsia"/>
                <w:color w:val="auto"/>
                <w:kern w:val="0"/>
                <w:sz w:val="15"/>
                <w:szCs w:val="15"/>
                <w:highlight w:val="none"/>
              </w:rPr>
              <w:t>备</w:t>
            </w:r>
            <w:r>
              <w:rPr>
                <w:rFonts w:cs="宋体" w:asciiTheme="minorEastAsia" w:hAnsiTheme="minorEastAsia" w:eastAsiaTheme="minorEastAsia"/>
                <w:color w:val="auto"/>
                <w:kern w:val="0"/>
                <w:sz w:val="15"/>
                <w:szCs w:val="15"/>
                <w:highlight w:val="none"/>
              </w:rPr>
              <w:t>案载明的经营区域</w:t>
            </w:r>
            <w:r>
              <w:rPr>
                <w:rFonts w:hint="eastAsia" w:cs="宋体" w:asciiTheme="minorEastAsia" w:hAnsiTheme="minorEastAsia" w:eastAsiaTheme="minorEastAsia"/>
                <w:color w:val="auto"/>
                <w:kern w:val="0"/>
                <w:sz w:val="15"/>
                <w:szCs w:val="15"/>
                <w:highlight w:val="none"/>
              </w:rPr>
              <w:t>和</w:t>
            </w:r>
            <w:r>
              <w:rPr>
                <w:rFonts w:cs="宋体" w:asciiTheme="minorEastAsia" w:hAnsiTheme="minorEastAsia" w:eastAsiaTheme="minorEastAsia"/>
                <w:color w:val="auto"/>
                <w:kern w:val="0"/>
                <w:sz w:val="15"/>
                <w:szCs w:val="15"/>
                <w:highlight w:val="none"/>
              </w:rPr>
              <w:t>经营时段的</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系数为</w:t>
            </w:r>
            <w:r>
              <w:rPr>
                <w:rFonts w:hint="eastAsia" w:cs="宋体" w:asciiTheme="minorEastAsia" w:hAnsiTheme="minorEastAsia" w:eastAsiaTheme="minorEastAsia"/>
                <w:color w:val="auto"/>
                <w:kern w:val="0"/>
                <w:sz w:val="15"/>
                <w:szCs w:val="15"/>
                <w:highlight w:val="none"/>
              </w:rPr>
              <w:t>5。</w:t>
            </w:r>
          </w:p>
        </w:tc>
        <w:tc>
          <w:tcPr>
            <w:tcW w:w="1785"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食品摊贩用非食品原料生产制作食品（在食品中添加食品添加剂以外的化学物质和其它可能危害人体健康的物质、用回收食品作为原料生产加工食品）</w:t>
            </w:r>
          </w:p>
        </w:tc>
        <w:tc>
          <w:tcPr>
            <w:tcW w:w="2789"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违反条款：第十三条第一项；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食品摊贩经营病死、毒死或者死因不明的禽、畜、兽、水产动物肉类或者生产经营其制品</w:t>
            </w:r>
          </w:p>
        </w:tc>
        <w:tc>
          <w:tcPr>
            <w:tcW w:w="2789"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违反条款：第十三条第二项；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食品摊贩经营未按规定进行检疫或者检疫不合格的肉类（未经检验或者检验不合格的肉类制品）</w:t>
            </w:r>
          </w:p>
        </w:tc>
        <w:tc>
          <w:tcPr>
            <w:tcW w:w="2789"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违反条款：第十三条第三项；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24"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食品摊贩生产经营国家为防病等特殊需要明令禁止生产经营的食品；</w:t>
            </w:r>
          </w:p>
        </w:tc>
        <w:tc>
          <w:tcPr>
            <w:tcW w:w="2789" w:type="dxa"/>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违反条款：第十三条第四项；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3"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vMerge w:val="restart"/>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食品摊贩违反国家规定在食品中添加药品</w:t>
            </w:r>
          </w:p>
        </w:tc>
        <w:tc>
          <w:tcPr>
            <w:tcW w:w="2789" w:type="dxa"/>
            <w:vMerge w:val="restart"/>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违反条款：第十三条第五项；</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1" w:hRule="atLeast"/>
          <w:jc w:val="center"/>
        </w:trPr>
        <w:tc>
          <w:tcPr>
            <w:tcW w:w="9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案件情况按照</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金额的倍数执行</w:t>
            </w:r>
            <w:r>
              <w:rPr>
                <w:rFonts w:hint="eastAsia" w:cs="宋体" w:asciiTheme="minorEastAsia" w:hAnsiTheme="minorEastAsia" w:eastAsiaTheme="minorEastAsia"/>
                <w:color w:val="auto"/>
                <w:kern w:val="0"/>
                <w:sz w:val="15"/>
                <w:szCs w:val="15"/>
                <w:highlight w:val="none"/>
                <w:lang w:eastAsia="zh-CN"/>
              </w:rPr>
              <w:t>。</w:t>
            </w: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食品摊贩生产制作致病性微生物，农药残留、兽药残留、生物毒素、重金属等污染物质以及其它危害人体健康的物质含量超过食品安全标准限量的食品</w:t>
            </w:r>
          </w:p>
        </w:tc>
        <w:tc>
          <w:tcPr>
            <w:tcW w:w="2789"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违反条款：第十三条第六项；</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6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食品摊贩超范围、超限量使用食品添加剂生产制作食品（用超过保质期的食品原料、食品添加剂生产制作食品）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违反条款：第十三条第七项；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食品摊贩生产经营腐败变质、油脂酸败、霉变生虫、污秽不洁、混有异物、掺假掺杂或者感官性状异常的食品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违反条款：第十三条第八项；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食品摊贩标注虚假生产日期、保质期（销售超过保质期的食品）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违反条款：第十三条第九项；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食品摊贩生产制作其它不符合食品安全标准的食品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27"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食品摊贩经营冷荤凉菜（生食水产品、裱花蛋糕、散装熟食、散装酒，保健食品、婴幼儿配方食品和特殊医学用途配方食品等特殊食品、区人民政府确定不得经营的类别）</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1.经营</w:t>
            </w:r>
            <w:r>
              <w:rPr>
                <w:rFonts w:cs="宋体" w:asciiTheme="minorEastAsia" w:hAnsiTheme="minorEastAsia" w:eastAsiaTheme="minorEastAsia"/>
                <w:color w:val="auto"/>
                <w:kern w:val="0"/>
                <w:sz w:val="15"/>
                <w:szCs w:val="15"/>
                <w:highlight w:val="none"/>
              </w:rPr>
              <w:t>冷荤</w:t>
            </w:r>
            <w:r>
              <w:rPr>
                <w:rFonts w:hint="eastAsia" w:cs="宋体" w:asciiTheme="minorEastAsia" w:hAnsiTheme="minorEastAsia" w:eastAsiaTheme="minorEastAsia"/>
                <w:color w:val="auto"/>
                <w:kern w:val="0"/>
                <w:sz w:val="15"/>
                <w:szCs w:val="15"/>
                <w:highlight w:val="none"/>
              </w:rPr>
              <w:t>凉菜</w:t>
            </w:r>
            <w:r>
              <w:rPr>
                <w:rFonts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生食水产品、裱花蛋糕、散装熟食、散装酒的</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为0.5；</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经营保健食品、婴幼儿配方食品和特殊医学用途配方食品等特殊食品的</w:t>
            </w:r>
            <w:r>
              <w:rPr>
                <w:rFonts w:asciiTheme="minorEastAsia" w:hAnsiTheme="minorEastAsia" w:eastAsiaTheme="minorEastAsia"/>
                <w:color w:val="auto"/>
                <w:sz w:val="15"/>
                <w:szCs w:val="15"/>
                <w:highlight w:val="none"/>
              </w:rPr>
              <w:t>，系数为</w:t>
            </w:r>
            <w:r>
              <w:rPr>
                <w:rFonts w:hint="eastAsia" w:asciiTheme="minorEastAsia" w:hAnsiTheme="minorEastAsia" w:eastAsiaTheme="minorEastAsia"/>
                <w:color w:val="auto"/>
                <w:sz w:val="15"/>
                <w:szCs w:val="15"/>
                <w:highlight w:val="none"/>
              </w:rPr>
              <w:t>1；3.经营</w:t>
            </w:r>
            <w:r>
              <w:rPr>
                <w:rFonts w:asciiTheme="minorEastAsia" w:hAnsiTheme="minorEastAsia" w:eastAsiaTheme="minorEastAsia"/>
                <w:color w:val="auto"/>
                <w:sz w:val="15"/>
                <w:szCs w:val="15"/>
                <w:highlight w:val="none"/>
              </w:rPr>
              <w:t>区人民政府确定的不得经营的类别的，系数为</w:t>
            </w:r>
            <w:r>
              <w:rPr>
                <w:rFonts w:hint="eastAsia" w:asciiTheme="minorEastAsia" w:hAnsiTheme="minorEastAsia" w:eastAsiaTheme="minorEastAsia"/>
                <w:color w:val="auto"/>
                <w:sz w:val="15"/>
                <w:szCs w:val="15"/>
                <w:highlight w:val="none"/>
              </w:rPr>
              <w:t>0。</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＝5000×（1+变量</w:t>
            </w:r>
            <w:r>
              <w:rPr>
                <w:rFonts w:cs="宋体" w:asciiTheme="minorEastAsia" w:hAnsiTheme="minorEastAsia" w:eastAsiaTheme="minorEastAsia"/>
                <w:color w:val="auto"/>
                <w:kern w:val="0"/>
                <w:sz w:val="15"/>
                <w:szCs w:val="15"/>
                <w:highlight w:val="none"/>
              </w:rPr>
              <w:t>系数）</w:t>
            </w:r>
          </w:p>
        </w:tc>
        <w:tc>
          <w:tcPr>
            <w:tcW w:w="2385"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食品摊贩生产经营被包装材料、容器、运输工具等污染的食品</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76"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食品摊贩采购、销售第十三条第一项、第五项至第七项、第十项规定情形的食品（使用第十三条第一项、第五项至第七项、第十项食品作为食品原料；）</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3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食品摊贩购进、存放、使用亚硝酸盐等易滥用的食品添加剂</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64"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食品摊贩生产经营无标签的预包装食品（标签不符合法律、法规规定的食品）</w:t>
            </w:r>
          </w:p>
        </w:tc>
        <w:tc>
          <w:tcPr>
            <w:tcW w:w="2789"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违反条款：第十三条第十四项；</w:t>
            </w:r>
          </w:p>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1.无</w:t>
            </w:r>
            <w:r>
              <w:rPr>
                <w:rFonts w:cs="宋体" w:asciiTheme="minorEastAsia" w:hAnsiTheme="minorEastAsia" w:eastAsiaTheme="minorEastAsia"/>
                <w:color w:val="auto"/>
                <w:kern w:val="0"/>
                <w:sz w:val="15"/>
                <w:szCs w:val="15"/>
                <w:highlight w:val="none"/>
              </w:rPr>
              <w:t>标签的预包装食品，系数为2</w:t>
            </w:r>
            <w:r>
              <w:rPr>
                <w:rFonts w:hint="eastAsia" w:cs="宋体" w:asciiTheme="minorEastAsia" w:hAnsiTheme="minorEastAsia" w:eastAsiaTheme="minorEastAsia"/>
                <w:color w:val="auto"/>
                <w:kern w:val="0"/>
                <w:sz w:val="15"/>
                <w:szCs w:val="15"/>
                <w:highlight w:val="none"/>
              </w:rPr>
              <w:t>；2.标签</w:t>
            </w:r>
            <w:r>
              <w:rPr>
                <w:rFonts w:cs="宋体" w:asciiTheme="minorEastAsia" w:hAnsiTheme="minorEastAsia" w:eastAsiaTheme="minorEastAsia"/>
                <w:color w:val="auto"/>
                <w:kern w:val="0"/>
                <w:sz w:val="15"/>
                <w:szCs w:val="15"/>
                <w:highlight w:val="none"/>
              </w:rPr>
              <w:t>不符合法律、法规规定的食品，系数为</w:t>
            </w:r>
            <w:r>
              <w:rPr>
                <w:rFonts w:hint="eastAsia" w:cs="宋体" w:asciiTheme="minorEastAsia" w:hAnsiTheme="minorEastAsia" w:eastAsiaTheme="minorEastAsia"/>
                <w:color w:val="auto"/>
                <w:kern w:val="0"/>
                <w:sz w:val="15"/>
                <w:szCs w:val="15"/>
                <w:highlight w:val="none"/>
              </w:rPr>
              <w:t>1。</w:t>
            </w:r>
          </w:p>
        </w:tc>
        <w:tc>
          <w:tcPr>
            <w:tcW w:w="17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w:t>
            </w:r>
            <w:r>
              <w:rPr>
                <w:rFonts w:cs="宋体" w:asciiTheme="minorEastAsia" w:hAnsiTheme="minorEastAsia" w:eastAsiaTheme="minorEastAsia"/>
                <w:color w:val="auto"/>
                <w:kern w:val="0"/>
                <w:sz w:val="15"/>
                <w:szCs w:val="15"/>
                <w:highlight w:val="none"/>
              </w:rPr>
              <w:t>系数）</w:t>
            </w:r>
          </w:p>
        </w:tc>
        <w:tc>
          <w:tcPr>
            <w:tcW w:w="23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09"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食品摊贩在生产经营条件发生变化，不再符合法律、法规规定要求的情况下继续生产经营</w:t>
            </w:r>
          </w:p>
        </w:tc>
        <w:tc>
          <w:tcPr>
            <w:tcW w:w="2789"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违反条款：第十三条第十五项；</w:t>
            </w:r>
          </w:p>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食品摊贩安排未取得健康证明或者患有国务院卫生健康行政部门规定的有碍食品安全疾病的人员从事接触直接入口食品的工作</w:t>
            </w:r>
          </w:p>
        </w:tc>
        <w:tc>
          <w:tcPr>
            <w:tcW w:w="2789" w:type="dxa"/>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违反条款：第十三条第十六项；</w:t>
            </w:r>
          </w:p>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71"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食品摊贩采购食品、食品原料、食品添加剂、食品相关产品时查验、记录不规范</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55"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食品摊贩未对食品添加剂实行专区(柜)存放或没有专用的称量器具</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3.其它可以认定为“情节严重”情形的。</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0"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食品摊贩未在生产经营场所显著位置公示备案证明、从业人员健康证明</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处罚条款：第二十九条，责令限期改正；逾期拒不改正的，对食品摊贩处200元以上500元以下罚款。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48" w:hRule="atLeast"/>
          <w:jc w:val="center"/>
        </w:trPr>
        <w:tc>
          <w:tcPr>
            <w:tcW w:w="9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500"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食品摊贩使用食品添加剂的记录、公示不规范</w:t>
            </w:r>
          </w:p>
        </w:tc>
        <w:tc>
          <w:tcPr>
            <w:tcW w:w="2789"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处罚条款：第二十九条，责令限期改正；逾期拒不改正的，对食品摊贩处200元以上500元以下罚款。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常量系数</w:t>
            </w:r>
            <w:r>
              <w:rPr>
                <w:rFonts w:cs="宋体" w:asciiTheme="minorEastAsia" w:hAnsiTheme="minorEastAsia" w:eastAsiaTheme="minorEastAsia"/>
                <w:color w:val="auto"/>
                <w:kern w:val="0"/>
                <w:sz w:val="15"/>
                <w:szCs w:val="15"/>
                <w:highlight w:val="none"/>
              </w:rPr>
              <w:t>）</w:t>
            </w:r>
          </w:p>
        </w:tc>
        <w:tc>
          <w:tcPr>
            <w:tcW w:w="23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jc w:val="center"/>
        </w:trPr>
        <w:tc>
          <w:tcPr>
            <w:tcW w:w="14218" w:type="dxa"/>
            <w:gridSpan w:val="9"/>
            <w:shd w:val="clear" w:color="auto" w:fill="auto"/>
            <w:vAlign w:val="center"/>
          </w:tcPr>
          <w:p>
            <w:pPr>
              <w:pStyle w:val="2"/>
              <w:keepNext w:val="0"/>
              <w:keepLines w:val="0"/>
              <w:rPr>
                <w:rFonts w:ascii="黑体" w:hAnsi="黑体" w:eastAsia="黑体"/>
                <w:b w:val="0"/>
                <w:color w:val="auto"/>
                <w:sz w:val="24"/>
                <w:szCs w:val="24"/>
                <w:highlight w:val="none"/>
              </w:rPr>
            </w:pPr>
            <w:bookmarkStart w:id="175" w:name="_Toc110851491"/>
            <w:bookmarkStart w:id="176" w:name="_Toc41635676"/>
            <w:bookmarkStart w:id="177" w:name="_Toc995130248"/>
            <w:r>
              <w:rPr>
                <w:rFonts w:hint="eastAsia" w:ascii="黑体" w:hAnsi="黑体" w:eastAsia="黑体"/>
                <w:b w:val="0"/>
                <w:color w:val="auto"/>
                <w:sz w:val="36"/>
                <w:szCs w:val="36"/>
                <w:highlight w:val="none"/>
              </w:rPr>
              <w:t>能源运行管理方面</w:t>
            </w:r>
            <w:bookmarkEnd w:id="175"/>
            <w:bookmarkEnd w:id="176"/>
            <w:bookmarkEnd w:id="17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90" w:hRule="atLeast"/>
          <w:jc w:val="center"/>
        </w:trPr>
        <w:tc>
          <w:tcPr>
            <w:tcW w:w="14218" w:type="dxa"/>
            <w:gridSpan w:val="9"/>
            <w:shd w:val="clear" w:color="auto" w:fill="auto"/>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煤炭经营管理类案由3</w:t>
            </w:r>
            <w:r>
              <w:rPr>
                <w:rFonts w:asciiTheme="minorEastAsia" w:hAnsiTheme="minorEastAsia" w:eastAsiaTheme="minorEastAsia"/>
                <w:b/>
                <w:color w:val="auto"/>
                <w:kern w:val="0"/>
                <w:sz w:val="21"/>
                <w:szCs w:val="21"/>
                <w:highlight w:val="none"/>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jc w:val="center"/>
        </w:trPr>
        <w:tc>
          <w:tcPr>
            <w:tcW w:w="14218" w:type="dxa"/>
            <w:gridSpan w:val="9"/>
            <w:shd w:val="clear" w:color="auto" w:fill="FFFFFF"/>
            <w:vAlign w:val="center"/>
          </w:tcPr>
          <w:p>
            <w:pPr>
              <w:pStyle w:val="3"/>
              <w:keepNext w:val="0"/>
              <w:keepLines w:val="0"/>
              <w:pageBreakBefore w:val="0"/>
              <w:widowControl w:val="0"/>
              <w:kinsoku/>
              <w:wordWrap/>
              <w:overflowPunct/>
              <w:topLinePunct w:val="0"/>
              <w:autoSpaceDN/>
              <w:bidi w:val="0"/>
              <w:adjustRightInd/>
              <w:snapToGrid/>
              <w:spacing w:line="240" w:lineRule="auto"/>
              <w:textAlignment w:val="auto"/>
              <w:rPr>
                <w:rFonts w:asciiTheme="minorEastAsia" w:hAnsiTheme="minorEastAsia" w:eastAsiaTheme="minorEastAsia"/>
                <w:color w:val="auto"/>
                <w:sz w:val="21"/>
                <w:szCs w:val="21"/>
                <w:highlight w:val="none"/>
              </w:rPr>
            </w:pPr>
            <w:bookmarkStart w:id="178" w:name="_Toc110851492"/>
            <w:bookmarkStart w:id="179" w:name="_Toc1482088652"/>
            <w:bookmarkStart w:id="180" w:name="_Toc1430386737"/>
            <w:r>
              <w:rPr>
                <w:rFonts w:hint="eastAsia" w:asciiTheme="minorEastAsia" w:hAnsiTheme="minorEastAsia" w:eastAsiaTheme="minorEastAsia"/>
                <w:color w:val="auto"/>
                <w:sz w:val="21"/>
                <w:szCs w:val="21"/>
                <w:highlight w:val="none"/>
              </w:rPr>
              <w:t>《中华人民共和国煤炭法》案由</w:t>
            </w:r>
            <w:r>
              <w:rPr>
                <w:rFonts w:asciiTheme="minorEastAsia" w:hAnsiTheme="minorEastAsia" w:eastAsiaTheme="minorEastAsia"/>
                <w:color w:val="auto"/>
                <w:sz w:val="21"/>
                <w:szCs w:val="21"/>
                <w:highlight w:val="none"/>
              </w:rPr>
              <w:t>3</w:t>
            </w:r>
            <w:r>
              <w:rPr>
                <w:rFonts w:hint="eastAsia" w:asciiTheme="minorEastAsia" w:hAnsiTheme="minorEastAsia" w:eastAsiaTheme="minorEastAsia"/>
                <w:color w:val="auto"/>
                <w:sz w:val="21"/>
                <w:szCs w:val="21"/>
                <w:highlight w:val="none"/>
              </w:rPr>
              <w:t>项</w:t>
            </w:r>
            <w:bookmarkEnd w:id="178"/>
            <w:bookmarkEnd w:id="179"/>
            <w:bookmarkEnd w:id="18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18"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擅自开采保安煤柱或者采用危及相邻煤矿生产安全的危险方法采矿作业</w:t>
            </w:r>
          </w:p>
        </w:tc>
        <w:tc>
          <w:tcPr>
            <w:tcW w:w="2789" w:type="dxa"/>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违反条款：《中华人民共和国煤炭法》第二十四条第二款；处罚条款：第五十八条，由劳动行政主管部门会同煤炭管理部门责令停止作业；由煤炭管理部门没收违法所得，并处违法所得一倍以上五倍以下的罚款。</w:t>
            </w:r>
          </w:p>
        </w:tc>
        <w:tc>
          <w:tcPr>
            <w:tcW w:w="851"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w:t>
            </w:r>
          </w:p>
        </w:tc>
        <w:tc>
          <w:tcPr>
            <w:tcW w:w="840"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1.存在较大安全隐患的，系数2</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；2.发生安全事故的，系数4。</w:t>
            </w:r>
          </w:p>
        </w:tc>
        <w:tc>
          <w:tcPr>
            <w:tcW w:w="1785"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构成犯罪的，由司法机关依法追究刑事责任。</w:t>
            </w:r>
          </w:p>
        </w:tc>
        <w:tc>
          <w:tcPr>
            <w:tcW w:w="824" w:type="dxa"/>
            <w:shd w:val="clear" w:color="auto" w:fill="FFFFFF"/>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966" w:hRule="atLeast"/>
          <w:jc w:val="center"/>
        </w:trPr>
        <w:tc>
          <w:tcPr>
            <w:tcW w:w="9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未经批准或者未采取安全措施在煤矿采区范围内进行危及煤矿安全的作业</w:t>
            </w:r>
          </w:p>
        </w:tc>
        <w:tc>
          <w:tcPr>
            <w:tcW w:w="2789" w:type="dxa"/>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违反条款：《中华人民共和国煤炭法》第五十二条第一款；处罚条款：第六十二条，责令停止作业，可以并处五万元以下的罚款。</w:t>
            </w:r>
          </w:p>
        </w:tc>
        <w:tc>
          <w:tcPr>
            <w:tcW w:w="851"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1.存在较大安全隐患的，系数2</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；2.发生安全事故的，系数4。</w:t>
            </w:r>
          </w:p>
        </w:tc>
        <w:tc>
          <w:tcPr>
            <w:tcW w:w="1785"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其它额度处罚的</w:t>
            </w:r>
            <w:r>
              <w:rPr>
                <w:rFonts w:hint="eastAsia" w:cs="宋体" w:asciiTheme="minorEastAsia" w:hAnsiTheme="minorEastAsia" w:eastAsiaTheme="minorEastAsia"/>
                <w:color w:val="auto"/>
                <w:kern w:val="0"/>
                <w:sz w:val="15"/>
                <w:szCs w:val="15"/>
                <w:highlight w:val="none"/>
              </w:rPr>
              <w:t>，报案审会讨论决定。</w:t>
            </w:r>
          </w:p>
        </w:tc>
        <w:tc>
          <w:tcPr>
            <w:tcW w:w="824" w:type="dxa"/>
            <w:shd w:val="clear" w:color="auto" w:fill="FFFFFF"/>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2065" w:hRule="atLeast"/>
          <w:jc w:val="center"/>
        </w:trPr>
        <w:tc>
          <w:tcPr>
            <w:tcW w:w="9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在煤炭产品中掺杂、掺假，以次充好</w:t>
            </w:r>
          </w:p>
        </w:tc>
        <w:tc>
          <w:tcPr>
            <w:tcW w:w="2789" w:type="dxa"/>
            <w:shd w:val="clear" w:color="auto" w:fill="FFFFFF"/>
            <w:vAlign w:val="center"/>
          </w:tcPr>
          <w:p>
            <w:pPr>
              <w:spacing w:line="232" w:lineRule="exact"/>
              <w:ind w:right="315" w:rightChars="150"/>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违反条款：《中华人民共和国煤炭法》第四十三条第二款；处罚条款：第五十九条，责令停止销售，没收违法所得，并处违法所得一倍以上五倍以下的罚款。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造成严重后果或者社会恶劣影响的，系数4。</w:t>
            </w:r>
          </w:p>
        </w:tc>
        <w:tc>
          <w:tcPr>
            <w:tcW w:w="1785" w:type="dxa"/>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构成犯罪的，由司法机关依法追究刑事责任。</w:t>
            </w:r>
          </w:p>
        </w:tc>
        <w:tc>
          <w:tcPr>
            <w:tcW w:w="824"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街道</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423" w:hRule="atLeast"/>
          <w:jc w:val="center"/>
        </w:trPr>
        <w:tc>
          <w:tcPr>
            <w:tcW w:w="14218" w:type="dxa"/>
            <w:gridSpan w:val="9"/>
            <w:tcBorders>
              <w:bottom w:val="single" w:color="auto" w:sz="4" w:space="0"/>
            </w:tcBorders>
            <w:shd w:val="clear" w:color="auto" w:fill="FFFFFF"/>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可再生能源管理类案由2项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jc w:val="center"/>
        </w:trPr>
        <w:tc>
          <w:tcPr>
            <w:tcW w:w="14218" w:type="dxa"/>
            <w:gridSpan w:val="9"/>
            <w:tcBorders>
              <w:bottom w:val="single" w:color="auto" w:sz="4" w:space="0"/>
            </w:tcBorders>
            <w:shd w:val="clear" w:color="auto" w:fill="FFFFFF"/>
            <w:vAlign w:val="center"/>
          </w:tcPr>
          <w:p>
            <w:pPr>
              <w:pStyle w:val="3"/>
              <w:keepNext w:val="0"/>
              <w:keepLines w:val="0"/>
              <w:pageBreakBefore w:val="0"/>
              <w:widowControl w:val="0"/>
              <w:kinsoku/>
              <w:wordWrap/>
              <w:overflowPunct/>
              <w:topLinePunct w:val="0"/>
              <w:autoSpaceDN/>
              <w:bidi w:val="0"/>
              <w:adjustRightInd/>
              <w:snapToGrid/>
              <w:spacing w:line="240" w:lineRule="auto"/>
              <w:textAlignment w:val="auto"/>
              <w:rPr>
                <w:rFonts w:asciiTheme="minorEastAsia" w:hAnsiTheme="minorEastAsia" w:eastAsiaTheme="minorEastAsia"/>
                <w:color w:val="auto"/>
                <w:sz w:val="21"/>
                <w:szCs w:val="21"/>
                <w:highlight w:val="none"/>
              </w:rPr>
            </w:pPr>
            <w:bookmarkStart w:id="181" w:name="_Toc1932982768"/>
            <w:bookmarkStart w:id="182" w:name="_Toc110851493"/>
            <w:bookmarkStart w:id="183" w:name="_Toc1283420232"/>
            <w:r>
              <w:rPr>
                <w:rFonts w:hint="eastAsia" w:asciiTheme="minorEastAsia" w:hAnsiTheme="minorEastAsia" w:eastAsiaTheme="minorEastAsia"/>
                <w:color w:val="auto"/>
                <w:sz w:val="21"/>
                <w:szCs w:val="21"/>
                <w:highlight w:val="none"/>
              </w:rPr>
              <w:t>《中华人民共和国可再生能源法》案由2项</w:t>
            </w:r>
            <w:bookmarkEnd w:id="181"/>
            <w:bookmarkEnd w:id="182"/>
            <w:bookmarkEnd w:id="18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92" w:hRule="atLeast"/>
          <w:jc w:val="center"/>
        </w:trPr>
        <w:tc>
          <w:tcPr>
            <w:tcW w:w="9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经营燃气管网、热力管网的企业不准许符合入网技术标准的燃气、热力入网</w:t>
            </w:r>
          </w:p>
        </w:tc>
        <w:tc>
          <w:tcPr>
            <w:tcW w:w="2789" w:type="dxa"/>
            <w:shd w:val="clear" w:color="auto" w:fill="FFFFFF"/>
            <w:vAlign w:val="center"/>
          </w:tcPr>
          <w:p>
            <w:pPr>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违反条款：第十六条第二款；处罚条款：第三十条，责令限期改正；拒不改正的，处以燃气、热力生产企业经济损失额一倍以下的罚款。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经济</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损失额</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c>
          <w:tcPr>
            <w:tcW w:w="824"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993" w:hRule="atLeast"/>
          <w:jc w:val="center"/>
        </w:trPr>
        <w:tc>
          <w:tcPr>
            <w:tcW w:w="9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500"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石油销售企业未按照规定将符合国家标准的生物液体燃料纳入其燃料销售体系</w:t>
            </w:r>
          </w:p>
        </w:tc>
        <w:tc>
          <w:tcPr>
            <w:tcW w:w="2789" w:type="dxa"/>
            <w:shd w:val="clear" w:color="auto" w:fill="FFFFFF"/>
            <w:vAlign w:val="center"/>
          </w:tcPr>
          <w:p>
            <w:pPr>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违反条款：第十六条第三款；处罚条款：第三十一条，责令限期改正；拒不改正的，处以生物液体燃料生产企业经济损失额一倍以下的罚款。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经济</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损失额</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c>
          <w:tcPr>
            <w:tcW w:w="824"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26" w:hRule="atLeast"/>
          <w:jc w:val="center"/>
        </w:trPr>
        <w:tc>
          <w:tcPr>
            <w:tcW w:w="14218" w:type="dxa"/>
            <w:gridSpan w:val="9"/>
            <w:shd w:val="clear" w:color="auto" w:fill="FFFFFF"/>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电力管理类案由12项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358" w:hRule="atLeast"/>
          <w:jc w:val="center"/>
        </w:trPr>
        <w:tc>
          <w:tcPr>
            <w:tcW w:w="14218" w:type="dxa"/>
            <w:gridSpan w:val="9"/>
            <w:shd w:val="clear" w:color="auto" w:fill="FFFFFF"/>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84" w:name="_Toc2142516953"/>
            <w:bookmarkStart w:id="185" w:name="_Toc110851494"/>
            <w:bookmarkStart w:id="186" w:name="_Toc503113588"/>
            <w:r>
              <w:rPr>
                <w:rFonts w:hint="eastAsia" w:asciiTheme="minorEastAsia" w:hAnsiTheme="minorEastAsia" w:eastAsiaTheme="minorEastAsia"/>
                <w:color w:val="auto"/>
                <w:sz w:val="21"/>
                <w:szCs w:val="21"/>
                <w:highlight w:val="none"/>
              </w:rPr>
              <w:t>《中华人民共和国电力法》《电力供应与使用条例》案由</w:t>
            </w:r>
            <w:r>
              <w:rPr>
                <w:rFonts w:asciiTheme="minorEastAsia" w:hAnsiTheme="minorEastAsia" w:eastAsiaTheme="minorEastAsia"/>
                <w:color w:val="auto"/>
                <w:sz w:val="21"/>
                <w:szCs w:val="21"/>
                <w:highlight w:val="none"/>
              </w:rPr>
              <w:t>6</w:t>
            </w:r>
            <w:r>
              <w:rPr>
                <w:rFonts w:hint="eastAsia" w:asciiTheme="minorEastAsia" w:hAnsiTheme="minorEastAsia" w:eastAsiaTheme="minorEastAsia"/>
                <w:color w:val="auto"/>
                <w:sz w:val="21"/>
                <w:szCs w:val="21"/>
                <w:highlight w:val="none"/>
              </w:rPr>
              <w:t>项</w:t>
            </w:r>
            <w:bookmarkEnd w:id="184"/>
            <w:bookmarkEnd w:id="185"/>
            <w:bookmarkEnd w:id="18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01" w:hRule="atLeast"/>
          <w:jc w:val="center"/>
        </w:trPr>
        <w:tc>
          <w:tcPr>
            <w:tcW w:w="940" w:type="dxa"/>
            <w:vMerge w:val="restart"/>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500" w:type="dxa"/>
            <w:vMerge w:val="restart"/>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电力建设项目使用国家明令淘汰的电力设备和技术</w:t>
            </w:r>
          </w:p>
        </w:tc>
        <w:tc>
          <w:tcPr>
            <w:tcW w:w="2789"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违反条款：《中华人民共和国电力法》第十四条第二款；处罚条款：第六十二条第二款，责令停止使用，没收国家明令淘汰的电力设备，并处五万元以下的罚款。</w:t>
            </w:r>
          </w:p>
        </w:tc>
        <w:tc>
          <w:tcPr>
            <w:tcW w:w="851"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1.存在较大安全隐患的，系数2-3；2.发生安全事故的，系数4。</w:t>
            </w:r>
          </w:p>
        </w:tc>
        <w:tc>
          <w:tcPr>
            <w:tcW w:w="1785"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其它额度</w:t>
            </w:r>
            <w:r>
              <w:rPr>
                <w:rFonts w:hint="eastAsia" w:cs="宋体" w:asciiTheme="minorEastAsia" w:hAnsiTheme="minorEastAsia" w:eastAsiaTheme="minorEastAsia"/>
                <w:color w:val="auto"/>
                <w:kern w:val="0"/>
                <w:sz w:val="15"/>
                <w:szCs w:val="15"/>
                <w:highlight w:val="none"/>
              </w:rPr>
              <w:t>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，报案审会讨论决定。</w:t>
            </w:r>
          </w:p>
        </w:tc>
        <w:tc>
          <w:tcPr>
            <w:tcW w:w="824"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2546" w:hRule="atLeast"/>
          <w:jc w:val="center"/>
        </w:trPr>
        <w:tc>
          <w:tcPr>
            <w:tcW w:w="940" w:type="dxa"/>
            <w:vMerge w:val="continue"/>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安全生产法》第三十八条第三款；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5780" w:type="dxa"/>
            <w:gridSpan w:val="4"/>
            <w:shd w:val="clear" w:color="auto" w:fill="FFFFFF"/>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spacing w:line="232" w:lineRule="exact"/>
              <w:rPr>
                <w:rFonts w:hint="eastAsia" w:cs="Times New Roman" w:asciiTheme="minorEastAsia" w:hAnsiTheme="minorEastAsia" w:eastAsiaTheme="minorEastAsia"/>
                <w:color w:val="auto"/>
                <w:spacing w:val="-4"/>
                <w:sz w:val="15"/>
                <w:szCs w:val="15"/>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1.使用1台（套）应当淘汰的危及生产安全的设备或者1种工艺逾期未改正的，处5万元以上10万元以下的罚款，对其直接负责的主管人员和其他直接责任人员处1万元以上2万元以下的罚款；</w:t>
            </w:r>
          </w:p>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2.使用2台（套）应当淘汰的危及生产安全的设备或者2种工艺逾期未改正的，处10万元以上15万元以下的罚款，对其直接负责的主管人员和其他直接责任人员处1万元以上2万元以下的罚款；</w:t>
            </w:r>
          </w:p>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3.使用3台（套）以上应当淘汰的危及生产安全的设备或者3种以上工艺逾期未改正的，处15万元以上20万元以下的罚款，对其直接负责的主管人员和其他直接责任人员处1万元以上2万元以下的罚款。</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4.逾期未改正，经责令仍拒不改正的，可予以责令停产停业整顿。</w:t>
            </w:r>
          </w:p>
        </w:tc>
        <w:tc>
          <w:tcPr>
            <w:tcW w:w="2385"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对违法行为，适用《中华人民共和国电力法》处罚。逾期未改正的，应另行立案，适用《中华人民共和国安全生产法》“逾期未改正”情形处罚。</w:t>
            </w:r>
          </w:p>
        </w:tc>
        <w:tc>
          <w:tcPr>
            <w:tcW w:w="824"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40" w:hRule="atLeast"/>
          <w:jc w:val="center"/>
        </w:trPr>
        <w:tc>
          <w:tcPr>
            <w:tcW w:w="94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未经许可从事供电或者变更供电营业区</w:t>
            </w:r>
          </w:p>
        </w:tc>
        <w:tc>
          <w:tcPr>
            <w:tcW w:w="2789"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违反条款：《中华人民共和国电力法》第二十五条第一、三款；处罚条款：第六十三条，责令改正，没收违法所得，可以并处违法所得五倍以下的罚款。</w:t>
            </w:r>
          </w:p>
        </w:tc>
        <w:tc>
          <w:tcPr>
            <w:tcW w:w="851" w:type="dxa"/>
            <w:shd w:val="clear" w:color="auto" w:fill="FFFFFF"/>
            <w:vAlign w:val="center"/>
          </w:tcPr>
          <w:p>
            <w:pPr>
              <w:autoSpaceDE w:val="0"/>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违法所得</w:t>
            </w:r>
          </w:p>
        </w:tc>
        <w:tc>
          <w:tcPr>
            <w:tcW w:w="840" w:type="dxa"/>
            <w:shd w:val="clear" w:color="auto" w:fill="FFFFFF"/>
            <w:vAlign w:val="center"/>
          </w:tcPr>
          <w:p>
            <w:pPr>
              <w:autoSpaceDE w:val="0"/>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未经许可从事电力供应业务，系数2。</w:t>
            </w:r>
          </w:p>
        </w:tc>
        <w:tc>
          <w:tcPr>
            <w:tcW w:w="1785"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需要作出其它额度处罚的，报案审会讨论决定。</w:t>
            </w:r>
          </w:p>
        </w:tc>
        <w:tc>
          <w:tcPr>
            <w:tcW w:w="824"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879" w:hRule="atLeast"/>
          <w:jc w:val="center"/>
        </w:trPr>
        <w:tc>
          <w:tcPr>
            <w:tcW w:w="94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500" w:type="dxa"/>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供电营业机构拒绝供电</w:t>
            </w:r>
          </w:p>
        </w:tc>
        <w:tc>
          <w:tcPr>
            <w:tcW w:w="2789" w:type="dxa"/>
            <w:shd w:val="clear" w:color="auto" w:fill="FFFFFF"/>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违反条款：《中华人民共和国电力法》第二十六条第一款；处罚条款：第六十四条，责令改正，给予警告。</w:t>
            </w:r>
          </w:p>
        </w:tc>
        <w:tc>
          <w:tcPr>
            <w:tcW w:w="85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pPr>
              <w:spacing w:line="250" w:lineRule="exact"/>
              <w:jc w:val="center"/>
              <w:rPr>
                <w:rFonts w:asciiTheme="minorEastAsia" w:hAnsiTheme="minorEastAsia" w:eastAsiaTheme="minorEastAsia"/>
                <w:color w:val="auto"/>
                <w:sz w:val="15"/>
                <w:szCs w:val="15"/>
                <w:highlight w:val="none"/>
              </w:rPr>
            </w:pPr>
          </w:p>
        </w:tc>
        <w:tc>
          <w:tcPr>
            <w:tcW w:w="2304"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pPr>
              <w:spacing w:line="250"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非罚款处罚事项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890" w:hRule="atLeast"/>
          <w:jc w:val="center"/>
        </w:trPr>
        <w:tc>
          <w:tcPr>
            <w:tcW w:w="94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500" w:type="dxa"/>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供电企业中断供电</w:t>
            </w:r>
          </w:p>
        </w:tc>
        <w:tc>
          <w:tcPr>
            <w:tcW w:w="2789" w:type="dxa"/>
            <w:shd w:val="clear" w:color="auto" w:fill="FFFFFF"/>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违反条款：《中华人民共和国电力法》第二十九条第一款；处罚条款：第六十四条，责令改正，给予警告。</w:t>
            </w:r>
          </w:p>
        </w:tc>
        <w:tc>
          <w:tcPr>
            <w:tcW w:w="85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pPr>
              <w:spacing w:line="250" w:lineRule="exact"/>
              <w:jc w:val="center"/>
              <w:rPr>
                <w:rFonts w:asciiTheme="minorEastAsia" w:hAnsiTheme="minorEastAsia" w:eastAsiaTheme="minorEastAsia"/>
                <w:color w:val="auto"/>
                <w:sz w:val="15"/>
                <w:szCs w:val="15"/>
                <w:highlight w:val="none"/>
              </w:rPr>
            </w:pPr>
          </w:p>
        </w:tc>
        <w:tc>
          <w:tcPr>
            <w:tcW w:w="2304"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pPr>
              <w:spacing w:line="250"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非罚款处罚事项</w:t>
            </w:r>
            <w:r>
              <w:rPr>
                <w:rFonts w:hint="eastAsia" w:asciiTheme="minorEastAsia" w:hAnsiTheme="minorEastAsia" w:eastAsiaTheme="minorEastAsia"/>
                <w:color w:val="auto"/>
                <w:sz w:val="15"/>
                <w:szCs w:val="15"/>
                <w:highlight w:val="none"/>
                <w:lang w:eastAsia="zh-CN"/>
              </w:rPr>
              <w:t>。</w:t>
            </w:r>
          </w:p>
        </w:tc>
        <w:tc>
          <w:tcPr>
            <w:tcW w:w="824"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390" w:hRule="atLeast"/>
          <w:jc w:val="center"/>
        </w:trPr>
        <w:tc>
          <w:tcPr>
            <w:tcW w:w="94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500" w:type="dxa"/>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用户危害供电用电安全或者扰乱供电用电秩序</w:t>
            </w:r>
          </w:p>
        </w:tc>
        <w:tc>
          <w:tcPr>
            <w:tcW w:w="2789" w:type="dxa"/>
            <w:shd w:val="clear" w:color="auto" w:fill="FFFFFF"/>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违反条款：《中华人民共和国电力法》第三十二条第一款；处罚条款：第六十五条，责令改正，给予警告；情节严重或者拒绝改正的，可以中止供电，可以并处五万元以下的罚款。</w:t>
            </w:r>
          </w:p>
        </w:tc>
        <w:tc>
          <w:tcPr>
            <w:tcW w:w="85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pPr>
              <w:spacing w:line="250" w:lineRule="exact"/>
              <w:jc w:val="center"/>
              <w:rPr>
                <w:rFonts w:asciiTheme="minorEastAsia" w:hAnsiTheme="minorEastAsia" w:eastAsiaTheme="minorEastAsia"/>
                <w:color w:val="auto"/>
                <w:sz w:val="15"/>
                <w:szCs w:val="15"/>
                <w:highlight w:val="none"/>
              </w:rPr>
            </w:pPr>
          </w:p>
        </w:tc>
        <w:tc>
          <w:tcPr>
            <w:tcW w:w="2304"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1785"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2385" w:type="dxa"/>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按照规定执行。</w:t>
            </w:r>
          </w:p>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可参照《供用电监督管理办法》</w:t>
            </w:r>
            <w:r>
              <w:rPr>
                <w:rFonts w:hint="eastAsia" w:asciiTheme="minorEastAsia" w:hAnsiTheme="minorEastAsia" w:eastAsiaTheme="minorEastAsia"/>
                <w:color w:val="FF0000"/>
                <w:sz w:val="15"/>
                <w:szCs w:val="15"/>
                <w:highlight w:val="none"/>
              </w:rPr>
              <w:t>第</w:t>
            </w:r>
            <w:r>
              <w:rPr>
                <w:rFonts w:hint="eastAsia" w:asciiTheme="minorEastAsia" w:hAnsiTheme="minorEastAsia" w:eastAsiaTheme="minorEastAsia"/>
                <w:color w:val="FF0000"/>
                <w:sz w:val="15"/>
                <w:szCs w:val="15"/>
                <w:highlight w:val="none"/>
                <w:lang w:eastAsia="zh-CN"/>
              </w:rPr>
              <w:t>十九</w:t>
            </w:r>
            <w:r>
              <w:rPr>
                <w:rFonts w:hint="eastAsia" w:asciiTheme="minorEastAsia" w:hAnsiTheme="minorEastAsia" w:eastAsiaTheme="minorEastAsia"/>
                <w:color w:val="FF0000"/>
                <w:sz w:val="15"/>
                <w:szCs w:val="15"/>
                <w:highlight w:val="none"/>
              </w:rPr>
              <w:t>条</w:t>
            </w:r>
            <w:r>
              <w:rPr>
                <w:rFonts w:hint="eastAsia" w:asciiTheme="minorEastAsia" w:hAnsiTheme="minorEastAsia" w:eastAsiaTheme="minorEastAsia"/>
                <w:color w:val="auto"/>
                <w:sz w:val="15"/>
                <w:szCs w:val="15"/>
                <w:highlight w:val="none"/>
              </w:rPr>
              <w:t>相关规定。</w:t>
            </w:r>
          </w:p>
        </w:tc>
        <w:tc>
          <w:tcPr>
            <w:tcW w:w="824"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847" w:hRule="atLeast"/>
          <w:jc w:val="center"/>
        </w:trPr>
        <w:tc>
          <w:tcPr>
            <w:tcW w:w="940" w:type="dxa"/>
            <w:vMerge w:val="restart"/>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6</w:t>
            </w:r>
          </w:p>
        </w:tc>
        <w:tc>
          <w:tcPr>
            <w:tcW w:w="1500"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盗窃电能</w:t>
            </w:r>
          </w:p>
        </w:tc>
        <w:tc>
          <w:tcPr>
            <w:tcW w:w="2789"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违反条款、处罚条款：《中华人民共和国电力法》第七十一条，责令停止违法行为，追缴电费并处应交电费五倍以下的罚款。</w:t>
            </w:r>
          </w:p>
        </w:tc>
        <w:tc>
          <w:tcPr>
            <w:tcW w:w="851" w:type="dxa"/>
            <w:vMerge w:val="restart"/>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应交电费</w:t>
            </w:r>
          </w:p>
        </w:tc>
        <w:tc>
          <w:tcPr>
            <w:tcW w:w="840" w:type="dxa"/>
            <w:vMerge w:val="restart"/>
            <w:shd w:val="clear" w:color="auto" w:fill="FFFFFF"/>
            <w:vAlign w:val="center"/>
          </w:tcPr>
          <w:p>
            <w:pPr>
              <w:autoSpaceDE w:val="0"/>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1.造成电能损失较大或者供电设施、用电计量装置等损坏的，系数2-3；2.造成电能损失严重或者供用电事故的，系数4。</w:t>
            </w:r>
          </w:p>
        </w:tc>
        <w:tc>
          <w:tcPr>
            <w:tcW w:w="1785"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罚款数额＝应交电费×（1＋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罚款数额不超过应交电费五倍。</w:t>
            </w:r>
          </w:p>
          <w:p>
            <w:pPr>
              <w:autoSpaceDE w:val="0"/>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p>
            <w:pPr>
              <w:autoSpaceDE w:val="0"/>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构成犯罪的，依法追究刑事责任。</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72" w:hRule="atLeast"/>
          <w:jc w:val="center"/>
        </w:trPr>
        <w:tc>
          <w:tcPr>
            <w:tcW w:w="940" w:type="dxa"/>
            <w:vMerge w:val="continue"/>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1500" w:type="dxa"/>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2789" w:type="dxa"/>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违反条款：《电力供应与使用条例》第三十一条第（一）（二）（三）（四）（五）（六）项；处罚条款：第四十一条，责令停止违法行为，追缴电费并处应交电费５倍以下的罚款。</w:t>
            </w:r>
          </w:p>
        </w:tc>
        <w:tc>
          <w:tcPr>
            <w:tcW w:w="851" w:type="dxa"/>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840" w:type="dxa"/>
            <w:vMerge w:val="continue"/>
            <w:shd w:val="clear" w:color="auto" w:fill="FFFFFF"/>
            <w:vAlign w:val="center"/>
          </w:tcPr>
          <w:p>
            <w:pPr>
              <w:autoSpaceDE w:val="0"/>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2304" w:type="dxa"/>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1785" w:type="dxa"/>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2385" w:type="dxa"/>
            <w:vMerge w:val="continue"/>
            <w:shd w:val="clear" w:color="auto" w:fill="FFFFFF"/>
            <w:vAlign w:val="center"/>
          </w:tcPr>
          <w:p>
            <w:pPr>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824" w:type="dxa"/>
            <w:shd w:val="clear" w:color="auto" w:fill="FFFFFF"/>
            <w:vAlign w:val="center"/>
          </w:tcPr>
          <w:p>
            <w:pPr>
              <w:autoSpaceDE w:val="0"/>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412" w:hRule="atLeast"/>
          <w:jc w:val="center"/>
        </w:trPr>
        <w:tc>
          <w:tcPr>
            <w:tcW w:w="14218" w:type="dxa"/>
            <w:gridSpan w:val="9"/>
            <w:shd w:val="clear" w:color="auto" w:fill="FFFFFF"/>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87" w:name="_Toc110851495"/>
            <w:bookmarkStart w:id="188" w:name="_Toc409668775"/>
            <w:bookmarkStart w:id="189" w:name="_Toc348249845"/>
            <w:r>
              <w:rPr>
                <w:rFonts w:hint="eastAsia" w:asciiTheme="minorEastAsia" w:hAnsiTheme="minorEastAsia" w:eastAsiaTheme="minorEastAsia"/>
                <w:color w:val="auto"/>
                <w:sz w:val="21"/>
                <w:szCs w:val="21"/>
                <w:highlight w:val="none"/>
              </w:rPr>
              <w:t>《电力设施保护条例》《电力设施保护条例实施细则》案由5项</w:t>
            </w:r>
            <w:bookmarkEnd w:id="187"/>
            <w:bookmarkEnd w:id="188"/>
            <w:bookmarkEnd w:id="18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90" w:hRule="atLeast"/>
          <w:jc w:val="center"/>
        </w:trPr>
        <w:tc>
          <w:tcPr>
            <w:tcW w:w="94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p>
        </w:tc>
        <w:tc>
          <w:tcPr>
            <w:tcW w:w="1500"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危害发电设施、变电设施</w:t>
            </w:r>
          </w:p>
        </w:tc>
        <w:tc>
          <w:tcPr>
            <w:tcW w:w="2789"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违反条款：《电力设施保护条例》第十三条第（一）（二）（三）（四）（五）项；</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处罚条款：第二十七条，责令改正；拒不改正的，处１万元以下的罚款。</w:t>
            </w:r>
          </w:p>
        </w:tc>
        <w:tc>
          <w:tcPr>
            <w:tcW w:w="851"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1.造成电能损失较大或者发电设施、变电设施损坏的，系数2-3；2.造成事故或者损失严重的，系数4。</w:t>
            </w:r>
          </w:p>
        </w:tc>
        <w:tc>
          <w:tcPr>
            <w:tcW w:w="1785"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49"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p>
        </w:tc>
        <w:tc>
          <w:tcPr>
            <w:tcW w:w="1500" w:type="dxa"/>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危害电力线路设施</w:t>
            </w:r>
          </w:p>
        </w:tc>
        <w:tc>
          <w:tcPr>
            <w:tcW w:w="2789"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违反条款：《电力设施保护条例》第十四条第（一）（二）（三）（四）（五）（六）（七）（八）（九）（十）（十一）项；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处罚条款：第二十七条，责令改正；拒不改正的，处1万元以下的罚款。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1.造成电能损失较大或者发电设施、变电设施损坏的，系数2-3；2.造成事故或者损失严重的，系数4。</w:t>
            </w:r>
          </w:p>
        </w:tc>
        <w:tc>
          <w:tcPr>
            <w:tcW w:w="1785"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p>
            <w:pPr>
              <w:pStyle w:val="22"/>
              <w:ind w:left="0" w:leftChars="0" w:firstLine="0" w:firstLineChars="0"/>
              <w:rPr>
                <w:color w:val="auto"/>
                <w:highlight w:val="none"/>
              </w:rPr>
            </w:pP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99"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3</w:t>
            </w:r>
          </w:p>
        </w:tc>
        <w:tc>
          <w:tcPr>
            <w:tcW w:w="1500" w:type="dxa"/>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损坏使用中的杆塔基础</w:t>
            </w:r>
          </w:p>
        </w:tc>
        <w:tc>
          <w:tcPr>
            <w:tcW w:w="2789"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违反、处罚条款：《电力设施保护条例实施细则》第二十条第（一）项，责令改正；拒不改正的，处1000元以上10000元以下罚款。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1.造成电能损失较大或者设施损坏的，系数2-3；2.造成事故的，系数4。</w:t>
            </w:r>
          </w:p>
        </w:tc>
        <w:tc>
          <w:tcPr>
            <w:tcW w:w="1785" w:type="dxa"/>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continue"/>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43"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4</w:t>
            </w:r>
          </w:p>
        </w:tc>
        <w:tc>
          <w:tcPr>
            <w:tcW w:w="1500" w:type="dxa"/>
            <w:tcBorders>
              <w:bottom w:val="single" w:color="auto" w:sz="4" w:space="0"/>
            </w:tcBorders>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损坏、拆卸、盗窃使用中或备用塔材、导线等电力设施</w:t>
            </w:r>
          </w:p>
        </w:tc>
        <w:tc>
          <w:tcPr>
            <w:tcW w:w="2789"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违反、处罚条款：《电力设施保护条例实施细则》第二十条第（二）项， 责令改正；拒不改正的，处1000元以上10000元以下罚款。</w:t>
            </w:r>
          </w:p>
        </w:tc>
        <w:tc>
          <w:tcPr>
            <w:tcW w:w="851"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1.损坏、拆卸、盗窃使用中的塔材、导线等电力设施或者造成电能损失较大的，系数2-3；2.造成事故的，系数4。</w:t>
            </w:r>
          </w:p>
        </w:tc>
        <w:tc>
          <w:tcPr>
            <w:tcW w:w="1785"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vMerge w:val="continue"/>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p>
        </w:tc>
        <w:tc>
          <w:tcPr>
            <w:tcW w:w="824"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91" w:hRule="atLeast"/>
          <w:jc w:val="center"/>
        </w:trPr>
        <w:tc>
          <w:tcPr>
            <w:tcW w:w="9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5</w:t>
            </w:r>
          </w:p>
        </w:tc>
        <w:tc>
          <w:tcPr>
            <w:tcW w:w="1500" w:type="dxa"/>
            <w:tcBorders>
              <w:bottom w:val="single" w:color="auto" w:sz="4" w:space="0"/>
            </w:tcBorders>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拆卸、盗窃使用中或备用变压器等电力设备</w:t>
            </w:r>
          </w:p>
        </w:tc>
        <w:tc>
          <w:tcPr>
            <w:tcW w:w="2789" w:type="dxa"/>
            <w:tcBorders>
              <w:bottom w:val="single" w:color="auto" w:sz="4" w:space="0"/>
            </w:tcBorders>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违反、处罚条款：《电力设施保护条例实施细则》第二十条第（三）项， 责令改正；拒不改正的，处1000元以上10000元以下罚款。</w:t>
            </w:r>
          </w:p>
        </w:tc>
        <w:tc>
          <w:tcPr>
            <w:tcW w:w="851"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2304"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1.拆卸、盗窃使用中变压器等电力设备或者造成电能损失较大的，系数2-3；2.造成事故的，系数4。</w:t>
            </w:r>
          </w:p>
        </w:tc>
        <w:tc>
          <w:tcPr>
            <w:tcW w:w="1785" w:type="dxa"/>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＋变量系数）</w:t>
            </w:r>
          </w:p>
        </w:tc>
        <w:tc>
          <w:tcPr>
            <w:tcW w:w="2385" w:type="dxa"/>
            <w:tcBorders>
              <w:bottom w:val="single" w:color="auto" w:sz="4" w:space="0"/>
            </w:tcBorders>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tcBorders>
              <w:bottom w:val="single" w:color="auto" w:sz="4" w:space="0"/>
            </w:tcBorders>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674" w:hRule="atLeast"/>
          <w:jc w:val="center"/>
        </w:trPr>
        <w:tc>
          <w:tcPr>
            <w:tcW w:w="14218" w:type="dxa"/>
            <w:gridSpan w:val="9"/>
            <w:tcBorders>
              <w:bottom w:val="single" w:color="auto" w:sz="4" w:space="0"/>
            </w:tcBorders>
            <w:shd w:val="clear" w:color="auto" w:fill="FFFFFF"/>
            <w:vAlign w:val="center"/>
          </w:tcPr>
          <w:p>
            <w:pPr>
              <w:pStyle w:val="3"/>
              <w:bidi w:val="0"/>
              <w:jc w:val="center"/>
              <w:rPr>
                <w:rFonts w:hint="default"/>
                <w:lang w:val="en-US" w:eastAsia="zh-CN"/>
              </w:rPr>
            </w:pPr>
            <w:bookmarkStart w:id="190" w:name="_Toc1958487226"/>
            <w:r>
              <w:rPr>
                <w:rFonts w:hint="eastAsia"/>
                <w:sz w:val="21"/>
                <w:szCs w:val="21"/>
                <w:lang w:val="en-US" w:eastAsia="zh-CN"/>
              </w:rPr>
              <w:t>《北京市优化营商环境条例》案由1项</w:t>
            </w:r>
            <w:bookmarkEnd w:id="19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91" w:hRule="atLeast"/>
          <w:jc w:val="center"/>
        </w:trPr>
        <w:tc>
          <w:tcPr>
            <w:tcW w:w="940" w:type="dxa"/>
            <w:tcBorders>
              <w:bottom w:val="single" w:color="auto" w:sz="4" w:space="0"/>
            </w:tcBorders>
            <w:shd w:val="clear" w:color="auto" w:fill="FFFFFF"/>
            <w:vAlign w:val="center"/>
          </w:tcPr>
          <w:p>
            <w:pPr>
              <w:pStyle w:val="8"/>
              <w:jc w:val="center"/>
              <w:rPr>
                <w:rFonts w:hint="eastAsia" w:eastAsia="仿宋_GB2312"/>
                <w:sz w:val="15"/>
                <w:szCs w:val="15"/>
                <w:lang w:val="en-US" w:eastAsia="zh-CN"/>
              </w:rPr>
            </w:pPr>
            <w:r>
              <w:rPr>
                <w:rFonts w:hint="eastAsia"/>
                <w:sz w:val="15"/>
                <w:szCs w:val="15"/>
                <w:lang w:val="en-US" w:eastAsia="zh-CN"/>
              </w:rPr>
              <w:t>1</w:t>
            </w:r>
          </w:p>
        </w:tc>
        <w:tc>
          <w:tcPr>
            <w:tcW w:w="1500" w:type="dxa"/>
            <w:tcBorders>
              <w:bottom w:val="single" w:color="auto" w:sz="4" w:space="0"/>
            </w:tcBorders>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auto"/>
                <w:sz w:val="15"/>
                <w:szCs w:val="15"/>
                <w:highlight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供电企业供电可靠率低于国家有关规定</w:t>
            </w:r>
          </w:p>
        </w:tc>
        <w:tc>
          <w:tcPr>
            <w:tcW w:w="2789" w:type="dxa"/>
            <w:tcBorders>
              <w:bottom w:val="single" w:color="auto" w:sz="4" w:space="0"/>
            </w:tcBorders>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auto"/>
                <w:sz w:val="15"/>
                <w:szCs w:val="15"/>
                <w:highlight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违反</w:t>
            </w:r>
            <w:r>
              <w:rPr>
                <w:rStyle w:val="62"/>
                <w:rFonts w:hint="eastAsia" w:asciiTheme="minorEastAsia" w:hAnsiTheme="minorEastAsia" w:eastAsiaTheme="minorEastAsia" w:cstheme="minorEastAsia"/>
                <w:sz w:val="15"/>
                <w:szCs w:val="15"/>
                <w:lang w:val="en-US" w:eastAsia="zh-CN" w:bidi="ar"/>
              </w:rPr>
              <w:t>条款、处罚条款：第四十三条 供电企业应当保障供电设施的正常、稳定运行，确保供电质量符合国家规定。市城市管理部门应当加强对供电企业年供电可靠率的监督，对低于国家有关规定的，责令改正，可以处五万元以上五十万元以下罚款。</w:t>
            </w:r>
          </w:p>
        </w:tc>
        <w:tc>
          <w:tcPr>
            <w:tcW w:w="5780" w:type="dxa"/>
            <w:gridSpan w:val="4"/>
            <w:tcBorders>
              <w:bottom w:val="single" w:color="auto" w:sz="4" w:space="0"/>
            </w:tcBorders>
            <w:shd w:val="clear" w:color="auto" w:fill="FFFFFF"/>
            <w:vAlign w:val="center"/>
          </w:tcPr>
          <w:p>
            <w:pPr>
              <w:keepNext w:val="0"/>
              <w:keepLines w:val="0"/>
              <w:pageBreakBefore w:val="0"/>
              <w:widowControl/>
              <w:kinsoku/>
              <w:wordWrap/>
              <w:overflowPunct/>
              <w:topLinePunct w:val="0"/>
              <w:autoSpaceDE/>
              <w:autoSpaceDN/>
              <w:bidi w:val="0"/>
              <w:adjustRightInd/>
              <w:snapToGrid/>
              <w:spacing w:beforeAutospacing="0" w:afterAutospacing="0" w:line="0" w:lineRule="atLeast"/>
              <w:ind w:left="0" w:leftChars="0" w:right="0" w:rightChars="0" w:firstLine="300" w:firstLineChars="200"/>
              <w:textAlignment w:val="auto"/>
              <w:outlineLvl w:val="9"/>
              <w:rPr>
                <w:rFonts w:hint="eastAsia" w:asciiTheme="majorEastAsia" w:hAnsiTheme="majorEastAsia" w:eastAsiaTheme="majorEastAsia" w:cstheme="majorEastAsia"/>
                <w:sz w:val="15"/>
                <w:szCs w:val="15"/>
                <w:lang w:eastAsia="zh-CN"/>
              </w:rPr>
            </w:pPr>
            <w:r>
              <w:rPr>
                <w:rFonts w:hint="eastAsia" w:asciiTheme="majorEastAsia" w:hAnsiTheme="majorEastAsia" w:eastAsiaTheme="majorEastAsia" w:cstheme="majorEastAsia"/>
                <w:sz w:val="15"/>
                <w:szCs w:val="15"/>
                <w:lang w:eastAsia="zh-CN"/>
              </w:rPr>
              <w:t>《北京市城市管理委员会关于修订</w:t>
            </w:r>
            <w:r>
              <w:rPr>
                <w:rFonts w:hint="default" w:asciiTheme="majorEastAsia" w:hAnsiTheme="majorEastAsia" w:eastAsiaTheme="majorEastAsia" w:cstheme="majorEastAsia"/>
                <w:sz w:val="15"/>
                <w:szCs w:val="15"/>
                <w:lang w:val="en-US" w:eastAsia="zh-CN"/>
              </w:rPr>
              <w:t>&lt;</w:t>
            </w:r>
            <w:r>
              <w:rPr>
                <w:rFonts w:hint="eastAsia" w:asciiTheme="majorEastAsia" w:hAnsiTheme="majorEastAsia" w:eastAsiaTheme="majorEastAsia" w:cstheme="majorEastAsia"/>
                <w:sz w:val="15"/>
                <w:szCs w:val="15"/>
                <w:lang w:eastAsia="zh-CN"/>
              </w:rPr>
              <w:t>北京电网供电可靠性管制工作细则（试行）</w:t>
            </w:r>
            <w:r>
              <w:rPr>
                <w:rFonts w:hint="default" w:asciiTheme="majorEastAsia" w:hAnsiTheme="majorEastAsia" w:eastAsiaTheme="majorEastAsia" w:cstheme="majorEastAsia"/>
                <w:sz w:val="15"/>
                <w:szCs w:val="15"/>
                <w:lang w:val="en-US" w:eastAsia="zh-CN"/>
              </w:rPr>
              <w:t>&gt;</w:t>
            </w:r>
            <w:r>
              <w:rPr>
                <w:rFonts w:hint="eastAsia" w:asciiTheme="majorEastAsia" w:hAnsiTheme="majorEastAsia" w:eastAsiaTheme="majorEastAsia" w:cstheme="majorEastAsia"/>
                <w:sz w:val="15"/>
                <w:szCs w:val="15"/>
                <w:lang w:eastAsia="zh-CN"/>
              </w:rPr>
              <w:t>的通知》</w:t>
            </w:r>
            <w:r>
              <w:rPr>
                <w:rFonts w:hint="default" w:asciiTheme="majorEastAsia" w:hAnsiTheme="majorEastAsia" w:eastAsiaTheme="majorEastAsia" w:cstheme="majorEastAsia"/>
                <w:sz w:val="15"/>
                <w:szCs w:val="15"/>
                <w:lang w:val="en-US" w:eastAsia="zh-CN"/>
              </w:rPr>
              <w:t xml:space="preserve">  </w:t>
            </w:r>
            <w:r>
              <w:rPr>
                <w:rFonts w:hint="eastAsia" w:asciiTheme="majorEastAsia" w:hAnsiTheme="majorEastAsia" w:eastAsiaTheme="majorEastAsia" w:cstheme="majorEastAsia"/>
                <w:sz w:val="15"/>
                <w:szCs w:val="15"/>
              </w:rPr>
              <w:t>城市电网年供电可靠率（ASAI）</w:t>
            </w:r>
            <w:r>
              <w:rPr>
                <w:rFonts w:hint="eastAsia" w:asciiTheme="majorEastAsia" w:hAnsiTheme="majorEastAsia" w:eastAsiaTheme="majorEastAsia" w:cstheme="majorEastAsia"/>
                <w:sz w:val="15"/>
                <w:szCs w:val="15"/>
                <w:lang w:eastAsia="zh-CN"/>
              </w:rPr>
              <w:t>应</w:t>
            </w:r>
            <w:r>
              <w:rPr>
                <w:rFonts w:hint="eastAsia" w:asciiTheme="majorEastAsia" w:hAnsiTheme="majorEastAsia" w:eastAsiaTheme="majorEastAsia" w:cstheme="majorEastAsia"/>
                <w:sz w:val="15"/>
                <w:szCs w:val="15"/>
              </w:rPr>
              <w:t>高于99%（含99%），且较上年变化率在-0.002至0.002个百分点之间（含）</w:t>
            </w:r>
            <w:r>
              <w:rPr>
                <w:rFonts w:hint="eastAsia" w:asciiTheme="majorEastAsia" w:hAnsiTheme="majorEastAsia" w:eastAsiaTheme="majorEastAsia" w:cstheme="majorEastAsia"/>
                <w:sz w:val="15"/>
                <w:szCs w:val="15"/>
                <w:lang w:eastAsia="zh-CN"/>
              </w:rPr>
              <w:t>。</w:t>
            </w:r>
          </w:p>
          <w:p>
            <w:pPr>
              <w:keepNext w:val="0"/>
              <w:keepLines w:val="0"/>
              <w:pageBreakBefore w:val="0"/>
              <w:widowControl/>
              <w:kinsoku/>
              <w:wordWrap/>
              <w:overflowPunct/>
              <w:topLinePunct w:val="0"/>
              <w:autoSpaceDE/>
              <w:autoSpaceDN/>
              <w:bidi w:val="0"/>
              <w:adjustRightInd/>
              <w:snapToGrid/>
              <w:spacing w:beforeAutospacing="0" w:afterAutospacing="0" w:line="0" w:lineRule="atLeast"/>
              <w:ind w:left="0" w:leftChars="0" w:right="0" w:rightChars="0" w:firstLine="300" w:firstLineChars="200"/>
              <w:textAlignment w:val="auto"/>
              <w:outlineLvl w:val="9"/>
              <w:rPr>
                <w:rFonts w:hint="eastAsia" w:asciiTheme="majorEastAsia" w:hAnsiTheme="majorEastAsia" w:eastAsiaTheme="majorEastAsia" w:cstheme="majorEastAsia"/>
                <w:sz w:val="15"/>
                <w:szCs w:val="15"/>
              </w:rPr>
            </w:pPr>
            <w:r>
              <w:rPr>
                <w:rFonts w:hint="eastAsia" w:asciiTheme="majorEastAsia" w:hAnsiTheme="majorEastAsia" w:eastAsiaTheme="majorEastAsia" w:cstheme="majorEastAsia"/>
                <w:sz w:val="15"/>
                <w:szCs w:val="15"/>
                <w:lang w:val="en-US" w:eastAsia="zh-CN"/>
              </w:rPr>
              <w:t>1.</w:t>
            </w:r>
            <w:r>
              <w:rPr>
                <w:rFonts w:hint="eastAsia" w:asciiTheme="majorEastAsia" w:hAnsiTheme="majorEastAsia" w:eastAsiaTheme="majorEastAsia" w:cstheme="majorEastAsia"/>
                <w:sz w:val="15"/>
                <w:szCs w:val="15"/>
              </w:rPr>
              <w:t>城市电网年供电可靠率（ASAI）低于上年0.002至0.004个百分点（含0.004），处罚5万元。</w:t>
            </w:r>
          </w:p>
          <w:p>
            <w:pPr>
              <w:keepNext w:val="0"/>
              <w:keepLines w:val="0"/>
              <w:pageBreakBefore w:val="0"/>
              <w:widowControl/>
              <w:kinsoku/>
              <w:wordWrap/>
              <w:overflowPunct/>
              <w:topLinePunct w:val="0"/>
              <w:autoSpaceDE/>
              <w:autoSpaceDN/>
              <w:bidi w:val="0"/>
              <w:adjustRightInd/>
              <w:snapToGrid/>
              <w:spacing w:beforeAutospacing="0" w:afterAutospacing="0" w:line="0" w:lineRule="atLeast"/>
              <w:ind w:left="0" w:leftChars="0" w:right="0" w:rightChars="0" w:firstLine="300" w:firstLineChars="200"/>
              <w:textAlignment w:val="auto"/>
              <w:outlineLvl w:val="9"/>
              <w:rPr>
                <w:rFonts w:hint="eastAsia" w:asciiTheme="majorEastAsia" w:hAnsiTheme="majorEastAsia" w:eastAsiaTheme="majorEastAsia" w:cstheme="majorEastAsia"/>
                <w:sz w:val="15"/>
                <w:szCs w:val="15"/>
              </w:rPr>
            </w:pPr>
            <w:r>
              <w:rPr>
                <w:rFonts w:hint="eastAsia" w:asciiTheme="majorEastAsia" w:hAnsiTheme="majorEastAsia" w:eastAsiaTheme="majorEastAsia" w:cstheme="majorEastAsia"/>
                <w:sz w:val="15"/>
                <w:szCs w:val="15"/>
                <w:lang w:val="en-US" w:eastAsia="zh-CN"/>
              </w:rPr>
              <w:t>2.</w:t>
            </w:r>
            <w:r>
              <w:rPr>
                <w:rFonts w:hint="eastAsia" w:asciiTheme="majorEastAsia" w:hAnsiTheme="majorEastAsia" w:eastAsiaTheme="majorEastAsia" w:cstheme="majorEastAsia"/>
                <w:sz w:val="15"/>
                <w:szCs w:val="15"/>
              </w:rPr>
              <w:t>城市电网年供电可靠率（ASAI）低于上年0.004至0.006个百分点（含0.006），处罚20万元。</w:t>
            </w:r>
          </w:p>
          <w:p>
            <w:pPr>
              <w:spacing w:line="232" w:lineRule="exact"/>
              <w:ind w:firstLine="300" w:firstLineChars="200"/>
              <w:rPr>
                <w:rFonts w:hint="eastAsia" w:asciiTheme="minorEastAsia" w:hAnsiTheme="minorEastAsia" w:eastAsiaTheme="minorEastAsia"/>
                <w:color w:val="auto"/>
                <w:sz w:val="15"/>
                <w:szCs w:val="15"/>
                <w:highlight w:val="none"/>
              </w:rPr>
            </w:pPr>
            <w:r>
              <w:rPr>
                <w:rFonts w:hint="eastAsia" w:asciiTheme="majorEastAsia" w:hAnsiTheme="majorEastAsia" w:eastAsiaTheme="majorEastAsia" w:cstheme="majorEastAsia"/>
                <w:sz w:val="15"/>
                <w:szCs w:val="15"/>
                <w:lang w:val="en-US" w:eastAsia="zh-CN"/>
              </w:rPr>
              <w:t>3.</w:t>
            </w:r>
            <w:r>
              <w:rPr>
                <w:rFonts w:hint="eastAsia" w:asciiTheme="majorEastAsia" w:hAnsiTheme="majorEastAsia" w:eastAsiaTheme="majorEastAsia" w:cstheme="majorEastAsia"/>
                <w:sz w:val="15"/>
                <w:szCs w:val="15"/>
              </w:rPr>
              <w:t>城市电网年供电可靠率（ASAI）低于99%，或低于上年0.006个百分点以上，处罚50万元。</w:t>
            </w:r>
          </w:p>
        </w:tc>
        <w:tc>
          <w:tcPr>
            <w:tcW w:w="2385" w:type="dxa"/>
            <w:tcBorders>
              <w:bottom w:val="single" w:color="auto" w:sz="4" w:space="0"/>
            </w:tcBorders>
            <w:shd w:val="clear" w:color="auto" w:fill="FFFFFF"/>
            <w:vAlign w:val="center"/>
          </w:tcPr>
          <w:p>
            <w:pPr>
              <w:keepNext w:val="0"/>
              <w:keepLines w:val="0"/>
              <w:pageBreakBefore w:val="0"/>
              <w:kinsoku/>
              <w:wordWrap/>
              <w:overflowPunct/>
              <w:topLinePunct w:val="0"/>
              <w:autoSpaceDE w:val="0"/>
              <w:autoSpaceDN/>
              <w:bidi w:val="0"/>
              <w:adjustRightInd/>
              <w:snapToGrid/>
              <w:spacing w:line="0" w:lineRule="atLeast"/>
              <w:textAlignment w:val="auto"/>
              <w:rPr>
                <w:rFonts w:hint="eastAsia" w:asciiTheme="minorEastAsia" w:hAnsiTheme="minorEastAsia" w:eastAsiaTheme="minorEastAsia"/>
                <w:color w:val="auto"/>
                <w:sz w:val="15"/>
                <w:szCs w:val="15"/>
                <w:highlight w:val="none"/>
              </w:rPr>
            </w:pPr>
          </w:p>
        </w:tc>
        <w:tc>
          <w:tcPr>
            <w:tcW w:w="824" w:type="dxa"/>
            <w:tcBorders>
              <w:bottom w:val="single" w:color="auto" w:sz="4" w:space="0"/>
            </w:tcBorders>
            <w:shd w:val="clear" w:color="auto" w:fill="FFFFFF"/>
            <w:vAlign w:val="center"/>
          </w:tcPr>
          <w:p>
            <w:pPr>
              <w:autoSpaceDE w:val="0"/>
              <w:spacing w:line="232" w:lineRule="exact"/>
              <w:jc w:val="center"/>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jc w:val="center"/>
        </w:trPr>
        <w:tc>
          <w:tcPr>
            <w:tcW w:w="14218" w:type="dxa"/>
            <w:gridSpan w:val="9"/>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石油天然气管道保护类案由22项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jc w:val="center"/>
        </w:trPr>
        <w:tc>
          <w:tcPr>
            <w:tcW w:w="5229" w:type="dxa"/>
            <w:gridSpan w:val="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tLeast"/>
              <w:jc w:val="center"/>
              <w:textAlignment w:val="auto"/>
              <w:rPr>
                <w:rFonts w:asciiTheme="minorEastAsia" w:hAnsiTheme="minorEastAsia" w:eastAsiaTheme="minorEastAsia"/>
                <w:color w:val="auto"/>
                <w:sz w:val="21"/>
                <w:szCs w:val="21"/>
                <w:highlight w:val="none"/>
              </w:rPr>
            </w:pPr>
            <w:bookmarkStart w:id="191" w:name="_Toc110851497"/>
            <w:bookmarkStart w:id="192" w:name="_Toc1490732698"/>
            <w:bookmarkStart w:id="193" w:name="_Toc1180300814"/>
            <w:r>
              <w:rPr>
                <w:rFonts w:hint="eastAsia" w:asciiTheme="minorEastAsia" w:hAnsiTheme="minorEastAsia" w:eastAsiaTheme="minorEastAsia"/>
                <w:color w:val="auto"/>
                <w:sz w:val="21"/>
                <w:szCs w:val="21"/>
                <w:highlight w:val="none"/>
              </w:rPr>
              <w:t>《中华人民共和国石油天然气管道保护法》</w:t>
            </w:r>
            <w:bookmarkEnd w:id="191"/>
            <w:bookmarkEnd w:id="192"/>
            <w:bookmarkStart w:id="194" w:name="_Toc63324556"/>
            <w:bookmarkStart w:id="195" w:name="_Toc110851498"/>
            <w:r>
              <w:rPr>
                <w:rFonts w:hint="eastAsia" w:asciiTheme="minorEastAsia" w:hAnsiTheme="minorEastAsia" w:eastAsiaTheme="minorEastAsia"/>
                <w:color w:val="auto"/>
                <w:sz w:val="21"/>
                <w:szCs w:val="21"/>
                <w:highlight w:val="none"/>
              </w:rPr>
              <w:t>案由22项</w:t>
            </w:r>
            <w:bookmarkEnd w:id="193"/>
            <w:bookmarkEnd w:id="194"/>
            <w:bookmarkEnd w:id="195"/>
          </w:p>
        </w:tc>
        <w:tc>
          <w:tcPr>
            <w:tcW w:w="8989" w:type="dxa"/>
            <w:gridSpan w:val="6"/>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lang w:val="en-US" w:eastAsia="zh-CN"/>
              </w:rPr>
              <w:t xml:space="preserve">                                            </w:t>
            </w:r>
            <w:r>
              <w:rPr>
                <w:rFonts w:hint="eastAsia" w:asciiTheme="minorEastAsia" w:hAnsiTheme="minorEastAsia" w:eastAsiaTheme="minorEastAsia"/>
                <w:color w:val="auto"/>
                <w:sz w:val="21"/>
                <w:szCs w:val="21"/>
                <w:highlight w:val="none"/>
              </w:rPr>
              <w:t>（注：不含东城、西城、平谷、天安门）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618" w:hRule="atLeast"/>
          <w:jc w:val="center"/>
        </w:trPr>
        <w:tc>
          <w:tcPr>
            <w:tcW w:w="94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500" w:type="dxa"/>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未依法对管道进行巡护、检测和维修</w:t>
            </w:r>
          </w:p>
        </w:tc>
        <w:tc>
          <w:tcPr>
            <w:tcW w:w="2789"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违反条款：第二十二条或第二十三条第一款；处罚条款：第五十条第一款第（一）项，责令限期改正；逾期不改正的，处二万元以上十万元以下的罚款。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1.未建立巡护制度的，系数2；2.未配备专人进行日常巡护的，系数2；3.未定期对管道风险比较大的区段和场所进行重点监测采取有效措施的，系数2；4.造成事故或者其它严重后果的，系数4。</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20" w:hRule="atLeast"/>
          <w:jc w:val="center"/>
        </w:trPr>
        <w:tc>
          <w:tcPr>
            <w:tcW w:w="94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500" w:type="dxa"/>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不符合安全使用条件的管道未及时更新、改造或者停止使用</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违反条款：第二十三条第二款；处罚条款：第五十条第一款第（二）项，责令限期改正；逾期不改正的，处二万元以上十万元以下的罚款。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1.未采取任何措施继续使用，存在较大隐患的，系数2-3；2.造成事故或者其它严重后果的，系数4。</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30" w:hRule="atLeast"/>
          <w:jc w:val="center"/>
        </w:trPr>
        <w:tc>
          <w:tcPr>
            <w:tcW w:w="94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500" w:type="dxa"/>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未按规定设置、修复或者更新管道标志</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违反条款：第十八条；处罚条款：第五十条第一款第（三）项，责令限期改正；逾期不改正的，处二万元以上十万元以下的罚款。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spacing w:val="-3"/>
                <w:kern w:val="0"/>
                <w:sz w:val="15"/>
                <w:szCs w:val="15"/>
                <w:highlight w:val="none"/>
              </w:rPr>
            </w:pPr>
            <w:r>
              <w:rPr>
                <w:rFonts w:hint="eastAsia" w:cs="宋体" w:asciiTheme="minorEastAsia" w:hAnsiTheme="minorEastAsia" w:eastAsiaTheme="minorEastAsia"/>
                <w:color w:val="auto"/>
                <w:spacing w:val="-3"/>
                <w:kern w:val="0"/>
                <w:sz w:val="15"/>
                <w:szCs w:val="15"/>
                <w:highlight w:val="none"/>
              </w:rPr>
              <w:t>1.未依法设置或者未修复更新，存在较大隐患的，系数1-3；2.造成事故或者其它严重后果的，系数4。</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355" w:hRule="atLeast"/>
          <w:jc w:val="center"/>
        </w:trPr>
        <w:tc>
          <w:tcPr>
            <w:tcW w:w="94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500" w:type="dxa"/>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未按规定将管道竣工测量图报送备案</w:t>
            </w:r>
          </w:p>
        </w:tc>
        <w:tc>
          <w:tcPr>
            <w:tcW w:w="2789"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违反条款：第二十条；处罚条款：第五十条第一款第（四）项，责令限期改正；逾期不改正的，处二万元以上十万元以下的罚款。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1.未报送备案，逾期6-10日，系数1，逾期11-15日，系数2，以此类推；2.造成事故或者其它严重后果的，系数4。</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45" w:hRule="atLeast"/>
          <w:jc w:val="center"/>
        </w:trPr>
        <w:tc>
          <w:tcPr>
            <w:tcW w:w="94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500" w:type="dxa"/>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未制定管道事故应急预案或者未将应急预案报送备案</w:t>
            </w:r>
          </w:p>
        </w:tc>
        <w:tc>
          <w:tcPr>
            <w:tcW w:w="2789" w:type="dxa"/>
            <w:shd w:val="clear" w:color="auto" w:fill="auto"/>
            <w:vAlign w:val="center"/>
          </w:tcPr>
          <w:p>
            <w:pPr>
              <w:spacing w:line="24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违反条款：第三十九条第一款；处罚条款：第五十条第一款第（五）项，责令限期改正；逾期不改正的，处二万元以上十万元以下的罚款。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1.未制定预案的，系数2；2.造成事故或者其它严重后果的，系数4。</w:t>
            </w:r>
          </w:p>
        </w:tc>
        <w:tc>
          <w:tcPr>
            <w:tcW w:w="1785"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4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05" w:hRule="atLeast"/>
          <w:jc w:val="center"/>
        </w:trPr>
        <w:tc>
          <w:tcPr>
            <w:tcW w:w="94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500" w:type="dxa"/>
            <w:shd w:val="clear" w:color="auto" w:fill="FFFFFF"/>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未采取有效措施消除或者减轻管道事故危害</w:t>
            </w:r>
          </w:p>
        </w:tc>
        <w:tc>
          <w:tcPr>
            <w:tcW w:w="2789"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违反条款：第三十九条第二款；处罚条款：第五十条第一款第（六）项，责令限期改正；逾期不改正的，处二万元以上十万元以下的罚款。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1.启动应急预案迟缓的，系数2；2.措施明显失当的，系数2；3.造成事故危害扩大的，系数4。</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90" w:hRule="atLeast"/>
          <w:jc w:val="center"/>
        </w:trPr>
        <w:tc>
          <w:tcPr>
            <w:tcW w:w="94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500" w:type="dxa"/>
            <w:shd w:val="clear" w:color="auto" w:fill="FFFFFF"/>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未对停止运行、封存、报废的管道采取必要的安全防护措施</w:t>
            </w:r>
          </w:p>
        </w:tc>
        <w:tc>
          <w:tcPr>
            <w:tcW w:w="2789"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违反条款：第四十二条；处罚条款：第五十条第一款第（七）项，责令限期改正；逾期不改正的，处二万元以上十万元以下的罚款。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1.未采取任何安全防护措施的，系数2；2.致使事故或者其它严重后果的，系数4。</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逾期不改正的情形，不记入</w:t>
            </w:r>
            <w:r>
              <w:rPr>
                <w:rFonts w:hint="eastAsia" w:asciiTheme="minorEastAsia" w:hAnsiTheme="minorEastAsia" w:eastAsiaTheme="minorEastAsia"/>
                <w:color w:val="auto"/>
                <w:sz w:val="15"/>
                <w:szCs w:val="15"/>
                <w:highlight w:val="none"/>
                <w:lang w:eastAsia="zh-CN"/>
              </w:rPr>
              <w:t>常量系数</w:t>
            </w:r>
            <w:r>
              <w:rPr>
                <w:rFonts w:hint="eastAsia" w:asciiTheme="minorEastAsia" w:hAnsiTheme="minorEastAsia" w:eastAsiaTheme="minorEastAsia"/>
                <w:color w:val="auto"/>
                <w:sz w:val="15"/>
                <w:szCs w:val="15"/>
                <w:highlight w:val="none"/>
              </w:rPr>
              <w:t>。</w:t>
            </w:r>
          </w:p>
          <w:p>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需要作出其它额度处罚的，报案审会讨论决定。</w:t>
            </w:r>
          </w:p>
        </w:tc>
        <w:tc>
          <w:tcPr>
            <w:tcW w:w="824"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692" w:hRule="atLeast"/>
          <w:jc w:val="center"/>
        </w:trPr>
        <w:tc>
          <w:tcPr>
            <w:tcW w:w="940" w:type="dxa"/>
            <w:vMerge w:val="restart"/>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500"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的加压站（加热站、计量站、集油站、集气站、输油站、输气站、配气站、处理场、清管站、阀室、阀井、放空设施、油库、储气库、装卸栈桥、装卸场）上方架设电力线路、通信线路或在储气库构造区域范围内进行工程挖掘、工程钻探、采矿</w:t>
            </w:r>
          </w:p>
        </w:tc>
        <w:tc>
          <w:tcPr>
            <w:tcW w:w="2789"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违反条款：第二十九条；处罚条款：第五十二条，责令停止违法行为；情节较重的，对单位处一万元以上十万元以下的罚款，对个人处二百元以上二千元以下的罚款。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190" w:lineRule="exact"/>
              <w:ind w:left="15"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190" w:lineRule="exact"/>
              <w:rPr>
                <w:rFonts w:cs="宋体" w:asciiTheme="minorEastAsia" w:hAnsiTheme="minorEastAsia" w:eastAsiaTheme="minorEastAsia"/>
                <w:color w:val="auto"/>
                <w:kern w:val="0"/>
                <w:sz w:val="15"/>
                <w:szCs w:val="15"/>
                <w:highlight w:val="none"/>
              </w:rPr>
            </w:pPr>
          </w:p>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190" w:lineRule="exact"/>
              <w:rPr>
                <w:rFonts w:cs="宋体" w:asciiTheme="minorEastAsia" w:hAnsiTheme="minorEastAsia" w:eastAsiaTheme="minorEastAsia"/>
                <w:color w:val="auto"/>
                <w:kern w:val="0"/>
                <w:sz w:val="15"/>
                <w:szCs w:val="15"/>
                <w:highlight w:val="none"/>
              </w:rPr>
            </w:pPr>
          </w:p>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vMerge w:val="restart"/>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946" w:hRule="atLeast"/>
          <w:jc w:val="center"/>
        </w:trPr>
        <w:tc>
          <w:tcPr>
            <w:tcW w:w="940" w:type="dxa"/>
            <w:vMerge w:val="continue"/>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pStyle w:val="20"/>
              <w:widowControl w:val="0"/>
              <w:shd w:val="clear" w:color="auto" w:fill="FFFFFF"/>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24"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51" w:hRule="atLeast"/>
          <w:jc w:val="center"/>
        </w:trPr>
        <w:tc>
          <w:tcPr>
            <w:tcW w:w="940" w:type="dxa"/>
            <w:vMerge w:val="restart"/>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500"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在管道线路中心线两侧各五米地域范围内种植可能损坏管道防腐层的深根植物</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违反条款：第三十条第（一）项；处罚条款：第五十二条，责令停止违法行为；情节较重的，对单位处一万元以上十万元以下的罚款，对个人处二百元以上二千元以下的罚款。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vMerge w:val="restart"/>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49" w:hRule="atLeast"/>
          <w:jc w:val="center"/>
        </w:trPr>
        <w:tc>
          <w:tcPr>
            <w:tcW w:w="940" w:type="dxa"/>
            <w:vMerge w:val="continue"/>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386" w:hRule="atLeast"/>
          <w:jc w:val="center"/>
        </w:trPr>
        <w:tc>
          <w:tcPr>
            <w:tcW w:w="940" w:type="dxa"/>
            <w:vMerge w:val="restart"/>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在管道线路中心线两侧各五米地域范围内取土、采石、用火、堆放重物、排放腐蚀性物质、使用机械工具进行挖掘施工</w:t>
            </w:r>
          </w:p>
        </w:tc>
        <w:tc>
          <w:tcPr>
            <w:tcW w:w="2789"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违反条款：第三十条第（二）项；处罚条款：第五十二条，责令停止违法行为；情节较重的，对单位处一万元以上十万元以下的罚款，对个人处二百元以上二千元以下的罚款。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vMerge w:val="restart"/>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87" w:hRule="atLeast"/>
          <w:jc w:val="center"/>
        </w:trPr>
        <w:tc>
          <w:tcPr>
            <w:tcW w:w="940" w:type="dxa"/>
            <w:vMerge w:val="continue"/>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24"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15" w:hRule="atLeast"/>
          <w:jc w:val="center"/>
        </w:trPr>
        <w:tc>
          <w:tcPr>
            <w:tcW w:w="940" w:type="dxa"/>
            <w:vMerge w:val="restart"/>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500" w:type="dxa"/>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在管道线路中心线两侧各五米地域范围内挖塘、修渠、修晒场、修建水产养殖场、建温室、建家畜棚圈、建房以及修建其它建筑物、构筑物</w:t>
            </w:r>
          </w:p>
        </w:tc>
        <w:tc>
          <w:tcPr>
            <w:tcW w:w="2789"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违反条款：第三十条第（三）项；处罚条款：第五十二条，责令停止违法行为；情节较重的，对单位处一万元以上十万元以下的罚款，对个人处二百元以上二千元以下的罚款。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40" w:hRule="atLeast"/>
          <w:jc w:val="center"/>
        </w:trPr>
        <w:tc>
          <w:tcPr>
            <w:tcW w:w="940" w:type="dxa"/>
            <w:vMerge w:val="continue"/>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pStyle w:val="20"/>
              <w:widowControl w:val="0"/>
              <w:shd w:val="clear" w:color="auto" w:fill="FFFFFF"/>
              <w:autoSpaceDE w:val="0"/>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47" w:hRule="atLeast"/>
          <w:jc w:val="center"/>
        </w:trPr>
        <w:tc>
          <w:tcPr>
            <w:tcW w:w="940" w:type="dxa"/>
            <w:vMerge w:val="restart"/>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500" w:type="dxa"/>
            <w:vMerge w:val="restart"/>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在穿越河流的管道线路中心线两侧各五百米地域范围内抛锚、拖锚、挖砂、挖泥、采石、水下爆破</w:t>
            </w:r>
          </w:p>
        </w:tc>
        <w:tc>
          <w:tcPr>
            <w:tcW w:w="2789"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违反条款：第三十二条；处罚条款：第五十二条，责令停止违法行为；情节较重的，对单位处一万元以上十万元以下的罚款，对个人处二百元以上二千元以下的罚款。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832" w:hRule="atLeast"/>
          <w:jc w:val="center"/>
        </w:trPr>
        <w:tc>
          <w:tcPr>
            <w:tcW w:w="940" w:type="dxa"/>
            <w:vMerge w:val="continue"/>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pStyle w:val="20"/>
              <w:widowControl w:val="0"/>
              <w:shd w:val="clear" w:color="auto" w:fill="FFFFFF"/>
              <w:autoSpaceDE w:val="0"/>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73" w:hRule="atLeast"/>
          <w:jc w:val="center"/>
        </w:trPr>
        <w:tc>
          <w:tcPr>
            <w:tcW w:w="940" w:type="dxa"/>
            <w:vMerge w:val="restart"/>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500" w:type="dxa"/>
            <w:vMerge w:val="restart"/>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在管道专用隧道中心线两侧各一千米地域范围内采石、采矿、爆破</w:t>
            </w:r>
          </w:p>
        </w:tc>
        <w:tc>
          <w:tcPr>
            <w:tcW w:w="2789"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违反条款：第三十三条第一款；处罚条款：第五十二条，责令停止违法行为；情节较重的，对单位处一万元以上十万元以下的罚款，对个人处二百元以上二千元以下的罚款。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造成事故或者其它严重后果的，系数1。</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06" w:hRule="atLeast"/>
          <w:jc w:val="center"/>
        </w:trPr>
        <w:tc>
          <w:tcPr>
            <w:tcW w:w="940" w:type="dxa"/>
            <w:vMerge w:val="continue"/>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500" w:type="dxa"/>
            <w:vMerge w:val="continue"/>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2304"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2161"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500"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在管道专用隧道中心线两侧各一千米地域范围内修建铁路、公路、水利工程等公共工程，未经批准并采取必要的安全防护措施实施采石、爆破作业</w:t>
            </w:r>
          </w:p>
        </w:tc>
        <w:tc>
          <w:tcPr>
            <w:tcW w:w="2789"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违反条款：第三十三条第二款；处罚条款：第五十三条，责令停止违法行为；情节较重的，处一万元以上五万元以下的罚款。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需要作出其它额度处罚的，报案审会讨论决定。</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2634" w:hRule="atLeast"/>
          <w:jc w:val="center"/>
        </w:trPr>
        <w:tc>
          <w:tcPr>
            <w:tcW w:w="940" w:type="dxa"/>
            <w:tcBorders>
              <w:bottom w:val="single" w:color="auto" w:sz="4" w:space="0"/>
            </w:tcBorders>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500" w:type="dxa"/>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未经批准在管道线路中心线两侧各五米至五十米和管道附属设施周边一百米地域范围内，新建、改建、扩建铁路、公路、河渠，架设电力线路，埋设地下电缆、光缆，设置安全接地体、避雷接地体</w:t>
            </w:r>
          </w:p>
        </w:tc>
        <w:tc>
          <w:tcPr>
            <w:tcW w:w="2789" w:type="dxa"/>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违反条款：第三十五条第一款第（二）项；处罚条款：第五十三条，责令停止违法行为；情节较重的，处一万元以上五万元以下的罚款。</w:t>
            </w:r>
          </w:p>
        </w:tc>
        <w:tc>
          <w:tcPr>
            <w:tcW w:w="851" w:type="dxa"/>
            <w:tcBorders>
              <w:bottom w:val="single" w:color="auto" w:sz="4" w:space="0"/>
            </w:tcBorders>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tcBorders>
              <w:bottom w:val="single" w:color="auto" w:sz="4" w:space="0"/>
            </w:tcBorders>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1785" w:type="dxa"/>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277"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500"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未经批准进行穿跨越管道的施工作业</w:t>
            </w:r>
          </w:p>
        </w:tc>
        <w:tc>
          <w:tcPr>
            <w:tcW w:w="2789"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违反条款：第三十五条第一款第（一）项；处罚条款：第五十三条，责令停止违法行为；情节较重的，处一万元以上五万元以下的罚款。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882"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500"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未经批准，在管道线路中心线两侧各二百米和管道附属设施周边五百米地域范围内，进行爆破、地震法勘探或者工程挖掘、工程钻探、采矿</w:t>
            </w:r>
          </w:p>
        </w:tc>
        <w:tc>
          <w:tcPr>
            <w:tcW w:w="2789"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违反条款：第三十五条第一款第（三）项；处罚条款：第五十三条，责令停止违法行为；情节较重的，处一万元以上五万元以下的罚款。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1.存在较大安全隐患或者造成损失较大的，系数2-3；2.造成事故或者其它严重后果的，系数4。</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rPr>
              <w:t>它额度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31"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500"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擅自开启、关闭管道阀门</w:t>
            </w:r>
          </w:p>
        </w:tc>
        <w:tc>
          <w:tcPr>
            <w:tcW w:w="2789"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违反条款：第二十八条第（一）项；处罚条款：第五十四条第（一）项，责令改正；情节严重的，处二百元以上一千元以下的罚款。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466"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500" w:type="dxa"/>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移动、毁损、涂改管道标志</w:t>
            </w:r>
          </w:p>
        </w:tc>
        <w:tc>
          <w:tcPr>
            <w:tcW w:w="2789"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违反条款：第二十八条第（三）项；处罚条款：第五十四条第（二）项，责令改正；情节严重的，处二百元以上一千元以下的罚款。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作出其它额度处罚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c>
          <w:tcPr>
            <w:tcW w:w="824" w:type="dxa"/>
            <w:shd w:val="clear" w:color="auto" w:fill="auto"/>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157"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500" w:type="dxa"/>
            <w:shd w:val="clear" w:color="auto" w:fill="FFFFFF"/>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在埋地管道上方巡查便道上行驶重型车辆</w:t>
            </w:r>
          </w:p>
        </w:tc>
        <w:tc>
          <w:tcPr>
            <w:tcW w:w="2789"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违反条款：第二十八条第（四）项；处罚条款：第五十四条第（三）项，责令改正；情节严重的，处二百元以上一千元以下的罚款。</w:t>
            </w:r>
          </w:p>
        </w:tc>
        <w:tc>
          <w:tcPr>
            <w:tcW w:w="851"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37"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500" w:type="dxa"/>
            <w:shd w:val="clear" w:color="auto" w:fill="FFFFFF"/>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在地面管道线路、架空管道线路和管桥上行走或者放置重物</w:t>
            </w:r>
          </w:p>
        </w:tc>
        <w:tc>
          <w:tcPr>
            <w:tcW w:w="2789"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违反条款：第二十八条第（五）项；处罚条款：第五十四条第（四）项，责令改正；情节严重的，处二百元以上一千元以下的罚款。</w:t>
            </w:r>
          </w:p>
        </w:tc>
        <w:tc>
          <w:tcPr>
            <w:tcW w:w="851"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trHeight w:val="1037" w:hRule="atLeast"/>
          <w:jc w:val="center"/>
        </w:trPr>
        <w:tc>
          <w:tcPr>
            <w:tcW w:w="9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500" w:type="dxa"/>
            <w:shd w:val="clear" w:color="auto" w:fill="FFFFFF"/>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阻碍依法进行的管道建设</w:t>
            </w:r>
          </w:p>
        </w:tc>
        <w:tc>
          <w:tcPr>
            <w:tcW w:w="2789"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违反条款：第十五条；处罚条款：第五十四条第（五）项，责令改正；情节严重的，处二百元以上一千元以下的罚款。</w:t>
            </w:r>
          </w:p>
        </w:tc>
        <w:tc>
          <w:tcPr>
            <w:tcW w:w="851"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2304"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1.造成较大损失和影响的，系数2；2.造成事故或者其它严重后果的，系数4。</w:t>
            </w:r>
          </w:p>
        </w:tc>
        <w:tc>
          <w:tcPr>
            <w:tcW w:w="17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常量系数</w:t>
            </w:r>
            <w:r>
              <w:rPr>
                <w:rFonts w:hint="eastAsia" w:cs="宋体" w:asciiTheme="minorEastAsia" w:hAnsiTheme="minorEastAsia" w:eastAsiaTheme="minorEastAsia"/>
                <w:color w:val="auto"/>
                <w:kern w:val="0"/>
                <w:sz w:val="15"/>
                <w:szCs w:val="15"/>
                <w:highlight w:val="none"/>
              </w:rPr>
              <w:t>＋变量系数）</w:t>
            </w:r>
          </w:p>
        </w:tc>
        <w:tc>
          <w:tcPr>
            <w:tcW w:w="2385" w:type="dxa"/>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p>
        </w:tc>
        <w:tc>
          <w:tcPr>
            <w:tcW w:w="824" w:type="dxa"/>
            <w:shd w:val="clear" w:color="auto" w:fill="auto"/>
            <w:vAlign w:val="center"/>
          </w:tcPr>
          <w:p>
            <w:pPr>
              <w:autoSpaceDE w:val="0"/>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市级</w:t>
            </w:r>
          </w:p>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区级</w:t>
            </w:r>
          </w:p>
        </w:tc>
      </w:tr>
    </w:tbl>
    <w:p/>
    <w:tbl>
      <w:tblPr>
        <w:tblStyle w:val="23"/>
        <w:tblW w:w="143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99"/>
        <w:gridCol w:w="441"/>
        <w:gridCol w:w="489"/>
        <w:gridCol w:w="1011"/>
        <w:gridCol w:w="696"/>
        <w:gridCol w:w="2093"/>
        <w:gridCol w:w="1345"/>
        <w:gridCol w:w="2490"/>
        <w:gridCol w:w="1949"/>
        <w:gridCol w:w="2"/>
        <w:gridCol w:w="697"/>
        <w:gridCol w:w="697"/>
        <w:gridCol w:w="712"/>
        <w:gridCol w:w="148"/>
        <w:gridCol w:w="1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2" w:hRule="atLeast"/>
        </w:trPr>
        <w:tc>
          <w:tcPr>
            <w:tcW w:w="14329" w:type="dxa"/>
            <w:gridSpan w:val="15"/>
            <w:noWrap w:val="0"/>
            <w:vAlign w:val="center"/>
          </w:tcPr>
          <w:p>
            <w:pPr>
              <w:pStyle w:val="2"/>
              <w:bidi w:val="0"/>
              <w:rPr>
                <w:rFonts w:hint="eastAsia"/>
                <w:sz w:val="21"/>
                <w:szCs w:val="21"/>
              </w:rPr>
            </w:pPr>
            <w:bookmarkStart w:id="196" w:name="_Toc1437339030"/>
            <w:bookmarkStart w:id="197" w:name="_Toc110851502"/>
            <w:bookmarkStart w:id="198" w:name="_Toc1953583257"/>
            <w:bookmarkStart w:id="199" w:name="_Toc341845612"/>
            <w:bookmarkStart w:id="200" w:name="_Toc1528064169"/>
            <w:r>
              <w:rPr>
                <w:rFonts w:hint="eastAsia"/>
                <w:sz w:val="21"/>
                <w:szCs w:val="21"/>
              </w:rPr>
              <w:t>生态环境管理方面</w:t>
            </w:r>
            <w:bookmarkEnd w:id="196"/>
            <w:r>
              <w:rPr>
                <w:rFonts w:hint="eastAsia"/>
                <w:sz w:val="21"/>
                <w:szCs w:val="21"/>
                <w:lang w:val="en-US" w:eastAsia="zh-CN"/>
              </w:rPr>
              <w:t>2</w:t>
            </w:r>
            <w:r>
              <w:rPr>
                <w:rFonts w:hint="eastAsia"/>
                <w:sz w:val="21"/>
                <w:szCs w:val="21"/>
              </w:rPr>
              <w:t>项</w:t>
            </w:r>
            <w:bookmarkEnd w:id="197"/>
            <w:bookmarkEnd w:id="198"/>
            <w:bookmarkEnd w:id="199"/>
            <w:bookmarkEnd w:id="200"/>
          </w:p>
          <w:p>
            <w:pPr>
              <w:jc w:val="center"/>
              <w:rPr>
                <w:rFonts w:hint="eastAsia" w:asciiTheme="minorEastAsia" w:hAnsiTheme="minorEastAsia" w:eastAsiaTheme="minorEastAsia" w:cstheme="minorEastAsia"/>
                <w:b/>
                <w:bCs/>
                <w:sz w:val="21"/>
                <w:szCs w:val="21"/>
              </w:rPr>
            </w:pPr>
          </w:p>
          <w:p>
            <w:pPr>
              <w:rPr>
                <w:rFonts w:hint="eastAsia" w:eastAsia="宋体"/>
                <w:lang w:val="en-US" w:eastAsia="zh-CN"/>
              </w:rPr>
            </w:pPr>
            <w:r>
              <w:rPr>
                <w:rFonts w:hint="eastAsia" w:asciiTheme="minorEastAsia" w:hAnsiTheme="minorEastAsia" w:eastAsiaTheme="minorEastAsia" w:cstheme="minorEastAsia"/>
                <w:lang w:val="en-US" w:eastAsia="zh-CN"/>
              </w:rPr>
              <w:t>《北京市生态环境局关于印发&lt;北京市生态环境行政处罚裁量权基准（2023年版）&gt;的通知》（京环发〔2023〕15号）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4" w:hRule="atLeast"/>
        </w:trPr>
        <w:tc>
          <w:tcPr>
            <w:tcW w:w="940" w:type="dxa"/>
            <w:gridSpan w:val="2"/>
            <w:noWrap w:val="0"/>
            <w:vAlign w:val="center"/>
          </w:tcPr>
          <w:p>
            <w:pPr>
              <w:spacing w:line="232" w:lineRule="exact"/>
              <w:jc w:val="center"/>
              <w:rPr>
                <w:rFonts w:hint="eastAsia" w:ascii="宋体" w:hAnsi="宋体" w:eastAsia="宋体" w:cs="仿宋_GB2312"/>
                <w:kern w:val="0"/>
                <w:sz w:val="15"/>
                <w:szCs w:val="15"/>
                <w:lang w:eastAsia="zh-CN"/>
              </w:rPr>
            </w:pPr>
            <w:r>
              <w:rPr>
                <w:rFonts w:hint="eastAsia" w:ascii="宋体" w:hAnsi="宋体" w:cs="仿宋_GB2312"/>
                <w:kern w:val="0"/>
                <w:sz w:val="15"/>
                <w:szCs w:val="15"/>
                <w:lang w:val="en-US" w:eastAsia="zh-CN"/>
              </w:rPr>
              <w:t>1</w:t>
            </w:r>
          </w:p>
        </w:tc>
        <w:tc>
          <w:tcPr>
            <w:tcW w:w="1500" w:type="dxa"/>
            <w:gridSpan w:val="2"/>
            <w:noWrap w:val="0"/>
            <w:vAlign w:val="center"/>
          </w:tcPr>
          <w:p>
            <w:pPr>
              <w:spacing w:line="232" w:lineRule="exact"/>
              <w:textAlignment w:val="center"/>
              <w:rPr>
                <w:rFonts w:ascii="宋体" w:hAnsi="宋体" w:eastAsia="宋体" w:cs="仿宋_GB2312"/>
                <w:kern w:val="0"/>
                <w:sz w:val="15"/>
                <w:szCs w:val="15"/>
              </w:rPr>
            </w:pPr>
            <w:r>
              <w:rPr>
                <w:rFonts w:hint="eastAsia" w:ascii="宋体" w:hAnsi="宋体" w:eastAsia="宋体" w:cs="仿宋_GB2312"/>
                <w:color w:val="000000"/>
                <w:kern w:val="0"/>
                <w:sz w:val="15"/>
                <w:szCs w:val="15"/>
                <w:lang w:bidi="ar"/>
              </w:rPr>
              <w:t>不使用清洁能源</w:t>
            </w:r>
          </w:p>
        </w:tc>
        <w:tc>
          <w:tcPr>
            <w:tcW w:w="2789" w:type="dxa"/>
            <w:gridSpan w:val="2"/>
            <w:noWrap w:val="0"/>
            <w:vAlign w:val="center"/>
          </w:tcPr>
          <w:p>
            <w:pPr>
              <w:spacing w:line="232" w:lineRule="exact"/>
              <w:textAlignment w:val="center"/>
              <w:rPr>
                <w:rFonts w:ascii="宋体" w:hAnsi="宋体" w:eastAsia="宋体" w:cs="仿宋_GB2312"/>
                <w:kern w:val="0"/>
                <w:sz w:val="15"/>
                <w:szCs w:val="15"/>
              </w:rPr>
            </w:pPr>
            <w:r>
              <w:rPr>
                <w:rFonts w:hint="eastAsia" w:ascii="宋体" w:hAnsi="宋体" w:eastAsia="宋体" w:cs="仿宋_GB2312"/>
                <w:color w:val="000000"/>
                <w:kern w:val="0"/>
                <w:sz w:val="15"/>
                <w:szCs w:val="15"/>
                <w:lang w:bidi="ar"/>
              </w:rPr>
              <w:t>《北京市大气污染防治条例》违反条款：第五十三条第三款；处罚条款：第一百零三条第二款，责令限期改正，处一万元以上十万元以下罚款。</w:t>
            </w:r>
          </w:p>
        </w:tc>
        <w:tc>
          <w:tcPr>
            <w:tcW w:w="5784" w:type="dxa"/>
            <w:gridSpan w:val="3"/>
            <w:noWrap w:val="0"/>
            <w:vAlign w:val="center"/>
          </w:tcPr>
          <w:p>
            <w:pPr>
              <w:spacing w:line="232" w:lineRule="exact"/>
              <w:rPr>
                <w:rFonts w:ascii="宋体" w:hAnsi="宋体" w:eastAsia="宋体" w:cs="仿宋_GB2312"/>
                <w:kern w:val="0"/>
                <w:sz w:val="15"/>
                <w:szCs w:val="15"/>
              </w:rPr>
            </w:pPr>
            <w:r>
              <w:rPr>
                <w:rFonts w:hint="eastAsia" w:ascii="宋体" w:hAnsi="宋体" w:eastAsia="宋体" w:cs="仿宋_GB2312"/>
                <w:kern w:val="0"/>
                <w:sz w:val="15"/>
                <w:szCs w:val="15"/>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30" w:hRule="atLeast"/>
        </w:trPr>
        <w:tc>
          <w:tcPr>
            <w:tcW w:w="940" w:type="dxa"/>
            <w:gridSpan w:val="2"/>
            <w:noWrap w:val="0"/>
            <w:vAlign w:val="center"/>
          </w:tcPr>
          <w:p>
            <w:pPr>
              <w:spacing w:line="232" w:lineRule="exact"/>
              <w:jc w:val="center"/>
              <w:rPr>
                <w:rFonts w:hint="eastAsia" w:ascii="宋体" w:hAnsi="宋体" w:eastAsia="宋体" w:cs="仿宋_GB2312"/>
                <w:kern w:val="0"/>
                <w:sz w:val="15"/>
                <w:szCs w:val="15"/>
                <w:lang w:eastAsia="zh-CN"/>
              </w:rPr>
            </w:pPr>
            <w:r>
              <w:rPr>
                <w:rFonts w:hint="eastAsia" w:ascii="宋体" w:hAnsi="宋体" w:cs="仿宋_GB2312"/>
                <w:kern w:val="0"/>
                <w:sz w:val="15"/>
                <w:szCs w:val="15"/>
                <w:lang w:val="en-US" w:eastAsia="zh-CN"/>
              </w:rPr>
              <w:t>2</w:t>
            </w:r>
          </w:p>
        </w:tc>
        <w:tc>
          <w:tcPr>
            <w:tcW w:w="1500" w:type="dxa"/>
            <w:gridSpan w:val="2"/>
            <w:noWrap w:val="0"/>
            <w:vAlign w:val="center"/>
          </w:tcPr>
          <w:p>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工业企业不能密闭的易产生扬尘的物料，未设置不低于堆放物高度的严密围挡，或者未采取有效覆盖措施防治扬尘污染</w:t>
            </w:r>
          </w:p>
        </w:tc>
        <w:tc>
          <w:tcPr>
            <w:tcW w:w="2789" w:type="dxa"/>
            <w:gridSpan w:val="2"/>
            <w:noWrap w:val="0"/>
            <w:vAlign w:val="center"/>
          </w:tcPr>
          <w:p>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《北京市大气污染防治条例》违反条款：第八十二条第一款；处罚条款：第一百二十条，责令改正，处一万元以上十万元以下罚款；拒不改正的，责令停工整治或者停业整治。</w:t>
            </w:r>
          </w:p>
        </w:tc>
        <w:tc>
          <w:tcPr>
            <w:tcW w:w="5784" w:type="dxa"/>
            <w:gridSpan w:val="3"/>
            <w:noWrap w:val="0"/>
            <w:vAlign w:val="center"/>
          </w:tcPr>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未密闭贮存易产生扬尘的物料，</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物料数量≤50立方米，1-2万元；</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50立方米&lt;物料数量≤500立方米，2-4万元；</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物料数量 &gt;500立方米，4-10万元。</w:t>
            </w:r>
          </w:p>
          <w:p>
            <w:pPr>
              <w:pStyle w:val="22"/>
              <w:spacing w:after="0" w:line="232" w:lineRule="exact"/>
              <w:ind w:left="0" w:leftChars="0" w:firstLine="0" w:firstLineChars="0"/>
              <w:textAlignment w:val="center"/>
              <w:rPr>
                <w:rFonts w:ascii="宋体" w:hAnsi="宋体" w:eastAsia="宋体" w:cs="仿宋_GB2312"/>
                <w:sz w:val="15"/>
                <w:szCs w:val="15"/>
              </w:rPr>
            </w:pPr>
            <w:r>
              <w:rPr>
                <w:rFonts w:hint="eastAsia" w:ascii="宋体" w:hAnsi="宋体" w:eastAsia="宋体" w:cs="仿宋_GB2312"/>
                <w:sz w:val="15"/>
                <w:szCs w:val="15"/>
              </w:rPr>
              <w:t>未设置严密围挡，或未采取有效覆盖措施防治扬尘，</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物料数量≤50立方米，1-2万元；</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50立方米&lt;物料数量≤500立方米，2-4万元；</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物料数量 &gt;500立方米，4-10万元。</w:t>
            </w:r>
          </w:p>
          <w:p>
            <w:pPr>
              <w:pStyle w:val="22"/>
              <w:spacing w:after="0" w:line="232" w:lineRule="exact"/>
              <w:ind w:left="0" w:leftChars="0" w:firstLine="0" w:firstLineChars="0"/>
              <w:textAlignment w:val="center"/>
              <w:rPr>
                <w:rFonts w:ascii="宋体" w:hAnsi="宋体" w:eastAsia="宋体"/>
                <w:sz w:val="15"/>
                <w:szCs w:val="15"/>
              </w:rPr>
            </w:pPr>
            <w:r>
              <w:rPr>
                <w:rFonts w:hint="eastAsia" w:ascii="宋体" w:hAnsi="宋体" w:eastAsia="宋体" w:cs="仿宋_GB2312"/>
                <w:color w:val="000000"/>
                <w:kern w:val="0"/>
                <w:sz w:val="15"/>
                <w:szCs w:val="15"/>
                <w:lang w:bidi="ar"/>
              </w:rPr>
              <w:t>拒不改正的，责令停工整治或者停业整治。</w:t>
            </w:r>
          </w:p>
        </w:tc>
        <w:tc>
          <w:tcPr>
            <w:tcW w:w="2108" w:type="dxa"/>
            <w:gridSpan w:val="4"/>
            <w:noWrap w:val="0"/>
            <w:vAlign w:val="center"/>
          </w:tcPr>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可以从重处罚的情形</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1．两年内因同类环境违法行为被处罚3次（含3次）以上的；</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2．重污染天气预警期间超标排放大气污染物的；</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3．在案件查处中对执法人员进行威胁、辱骂、殴打、恐吓或者打击报复的；</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4．环境违法行为造成跨行政区域环境污染的；</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5．环境违法行为引起不良社会反响的；</w:t>
            </w:r>
          </w:p>
          <w:p>
            <w:pPr>
              <w:spacing w:line="232" w:lineRule="exact"/>
              <w:textAlignment w:val="center"/>
              <w:rPr>
                <w:rFonts w:ascii="宋体" w:hAnsi="宋体" w:eastAsia="宋体" w:cs="仿宋_GB2312"/>
                <w:sz w:val="15"/>
                <w:szCs w:val="15"/>
              </w:rPr>
            </w:pPr>
            <w:r>
              <w:rPr>
                <w:rFonts w:hint="eastAsia" w:ascii="宋体" w:hAnsi="宋体" w:eastAsia="宋体" w:cs="仿宋_GB2312"/>
                <w:sz w:val="15"/>
                <w:szCs w:val="15"/>
              </w:rPr>
              <w:t>6．其他具有从重情节的。</w:t>
            </w: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3" w:hRule="atLeast"/>
        </w:trPr>
        <w:tc>
          <w:tcPr>
            <w:tcW w:w="14329" w:type="dxa"/>
            <w:gridSpan w:val="15"/>
            <w:noWrap w:val="0"/>
            <w:vAlign w:val="center"/>
          </w:tcPr>
          <w:p>
            <w:pPr>
              <w:pStyle w:val="2"/>
              <w:bidi w:val="0"/>
              <w:rPr>
                <w:rFonts w:hint="eastAsia"/>
                <w:sz w:val="21"/>
                <w:szCs w:val="21"/>
              </w:rPr>
            </w:pPr>
            <w:bookmarkStart w:id="201" w:name="_Toc110851503"/>
            <w:bookmarkStart w:id="202" w:name="_Toc1112894806"/>
            <w:bookmarkStart w:id="203" w:name="_Toc1642327804"/>
            <w:bookmarkStart w:id="204" w:name="_Toc2083203269"/>
            <w:r>
              <w:rPr>
                <w:rFonts w:hint="eastAsia"/>
                <w:sz w:val="21"/>
                <w:szCs w:val="21"/>
              </w:rPr>
              <w:t>水务管理方面</w:t>
            </w:r>
            <w:r>
              <w:rPr>
                <w:rFonts w:hint="eastAsia"/>
                <w:sz w:val="21"/>
                <w:szCs w:val="21"/>
                <w:lang w:val="en-US" w:eastAsia="zh-CN"/>
              </w:rPr>
              <w:t>19</w:t>
            </w:r>
            <w:r>
              <w:rPr>
                <w:rFonts w:hint="eastAsia"/>
                <w:sz w:val="21"/>
                <w:szCs w:val="21"/>
              </w:rPr>
              <w:t>项</w:t>
            </w:r>
            <w:bookmarkEnd w:id="201"/>
            <w:bookmarkEnd w:id="202"/>
            <w:bookmarkEnd w:id="203"/>
            <w:bookmarkEnd w:id="204"/>
          </w:p>
          <w:p>
            <w:pPr>
              <w:rPr>
                <w:rFonts w:hint="eastAsia"/>
              </w:rPr>
            </w:pPr>
          </w:p>
          <w:p>
            <w:pPr>
              <w:rPr>
                <w:rFonts w:hint="eastAsia" w:eastAsia="宋体"/>
                <w:lang w:eastAsia="zh-CN"/>
              </w:rPr>
            </w:pPr>
            <w:r>
              <w:rPr>
                <w:rFonts w:hint="eastAsia" w:ascii="宋体" w:hAnsi="宋体" w:eastAsia="宋体"/>
                <w:sz w:val="15"/>
                <w:szCs w:val="15"/>
                <w:lang w:eastAsia="zh-CN"/>
              </w:rPr>
              <w:t>《北京市水务局关于印发</w:t>
            </w:r>
            <w:r>
              <w:rPr>
                <w:rFonts w:hint="default" w:ascii="宋体" w:hAnsi="宋体"/>
                <w:sz w:val="15"/>
                <w:szCs w:val="15"/>
                <w:lang w:val="en-US" w:eastAsia="zh-CN"/>
              </w:rPr>
              <w:t>&lt;</w:t>
            </w:r>
            <w:r>
              <w:rPr>
                <w:rFonts w:hint="eastAsia" w:ascii="宋体" w:hAnsi="宋体" w:eastAsia="宋体"/>
                <w:sz w:val="15"/>
                <w:szCs w:val="15"/>
                <w:lang w:eastAsia="zh-CN"/>
              </w:rPr>
              <w:t>北京市常用水行政处罚裁量基准表</w:t>
            </w:r>
            <w:r>
              <w:rPr>
                <w:rFonts w:hint="default" w:ascii="宋体" w:hAnsi="宋体"/>
                <w:sz w:val="15"/>
                <w:szCs w:val="15"/>
                <w:lang w:val="en-US" w:eastAsia="zh-CN"/>
              </w:rPr>
              <w:t>&gt;</w:t>
            </w:r>
            <w:r>
              <w:rPr>
                <w:rFonts w:hint="eastAsia" w:ascii="宋体" w:hAnsi="宋体" w:eastAsia="宋体"/>
                <w:sz w:val="15"/>
                <w:szCs w:val="15"/>
                <w:lang w:eastAsia="zh-CN"/>
              </w:rPr>
              <w:t>的通知》</w:t>
            </w:r>
            <w:r>
              <w:rPr>
                <w:rFonts w:hint="eastAsia" w:ascii="宋体" w:hAnsi="宋体"/>
                <w:sz w:val="15"/>
                <w:szCs w:val="15"/>
                <w:lang w:eastAsia="zh-CN"/>
              </w:rPr>
              <w:t>（京水务法〔2023〕12号）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28"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w:t>
            </w:r>
          </w:p>
        </w:tc>
        <w:tc>
          <w:tcPr>
            <w:tcW w:w="1500" w:type="dxa"/>
            <w:gridSpan w:val="2"/>
            <w:noWrap w:val="0"/>
            <w:vAlign w:val="center"/>
          </w:tcPr>
          <w:p>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向雨水收集口、雨水管道排放或者倾倒污水、污物和垃圾等废弃物</w:t>
            </w:r>
          </w:p>
        </w:tc>
        <w:tc>
          <w:tcPr>
            <w:tcW w:w="2789" w:type="dxa"/>
            <w:gridSpan w:val="2"/>
            <w:noWrap w:val="0"/>
            <w:vAlign w:val="center"/>
          </w:tcPr>
          <w:p>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《北京市水污染防治条例》</w:t>
            </w:r>
          </w:p>
          <w:p>
            <w:pPr>
              <w:spacing w:line="232" w:lineRule="exact"/>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违反条款：第三十九条第二款；处罚条款：第八十六条，责令停止违法行为，对个人处一千元以上一万元以下的罚款；对单位处一万元以上十万元以下的罚款。</w:t>
            </w:r>
          </w:p>
        </w:tc>
        <w:tc>
          <w:tcPr>
            <w:tcW w:w="5784" w:type="dxa"/>
            <w:gridSpan w:val="3"/>
            <w:noWrap w:val="0"/>
            <w:vAlign w:val="center"/>
          </w:tcPr>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对单位：倾倒少量生活污水的，1万≤罚款额≤3万；排放或者倾倒污水污物和垃圾等废弃物，3万＜罚款额≤6</w:t>
            </w:r>
            <w:r>
              <w:rPr>
                <w:rFonts w:hint="eastAsia" w:ascii="宋体" w:hAnsi="宋体" w:eastAsia="宋体" w:cs="仿宋_GB2312"/>
                <w:color w:val="000000"/>
                <w:kern w:val="0"/>
                <w:sz w:val="15"/>
                <w:szCs w:val="15"/>
                <w:lang w:bidi="ar"/>
              </w:rPr>
              <w:tab/>
            </w:r>
            <w:r>
              <w:rPr>
                <w:rFonts w:hint="eastAsia" w:ascii="宋体" w:hAnsi="宋体" w:eastAsia="宋体" w:cs="仿宋_GB2312"/>
                <w:color w:val="000000"/>
                <w:kern w:val="0"/>
                <w:sz w:val="15"/>
                <w:szCs w:val="15"/>
                <w:lang w:bidi="ar"/>
              </w:rPr>
              <w:t>万；排放或者倾倒污水污物和垃圾等废弃物，情节严重的，6万＜罚款额≤10万。</w:t>
            </w:r>
          </w:p>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对个人：倾倒少量生活污水的，0.1万≤罚款额≤0.3万；排放或者倾倒污水污物和垃圾等废弃物，0.3万＜罚款额≤0.6万；</w:t>
            </w:r>
            <w:r>
              <w:rPr>
                <w:rFonts w:hint="eastAsia" w:ascii="宋体" w:hAnsi="宋体" w:eastAsia="宋体" w:cs="仿宋_GB2312"/>
                <w:color w:val="000000"/>
                <w:kern w:val="0"/>
                <w:sz w:val="15"/>
                <w:szCs w:val="15"/>
                <w:lang w:bidi="ar"/>
              </w:rPr>
              <w:tab/>
            </w:r>
            <w:r>
              <w:rPr>
                <w:rFonts w:hint="eastAsia" w:ascii="宋体" w:hAnsi="宋体" w:eastAsia="宋体" w:cs="仿宋_GB2312"/>
                <w:color w:val="000000"/>
                <w:kern w:val="0"/>
                <w:sz w:val="15"/>
                <w:szCs w:val="15"/>
                <w:lang w:bidi="ar"/>
              </w:rPr>
              <w:t>排放或者倾倒污水污物和垃圾等废弃物，情节严重的，0.6万＜罚款额≤1万。</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40"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2</w:t>
            </w:r>
          </w:p>
        </w:tc>
        <w:tc>
          <w:tcPr>
            <w:tcW w:w="1500" w:type="dxa"/>
            <w:gridSpan w:val="2"/>
            <w:noWrap w:val="0"/>
            <w:vAlign w:val="center"/>
          </w:tcPr>
          <w:p>
            <w:pPr>
              <w:spacing w:line="232" w:lineRule="exact"/>
              <w:textAlignment w:val="center"/>
              <w:rPr>
                <w:rFonts w:ascii="宋体" w:hAnsi="宋体" w:eastAsia="宋体"/>
                <w:kern w:val="0"/>
                <w:sz w:val="15"/>
                <w:szCs w:val="15"/>
              </w:rPr>
            </w:pPr>
            <w:r>
              <w:rPr>
                <w:rFonts w:hint="eastAsia" w:ascii="宋体" w:hAnsi="宋体" w:eastAsia="宋体"/>
                <w:sz w:val="15"/>
                <w:szCs w:val="15"/>
              </w:rPr>
              <w:t>擅自倾倒、堆放、丢弃、遗撒污泥</w:t>
            </w:r>
          </w:p>
        </w:tc>
        <w:tc>
          <w:tcPr>
            <w:tcW w:w="2789" w:type="dxa"/>
            <w:gridSpan w:val="2"/>
            <w:noWrap w:val="0"/>
            <w:vAlign w:val="center"/>
          </w:tcPr>
          <w:p>
            <w:pPr>
              <w:spacing w:line="190" w:lineRule="exact"/>
              <w:textAlignment w:val="center"/>
              <w:rPr>
                <w:rFonts w:ascii="宋体" w:hAnsi="宋体" w:eastAsia="宋体"/>
                <w:kern w:val="0"/>
                <w:sz w:val="15"/>
                <w:szCs w:val="15"/>
              </w:rPr>
            </w:pPr>
            <w:r>
              <w:rPr>
                <w:rFonts w:hint="eastAsia" w:ascii="宋体" w:hAnsi="宋体" w:eastAsia="宋体"/>
                <w:sz w:val="15"/>
                <w:szCs w:val="15"/>
              </w:rPr>
              <w:t>《城镇排水与污水处理条例</w:t>
            </w:r>
            <w:r>
              <w:rPr>
                <w:rFonts w:hint="eastAsia" w:ascii="宋体" w:hAnsi="宋体" w:eastAsia="宋体"/>
                <w:spacing w:val="-4"/>
                <w:sz w:val="15"/>
                <w:szCs w:val="15"/>
              </w:rPr>
              <w:t>》违反条款：第三十条；处罚条款：第五十三条第二款，责令停止违法行为，限期采取治理措施，给予警告；造成严重后果的，对单位处10万元以上50万元以下罚款，对个人处2万元以上10万元以下罚款；逾期不采取治理措施的，城镇排水主管部门可以指定有治理能力的单位代为治理，所需费用由当事人承担；造成损失的，依法承担赔偿责任。</w:t>
            </w:r>
            <w:r>
              <w:rPr>
                <w:rFonts w:hint="eastAsia" w:ascii="宋体" w:hAnsi="宋体" w:eastAsia="宋体"/>
                <w:sz w:val="15"/>
                <w:szCs w:val="15"/>
              </w:rPr>
              <w:br w:type="textWrapping"/>
            </w:r>
            <w:r>
              <w:rPr>
                <w:rFonts w:hint="eastAsia" w:ascii="宋体" w:hAnsi="宋体" w:eastAsia="宋体"/>
                <w:sz w:val="15"/>
                <w:szCs w:val="15"/>
              </w:rPr>
              <w:t>《中华人民共和国固体废物污染环境防治法》违反条款：第七十二条第一款；处罚条款：第一百零八条第二款，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24"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3</w:t>
            </w:r>
          </w:p>
        </w:tc>
        <w:tc>
          <w:tcPr>
            <w:tcW w:w="1500" w:type="dxa"/>
            <w:gridSpan w:val="2"/>
            <w:noWrap w:val="0"/>
            <w:vAlign w:val="center"/>
          </w:tcPr>
          <w:p>
            <w:pPr>
              <w:spacing w:line="232" w:lineRule="exact"/>
              <w:textAlignment w:val="center"/>
              <w:rPr>
                <w:rFonts w:ascii="宋体" w:hAnsi="宋体" w:eastAsia="宋体"/>
                <w:sz w:val="15"/>
                <w:szCs w:val="15"/>
              </w:rPr>
            </w:pPr>
            <w:r>
              <w:rPr>
                <w:rFonts w:hint="eastAsia" w:ascii="宋体" w:hAnsi="宋体" w:eastAsia="宋体"/>
                <w:sz w:val="15"/>
                <w:szCs w:val="15"/>
              </w:rPr>
              <w:t>因巡查、维护不到位，导致窨井盖丢失、损毁，造成人员伤亡和财产损失</w:t>
            </w:r>
          </w:p>
        </w:tc>
        <w:tc>
          <w:tcPr>
            <w:tcW w:w="2789" w:type="dxa"/>
            <w:gridSpan w:val="2"/>
            <w:noWrap w:val="0"/>
            <w:vAlign w:val="center"/>
          </w:tcPr>
          <w:p>
            <w:pPr>
              <w:spacing w:line="232" w:lineRule="exact"/>
              <w:textAlignment w:val="center"/>
              <w:rPr>
                <w:rFonts w:ascii="宋体" w:hAnsi="宋体" w:eastAsia="宋体"/>
                <w:sz w:val="15"/>
                <w:szCs w:val="15"/>
              </w:rPr>
            </w:pPr>
            <w:r>
              <w:rPr>
                <w:rFonts w:hint="eastAsia" w:ascii="宋体" w:hAnsi="宋体" w:eastAsia="宋体"/>
                <w:sz w:val="15"/>
                <w:szCs w:val="15"/>
              </w:rPr>
              <w:t>《城镇排水与污水处理条例》违反条款：第三十八条第一款；处罚条款：第五十五条第一款第（三）项，责令改正，给予警告；逾期不改正或者造成严重后果的，处10万元以上50万元以下罚款；造成损失的，依法承担赔偿责任；构成犯罪的，依法追究刑事责任。</w:t>
            </w:r>
          </w:p>
        </w:tc>
        <w:tc>
          <w:tcPr>
            <w:tcW w:w="5784" w:type="dxa"/>
            <w:gridSpan w:val="3"/>
            <w:noWrap w:val="0"/>
            <w:vAlign w:val="center"/>
          </w:tcPr>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逾期不改正，但未造成其他严重后果的，10万≤罚款额≤30万；</w:t>
            </w:r>
          </w:p>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造成财产损失的，30万＜罚款额≤40万；</w:t>
            </w:r>
          </w:p>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造成人员伤亡的，40万＜罚款额≤50万</w:t>
            </w:r>
            <w:r>
              <w:rPr>
                <w:rFonts w:ascii="宋体" w:hAnsi="宋体" w:eastAsia="宋体" w:cs="仿宋_GB2312"/>
                <w:color w:val="000000"/>
                <w:kern w:val="0"/>
                <w:sz w:val="15"/>
                <w:szCs w:val="15"/>
                <w:lang w:bidi="ar"/>
              </w:rPr>
              <w:t>。</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4</w:t>
            </w:r>
          </w:p>
        </w:tc>
        <w:tc>
          <w:tcPr>
            <w:tcW w:w="1500" w:type="dxa"/>
            <w:gridSpan w:val="2"/>
            <w:noWrap w:val="0"/>
            <w:vAlign w:val="center"/>
          </w:tcPr>
          <w:p>
            <w:pPr>
              <w:spacing w:line="232" w:lineRule="exact"/>
              <w:textAlignment w:val="center"/>
              <w:rPr>
                <w:rFonts w:ascii="宋体" w:hAnsi="宋体" w:eastAsia="宋体"/>
                <w:sz w:val="15"/>
                <w:szCs w:val="15"/>
              </w:rPr>
            </w:pPr>
            <w:r>
              <w:rPr>
                <w:rFonts w:hint="eastAsia" w:ascii="宋体" w:hAnsi="宋体" w:eastAsia="宋体"/>
                <w:sz w:val="15"/>
                <w:szCs w:val="15"/>
              </w:rPr>
              <w:t>在河湖管理范围、保护范围内围河、挖筑鱼塘、挖坑开槽、勘探或者设立线杆、线塔、无线通信塔、标识</w:t>
            </w:r>
          </w:p>
        </w:tc>
        <w:tc>
          <w:tcPr>
            <w:tcW w:w="2789" w:type="dxa"/>
            <w:gridSpan w:val="2"/>
            <w:noWrap w:val="0"/>
            <w:vAlign w:val="center"/>
          </w:tcPr>
          <w:p>
            <w:pPr>
              <w:spacing w:line="216" w:lineRule="exact"/>
              <w:textAlignment w:val="center"/>
              <w:rPr>
                <w:rFonts w:ascii="宋体" w:hAnsi="宋体" w:eastAsia="宋体"/>
                <w:sz w:val="15"/>
                <w:szCs w:val="15"/>
              </w:rPr>
            </w:pPr>
            <w:r>
              <w:rPr>
                <w:rFonts w:hint="eastAsia" w:ascii="宋体" w:hAnsi="宋体" w:eastAsia="宋体"/>
                <w:sz w:val="15"/>
                <w:szCs w:val="15"/>
              </w:rPr>
              <w:t>《北京市河湖保护管理条例》违反条款：第二十条第一款第（二）项；处罚条款：第三十九条第（一）项，责令停止违法行为，限期补办行政许可手续，处1万元以上5万元以下的罚款；逾期未能取得行政许可手续的，责令限期恢复原状，赔偿损失或者采取补救措施。逾期不恢复原状的，按程序依法强制清除，所需费用由当事人承担。</w:t>
            </w:r>
          </w:p>
        </w:tc>
        <w:tc>
          <w:tcPr>
            <w:tcW w:w="5784" w:type="dxa"/>
            <w:gridSpan w:val="3"/>
            <w:noWrap w:val="0"/>
            <w:vAlign w:val="center"/>
          </w:tcPr>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在保护范围内，1万≤罚款额≤3万；</w:t>
            </w:r>
          </w:p>
          <w:p>
            <w:pPr>
              <w:pStyle w:val="22"/>
              <w:spacing w:after="0" w:line="232" w:lineRule="exact"/>
              <w:ind w:left="0" w:leftChars="0" w:firstLine="0" w:firstLineChars="0"/>
              <w:textAlignment w:val="center"/>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在管理范围内，3万＜罚款额≤5万</w:t>
            </w:r>
            <w:r>
              <w:rPr>
                <w:rFonts w:ascii="宋体" w:hAnsi="宋体" w:eastAsia="宋体" w:cs="仿宋_GB2312"/>
                <w:color w:val="000000"/>
                <w:kern w:val="0"/>
                <w:sz w:val="15"/>
                <w:szCs w:val="15"/>
                <w:lang w:bidi="ar"/>
              </w:rPr>
              <w:t>。</w:t>
            </w:r>
          </w:p>
        </w:tc>
        <w:tc>
          <w:tcPr>
            <w:tcW w:w="2108" w:type="dxa"/>
            <w:gridSpan w:val="4"/>
            <w:noWrap w:val="0"/>
            <w:vAlign w:val="center"/>
          </w:tcPr>
          <w:p>
            <w:pPr>
              <w:spacing w:line="232" w:lineRule="exact"/>
              <w:rPr>
                <w:rFonts w:ascii="宋体" w:hAnsi="宋体" w:eastAsia="宋体" w:cs="仿宋_GB2312"/>
                <w:sz w:val="15"/>
                <w:szCs w:val="15"/>
              </w:rPr>
            </w:pPr>
            <w:r>
              <w:rPr>
                <w:rFonts w:hint="eastAsia" w:ascii="宋体" w:hAnsi="宋体" w:eastAsia="宋体" w:cs="仿宋_GB2312"/>
                <w:sz w:val="15"/>
                <w:szCs w:val="15"/>
              </w:rPr>
              <w:t>备注：危害活动同时涉及管理范围和保护范围的，按在管理范围内确定罚款额。</w:t>
            </w: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5</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在河湖管理范围、保护范围内设置固定停车场所</w:t>
            </w:r>
          </w:p>
        </w:tc>
        <w:tc>
          <w:tcPr>
            <w:tcW w:w="2789" w:type="dxa"/>
            <w:gridSpan w:val="2"/>
            <w:noWrap w:val="0"/>
            <w:vAlign w:val="center"/>
          </w:tcPr>
          <w:p>
            <w:pPr>
              <w:spacing w:line="216" w:lineRule="exact"/>
              <w:rPr>
                <w:rFonts w:ascii="宋体" w:hAnsi="宋体" w:eastAsia="宋体"/>
                <w:sz w:val="15"/>
                <w:szCs w:val="15"/>
              </w:rPr>
            </w:pPr>
            <w:r>
              <w:rPr>
                <w:rFonts w:hint="eastAsia" w:ascii="宋体" w:hAnsi="宋体" w:eastAsia="宋体"/>
                <w:sz w:val="15"/>
                <w:szCs w:val="15"/>
              </w:rPr>
              <w:t>《北京市河湖保护管理条例》违反条款：第二十条第一款第（三）项；处罚条款：第三十九条第（二）项，责令停止违法行为，限期补办行政许可手续，处5万元以下的罚款；逾期未能取得行政许可手续的，责令限期恢复原状，赔偿损失或者采取补救措施。逾期不恢复原状的，按程序依法强制清除，所需费用由当事人承担。</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6</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在河湖管理范围、保护范围内修路，或者修建园林小品、管理房及其附属设施</w:t>
            </w:r>
          </w:p>
        </w:tc>
        <w:tc>
          <w:tcPr>
            <w:tcW w:w="2789" w:type="dxa"/>
            <w:gridSpan w:val="2"/>
            <w:noWrap w:val="0"/>
            <w:vAlign w:val="center"/>
          </w:tcPr>
          <w:p>
            <w:pPr>
              <w:spacing w:line="204" w:lineRule="exact"/>
              <w:rPr>
                <w:rFonts w:ascii="宋体" w:hAnsi="宋体" w:eastAsia="宋体"/>
                <w:sz w:val="15"/>
                <w:szCs w:val="15"/>
              </w:rPr>
            </w:pPr>
            <w:r>
              <w:rPr>
                <w:rFonts w:hint="eastAsia" w:ascii="宋体" w:hAnsi="宋体" w:eastAsia="宋体"/>
                <w:sz w:val="15"/>
                <w:szCs w:val="15"/>
              </w:rPr>
              <w:t>《北京市河湖保护管理条例》违反条款：第二十条第一款第（四）项；处罚条款：第三十九条第（三）项，责令停止违法行为，限期补办行政许可手续，处1万元以上10万元以下的罚款；逾期未能取得行政许可手续的，责令限期恢复原状，赔偿损失或者采取补救措施。逾期不恢复原状的，按程序依法强制清除，所需费用由当事人承担。</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7</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在河湖管理范围、保护范围内进行河道改线、开挖人工湖泊</w:t>
            </w:r>
          </w:p>
        </w:tc>
        <w:tc>
          <w:tcPr>
            <w:tcW w:w="2789" w:type="dxa"/>
            <w:gridSpan w:val="2"/>
            <w:noWrap w:val="0"/>
            <w:vAlign w:val="center"/>
          </w:tcPr>
          <w:p>
            <w:pPr>
              <w:spacing w:line="204" w:lineRule="exact"/>
              <w:rPr>
                <w:rFonts w:ascii="宋体" w:hAnsi="宋体" w:eastAsia="宋体"/>
                <w:sz w:val="15"/>
                <w:szCs w:val="15"/>
              </w:rPr>
            </w:pPr>
            <w:r>
              <w:rPr>
                <w:rFonts w:hint="eastAsia" w:ascii="宋体" w:hAnsi="宋体" w:eastAsia="宋体"/>
                <w:sz w:val="15"/>
                <w:szCs w:val="15"/>
              </w:rPr>
              <w:t>《北京市河湖保护管理条例》违反条款：第二十条第三款；处罚条款：第三十九条第（五）项：责令停止违法行为，限期补办行政许可手续，处1万元以上5万元以下的罚款；逾期未能取得行政许可手续的，责令限期恢复原状，赔偿损失或者采取补救措施。逾期不恢复原状的，按程序依法强制清除，所需费用由当事人承担。</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8</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毁坏或者拆除保护名录中的水工建筑物、构筑物、遗址</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《北京市河湖保护管理条例》违反条款：第二十四条第二款；处罚条款：第四十二条，责令其停止违法行为，限期恢复原状，处10万元以上50万元以下的罚款。</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9</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开展水上旅游项目或者其他利用活动时使用以柴油、汽油为动力的游船</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《北京市河湖保护管理条例》违反条款：第三十一条第一款；处罚条款：第四十四条第一款，责令停止违法行为，限期改正，处8000元以上8万元以下的罚款；造成损失的，依法赔偿损失或者采取补救措施。</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34"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10</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未经批准擅自利用河湖进行开发利用活动</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《北京市河湖保护管理条例》违反条款：第三十一条第二款；处罚条款：第四十四条第二款，责令停止违法行为，限期改正，处2万元以上10万元以下的罚款。</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11</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在地表饮用水水源一级保护区的水域内垂钓</w:t>
            </w:r>
          </w:p>
        </w:tc>
        <w:tc>
          <w:tcPr>
            <w:tcW w:w="2789" w:type="dxa"/>
            <w:gridSpan w:val="2"/>
            <w:noWrap w:val="0"/>
            <w:vAlign w:val="center"/>
          </w:tcPr>
          <w:p>
            <w:pPr>
              <w:spacing w:line="212" w:lineRule="exact"/>
              <w:rPr>
                <w:rFonts w:ascii="宋体" w:hAnsi="宋体" w:eastAsia="宋体"/>
                <w:spacing w:val="-4"/>
                <w:sz w:val="15"/>
                <w:szCs w:val="15"/>
              </w:rPr>
            </w:pPr>
            <w:r>
              <w:rPr>
                <w:rFonts w:hint="eastAsia" w:ascii="宋体" w:hAnsi="宋体" w:eastAsia="宋体"/>
                <w:spacing w:val="-4"/>
                <w:sz w:val="15"/>
                <w:szCs w:val="15"/>
              </w:rPr>
              <w:t xml:space="preserve">《北京市水污染防治条例》违反条款：第五十七条第二款；处罚条款：第八十条第二款，责令停止违法行为，并可以处五百元以下的罚款。                                                                            </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12</w:t>
            </w:r>
          </w:p>
        </w:tc>
        <w:tc>
          <w:tcPr>
            <w:tcW w:w="1500" w:type="dxa"/>
            <w:gridSpan w:val="2"/>
            <w:noWrap w:val="0"/>
            <w:vAlign w:val="center"/>
          </w:tcPr>
          <w:p>
            <w:pPr>
              <w:spacing w:line="212" w:lineRule="exact"/>
              <w:rPr>
                <w:rFonts w:ascii="宋体" w:hAnsi="宋体" w:eastAsia="宋体"/>
                <w:sz w:val="15"/>
                <w:szCs w:val="15"/>
              </w:rPr>
            </w:pPr>
            <w:r>
              <w:rPr>
                <w:rFonts w:hint="eastAsia" w:ascii="宋体" w:hAnsi="宋体" w:eastAsia="宋体"/>
                <w:sz w:val="15"/>
                <w:szCs w:val="15"/>
              </w:rPr>
              <w:t>在堤防和护堤地，从事放牧、葬坟、晒粮、开渠、打井、挖窖、取土、存放物料、开办集市贸易、开采地下资源、进行考古发掘等活动</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 xml:space="preserve">《北京市河湖保护管理条例》违反条款：第十九条第（六）项；处罚条款：第三十八条，责令停止违法行为，排除阻碍或者采取其他补救措施，可以处5万元以下罚款，有违法所得的，没收违法所得。                                     </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13</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在堤防上及大型渠道内垦</w:t>
            </w:r>
            <w:r>
              <w:rPr>
                <w:rFonts w:hint="eastAsia" w:ascii="宋体" w:hAnsi="宋体" w:eastAsia="宋体"/>
                <w:sz w:val="15"/>
                <w:szCs w:val="15"/>
                <w:lang w:eastAsia="zh-CN"/>
              </w:rPr>
              <w:t>殖</w:t>
            </w:r>
            <w:r>
              <w:rPr>
                <w:rFonts w:hint="eastAsia" w:ascii="宋体" w:hAnsi="宋体" w:eastAsia="宋体"/>
                <w:sz w:val="15"/>
                <w:szCs w:val="15"/>
              </w:rPr>
              <w:t>、放牧</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《北京市水利工程保护管理条例》违反条款：第九条第（七）项；处罚条款：第二十一条第（四）项，除责令纠正违法行为、赔偿损失、采取补救措施外，并可以处警告、200元以下罚款。在堤坝及大型渠道垦</w:t>
            </w:r>
            <w:r>
              <w:rPr>
                <w:rFonts w:hint="eastAsia" w:ascii="宋体" w:hAnsi="宋体" w:eastAsia="宋体"/>
                <w:sz w:val="15"/>
                <w:szCs w:val="15"/>
                <w:lang w:eastAsia="zh-CN"/>
              </w:rPr>
              <w:t>殖</w:t>
            </w:r>
            <w:r>
              <w:rPr>
                <w:rFonts w:hint="eastAsia" w:ascii="宋体" w:hAnsi="宋体" w:eastAsia="宋体"/>
                <w:sz w:val="15"/>
                <w:szCs w:val="15"/>
              </w:rPr>
              <w:t xml:space="preserve">的，还应令其恢复地貌。 </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8"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14</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在河道、湖泊管理范围内倾倒垃圾、渣土从事影响河势稳定、危害河岸堤防安全和其他妨碍河道行洪的活动</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 xml:space="preserve">《中华人民共和国防洪法》违反条款：第二十二条第二款；处罚条款：第五十五条第（二）项，责令停止违法行为，排除阻碍或者采取其他补救措施，可以处五万元以下的罚款。                                                                  </w:t>
            </w:r>
            <w:r>
              <w:rPr>
                <w:rFonts w:hint="eastAsia" w:ascii="宋体" w:hAnsi="宋体" w:eastAsia="宋体"/>
                <w:sz w:val="15"/>
                <w:szCs w:val="15"/>
              </w:rPr>
              <w:br w:type="textWrapping"/>
            </w:r>
            <w:r>
              <w:rPr>
                <w:rFonts w:hint="eastAsia" w:ascii="宋体" w:hAnsi="宋体" w:eastAsia="宋体"/>
                <w:sz w:val="15"/>
                <w:szCs w:val="15"/>
              </w:rPr>
              <w:t>《北京市水利工程保护管理条例》违反条款：第九条第（三）项；处罚条款：第二十一条第（二）项，责令排除阻碍或者采取其他补救措施，可以处5万元以下罚款。</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倾倒量≤5m</w:t>
            </w:r>
            <w:r>
              <w:rPr>
                <w:rFonts w:ascii="宋体" w:hAnsi="宋体" w:eastAsia="宋体" w:cs="Calibri"/>
                <w:color w:val="000000"/>
                <w:kern w:val="0"/>
                <w:sz w:val="15"/>
                <w:szCs w:val="15"/>
                <w:lang w:bidi="ar"/>
              </w:rPr>
              <w:t>³</w:t>
            </w:r>
            <w:r>
              <w:rPr>
                <w:rFonts w:hint="eastAsia" w:ascii="宋体" w:hAnsi="宋体" w:eastAsia="宋体" w:cs="Calibri"/>
                <w:color w:val="000000"/>
                <w:kern w:val="0"/>
                <w:sz w:val="15"/>
                <w:szCs w:val="15"/>
                <w:lang w:bidi="ar"/>
              </w:rPr>
              <w:t>，罚款额≤1万；5m</w:t>
            </w:r>
            <w:r>
              <w:rPr>
                <w:rFonts w:ascii="宋体" w:hAnsi="宋体" w:eastAsia="宋体" w:cs="Calibri"/>
                <w:color w:val="000000"/>
                <w:kern w:val="0"/>
                <w:sz w:val="15"/>
                <w:szCs w:val="15"/>
                <w:lang w:bidi="ar"/>
              </w:rPr>
              <w:t>³</w:t>
            </w:r>
            <w:r>
              <w:rPr>
                <w:rFonts w:hint="eastAsia" w:ascii="宋体" w:hAnsi="宋体" w:eastAsia="宋体" w:cs="仿宋_GB2312"/>
                <w:color w:val="000000"/>
                <w:kern w:val="0"/>
                <w:sz w:val="15"/>
                <w:szCs w:val="15"/>
                <w:lang w:bidi="ar"/>
              </w:rPr>
              <w:t>＜</w:t>
            </w:r>
            <w:r>
              <w:rPr>
                <w:rFonts w:hint="eastAsia" w:ascii="宋体" w:hAnsi="宋体" w:eastAsia="宋体" w:cs="Calibri"/>
                <w:color w:val="000000"/>
                <w:kern w:val="0"/>
                <w:sz w:val="15"/>
                <w:szCs w:val="15"/>
                <w:lang w:bidi="ar"/>
              </w:rPr>
              <w:t>倾倒量≤10m</w:t>
            </w:r>
            <w:r>
              <w:rPr>
                <w:rFonts w:ascii="宋体" w:hAnsi="宋体" w:eastAsia="宋体" w:cs="Calibri"/>
                <w:color w:val="000000"/>
                <w:kern w:val="0"/>
                <w:sz w:val="15"/>
                <w:szCs w:val="15"/>
                <w:lang w:bidi="ar"/>
              </w:rPr>
              <w:t>³</w:t>
            </w:r>
            <w:r>
              <w:rPr>
                <w:rFonts w:hint="eastAsia" w:ascii="宋体" w:hAnsi="宋体" w:eastAsia="宋体" w:cs="Calibri"/>
                <w:color w:val="000000"/>
                <w:kern w:val="0"/>
                <w:sz w:val="15"/>
                <w:szCs w:val="15"/>
                <w:lang w:bidi="ar"/>
              </w:rPr>
              <w:t>，1万＜罚款额≤2万；10m</w:t>
            </w:r>
            <w:r>
              <w:rPr>
                <w:rFonts w:ascii="宋体" w:hAnsi="宋体" w:eastAsia="宋体" w:cs="Calibri"/>
                <w:color w:val="000000"/>
                <w:kern w:val="0"/>
                <w:sz w:val="15"/>
                <w:szCs w:val="15"/>
                <w:lang w:bidi="ar"/>
              </w:rPr>
              <w:t>³</w:t>
            </w:r>
            <w:r>
              <w:rPr>
                <w:rFonts w:hint="eastAsia" w:ascii="宋体" w:hAnsi="宋体" w:eastAsia="宋体" w:cs="仿宋_GB2312"/>
                <w:color w:val="000000"/>
                <w:kern w:val="0"/>
                <w:sz w:val="15"/>
                <w:szCs w:val="15"/>
                <w:lang w:bidi="ar"/>
              </w:rPr>
              <w:t>＜</w:t>
            </w:r>
            <w:r>
              <w:rPr>
                <w:rFonts w:hint="eastAsia" w:ascii="宋体" w:hAnsi="宋体" w:eastAsia="宋体" w:cs="Calibri"/>
                <w:color w:val="000000"/>
                <w:kern w:val="0"/>
                <w:sz w:val="15"/>
                <w:szCs w:val="15"/>
                <w:lang w:bidi="ar"/>
              </w:rPr>
              <w:t>倾倒量≤20m</w:t>
            </w:r>
            <w:r>
              <w:rPr>
                <w:rFonts w:ascii="宋体" w:hAnsi="宋体" w:eastAsia="宋体" w:cs="Calibri"/>
                <w:color w:val="000000"/>
                <w:kern w:val="0"/>
                <w:sz w:val="15"/>
                <w:szCs w:val="15"/>
                <w:lang w:bidi="ar"/>
              </w:rPr>
              <w:t>³</w:t>
            </w:r>
            <w:r>
              <w:rPr>
                <w:rFonts w:hint="eastAsia" w:ascii="宋体" w:hAnsi="宋体" w:eastAsia="宋体" w:cs="Calibri"/>
                <w:color w:val="000000"/>
                <w:kern w:val="0"/>
                <w:sz w:val="15"/>
                <w:szCs w:val="15"/>
                <w:lang w:bidi="ar"/>
              </w:rPr>
              <w:t>，2万＜罚款额≤3万；20m</w:t>
            </w:r>
            <w:r>
              <w:rPr>
                <w:rFonts w:ascii="宋体" w:hAnsi="宋体" w:eastAsia="宋体" w:cs="Calibri"/>
                <w:color w:val="000000"/>
                <w:kern w:val="0"/>
                <w:sz w:val="15"/>
                <w:szCs w:val="15"/>
                <w:lang w:bidi="ar"/>
              </w:rPr>
              <w:t>³</w:t>
            </w:r>
            <w:r>
              <w:rPr>
                <w:rFonts w:hint="eastAsia" w:ascii="宋体" w:hAnsi="宋体" w:eastAsia="宋体" w:cs="仿宋_GB2312"/>
                <w:color w:val="000000"/>
                <w:kern w:val="0"/>
                <w:sz w:val="15"/>
                <w:szCs w:val="15"/>
                <w:lang w:bidi="ar"/>
              </w:rPr>
              <w:t>＜</w:t>
            </w:r>
            <w:r>
              <w:rPr>
                <w:rFonts w:hint="eastAsia" w:ascii="宋体" w:hAnsi="宋体" w:eastAsia="宋体" w:cs="Calibri"/>
                <w:color w:val="000000"/>
                <w:kern w:val="0"/>
                <w:sz w:val="15"/>
                <w:szCs w:val="15"/>
                <w:lang w:bidi="ar"/>
              </w:rPr>
              <w:t>倾倒量，3万＜罚款额≤5万</w:t>
            </w:r>
            <w:r>
              <w:rPr>
                <w:rFonts w:ascii="宋体" w:hAnsi="宋体" w:eastAsia="宋体" w:cs="Calibri"/>
                <w:color w:val="000000"/>
                <w:kern w:val="0"/>
                <w:sz w:val="15"/>
                <w:szCs w:val="15"/>
                <w:lang w:bidi="ar"/>
              </w:rPr>
              <w:t>。</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26"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15</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在地表饮用水水源保护区和准保护区内、组织水上旅游或者其他可能污染饮用水水源活动</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《北京市水污染防治条例》违反条款：第六十条第一款第（一）项、第（二）项、第（三）项；第六十条第二款；处罚条款：第八十条第二款，责令停止违法行为，并处二万元以上十万元以下的罚款。</w:t>
            </w:r>
          </w:p>
        </w:tc>
        <w:tc>
          <w:tcPr>
            <w:tcW w:w="5784" w:type="dxa"/>
            <w:gridSpan w:val="3"/>
            <w:noWrap w:val="0"/>
            <w:vAlign w:val="center"/>
          </w:tcPr>
          <w:p>
            <w:pPr>
              <w:pStyle w:val="22"/>
              <w:spacing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2" w:hRule="atLeast"/>
        </w:trPr>
        <w:tc>
          <w:tcPr>
            <w:tcW w:w="940" w:type="dxa"/>
            <w:gridSpan w:val="2"/>
            <w:noWrap w:val="0"/>
            <w:vAlign w:val="center"/>
          </w:tcPr>
          <w:p>
            <w:pPr>
              <w:spacing w:line="232" w:lineRule="exact"/>
              <w:jc w:val="center"/>
              <w:rPr>
                <w:rFonts w:hint="default" w:ascii="宋体" w:hAnsi="宋体" w:eastAsia="宋体" w:cs="仿宋_GB2312"/>
                <w:kern w:val="0"/>
                <w:sz w:val="15"/>
                <w:szCs w:val="15"/>
                <w:lang w:val="en-US" w:eastAsia="zh-CN"/>
              </w:rPr>
            </w:pPr>
            <w:r>
              <w:rPr>
                <w:rFonts w:hint="eastAsia" w:ascii="宋体" w:hAnsi="宋体" w:cs="仿宋_GB2312"/>
                <w:kern w:val="0"/>
                <w:sz w:val="15"/>
                <w:szCs w:val="15"/>
                <w:lang w:val="en-US" w:eastAsia="zh-CN"/>
              </w:rPr>
              <w:t>16</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在生态清洁小流域范围内的沟道内私搭乱建、堆放物品</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《北京市水土保持条例》违反条款：第二十条第一款第（一）项；处罚条款：第三十六条，责令改正，对个人可处500元以上5000元以下罚款；对单位可处1万元以上10万元以下罚款。</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47" w:hRule="atLeast"/>
        </w:trPr>
        <w:tc>
          <w:tcPr>
            <w:tcW w:w="940" w:type="dxa"/>
            <w:gridSpan w:val="2"/>
            <w:noWrap w:val="0"/>
            <w:vAlign w:val="center"/>
          </w:tcPr>
          <w:p>
            <w:pPr>
              <w:spacing w:line="232" w:lineRule="exact"/>
              <w:jc w:val="center"/>
              <w:rPr>
                <w:rFonts w:hint="eastAsia" w:ascii="宋体" w:hAnsi="宋体" w:eastAsia="宋体" w:cs="仿宋_GB2312"/>
                <w:kern w:val="0"/>
                <w:sz w:val="15"/>
                <w:szCs w:val="15"/>
                <w:lang w:eastAsia="zh-CN"/>
              </w:rPr>
            </w:pPr>
            <w:r>
              <w:rPr>
                <w:rFonts w:hint="eastAsia" w:ascii="宋体" w:hAnsi="宋体" w:eastAsia="宋体" w:cs="仿宋_GB2312"/>
                <w:kern w:val="0"/>
                <w:sz w:val="15"/>
                <w:szCs w:val="15"/>
              </w:rPr>
              <w:t>1</w:t>
            </w:r>
            <w:r>
              <w:rPr>
                <w:rFonts w:hint="eastAsia" w:ascii="宋体" w:hAnsi="宋体" w:cs="仿宋_GB2312"/>
                <w:kern w:val="0"/>
                <w:sz w:val="15"/>
                <w:szCs w:val="15"/>
                <w:lang w:val="en-US" w:eastAsia="zh-CN"/>
              </w:rPr>
              <w:t>7</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在生态清洁小流域范围内随意取土、挖砂、倾倒垃圾、排放污水</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《北京市水土保持条例》违反条款：第二十条第一款第（二）项；处罚条款：第三十六条，责令改正，对个人可处500元以上5000元以下罚款；对单位可处1万元以上10万元以下罚款。</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71" w:hRule="atLeast"/>
        </w:trPr>
        <w:tc>
          <w:tcPr>
            <w:tcW w:w="940" w:type="dxa"/>
            <w:gridSpan w:val="2"/>
            <w:noWrap w:val="0"/>
            <w:vAlign w:val="center"/>
          </w:tcPr>
          <w:p>
            <w:pPr>
              <w:spacing w:line="232" w:lineRule="exact"/>
              <w:jc w:val="center"/>
              <w:rPr>
                <w:rFonts w:hint="default" w:ascii="宋体" w:hAnsi="宋体" w:eastAsia="宋体" w:cs="仿宋_GB2312"/>
                <w:kern w:val="0"/>
                <w:sz w:val="15"/>
                <w:szCs w:val="15"/>
                <w:lang w:val="en-US" w:eastAsia="zh-CN"/>
              </w:rPr>
            </w:pPr>
            <w:r>
              <w:rPr>
                <w:rFonts w:hint="eastAsia" w:ascii="宋体" w:hAnsi="宋体" w:cs="仿宋_GB2312"/>
                <w:kern w:val="0"/>
                <w:sz w:val="15"/>
                <w:szCs w:val="15"/>
                <w:lang w:val="en-US" w:eastAsia="zh-CN"/>
              </w:rPr>
              <w:t>18</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在生态清洁小流域范围内破坏水土保持设施或者干扰其正常运行</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《北京市水土保持条例》违反条款：第二十条第一款第（三）项；处罚条款：第三十六条，责令改正，对个人可处500元以上5000元以下罚款；对单位可处1万元以上10万元以下罚款。</w:t>
            </w:r>
          </w:p>
        </w:tc>
        <w:tc>
          <w:tcPr>
            <w:tcW w:w="5784" w:type="dxa"/>
            <w:gridSpan w:val="3"/>
            <w:noWrap w:val="0"/>
            <w:vAlign w:val="center"/>
          </w:tcPr>
          <w:p>
            <w:pPr>
              <w:pStyle w:val="22"/>
              <w:spacing w:line="232"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5" w:hRule="atLeast"/>
        </w:trPr>
        <w:tc>
          <w:tcPr>
            <w:tcW w:w="940" w:type="dxa"/>
            <w:gridSpan w:val="2"/>
            <w:noWrap w:val="0"/>
            <w:vAlign w:val="center"/>
          </w:tcPr>
          <w:p>
            <w:pPr>
              <w:spacing w:line="232" w:lineRule="exact"/>
              <w:jc w:val="center"/>
              <w:rPr>
                <w:rFonts w:hint="default" w:ascii="宋体" w:hAnsi="宋体" w:eastAsia="宋体" w:cs="仿宋_GB2312"/>
                <w:kern w:val="0"/>
                <w:sz w:val="15"/>
                <w:szCs w:val="15"/>
                <w:lang w:val="en-US" w:eastAsia="zh-CN"/>
              </w:rPr>
            </w:pPr>
            <w:r>
              <w:rPr>
                <w:rFonts w:hint="eastAsia" w:ascii="宋体" w:hAnsi="宋体" w:cs="仿宋_GB2312"/>
                <w:kern w:val="0"/>
                <w:sz w:val="15"/>
                <w:szCs w:val="15"/>
                <w:lang w:val="en-US" w:eastAsia="zh-CN"/>
              </w:rPr>
              <w:t>19</w:t>
            </w:r>
          </w:p>
        </w:tc>
        <w:tc>
          <w:tcPr>
            <w:tcW w:w="1500" w:type="dxa"/>
            <w:gridSpan w:val="2"/>
            <w:noWrap w:val="0"/>
            <w:vAlign w:val="center"/>
          </w:tcPr>
          <w:p>
            <w:pPr>
              <w:spacing w:line="210" w:lineRule="exact"/>
              <w:rPr>
                <w:rFonts w:ascii="宋体" w:hAnsi="宋体" w:eastAsia="宋体"/>
                <w:sz w:val="15"/>
                <w:szCs w:val="15"/>
              </w:rPr>
            </w:pPr>
            <w:r>
              <w:rPr>
                <w:rFonts w:hint="eastAsia" w:ascii="宋体" w:hAnsi="宋体" w:eastAsia="宋体"/>
                <w:sz w:val="15"/>
                <w:szCs w:val="15"/>
              </w:rPr>
              <w:t>擅自在河湖管理范围内新建、改建或者扩大排水口</w:t>
            </w:r>
          </w:p>
        </w:tc>
        <w:tc>
          <w:tcPr>
            <w:tcW w:w="2789" w:type="dxa"/>
            <w:gridSpan w:val="2"/>
            <w:noWrap w:val="0"/>
            <w:vAlign w:val="center"/>
          </w:tcPr>
          <w:p>
            <w:pPr>
              <w:spacing w:line="210" w:lineRule="exact"/>
              <w:rPr>
                <w:rFonts w:ascii="宋体" w:hAnsi="宋体" w:eastAsia="宋体"/>
                <w:sz w:val="15"/>
                <w:szCs w:val="15"/>
              </w:rPr>
            </w:pPr>
            <w:r>
              <w:rPr>
                <w:rFonts w:hint="eastAsia" w:ascii="宋体" w:hAnsi="宋体" w:eastAsia="宋体"/>
                <w:sz w:val="15"/>
                <w:szCs w:val="15"/>
              </w:rPr>
              <w:t>《北京市河湖保护管理条例》违反条款：第二十八条第一款；处罚条款：第四十三条，责令停止违法行为，限期恢复原状，处5万元以上10万元以下的罚款。</w:t>
            </w:r>
          </w:p>
        </w:tc>
        <w:tc>
          <w:tcPr>
            <w:tcW w:w="5784" w:type="dxa"/>
            <w:gridSpan w:val="3"/>
            <w:noWrap w:val="0"/>
            <w:vAlign w:val="center"/>
          </w:tcPr>
          <w:p>
            <w:pPr>
              <w:pStyle w:val="22"/>
              <w:spacing w:after="0" w:line="210" w:lineRule="exact"/>
              <w:ind w:left="0" w:leftChars="0" w:firstLine="0" w:firstLineChars="0"/>
              <w:jc w:val="left"/>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无</w:t>
            </w:r>
          </w:p>
        </w:tc>
        <w:tc>
          <w:tcPr>
            <w:tcW w:w="2108" w:type="dxa"/>
            <w:gridSpan w:val="4"/>
            <w:noWrap w:val="0"/>
            <w:vAlign w:val="center"/>
          </w:tcPr>
          <w:p>
            <w:pPr>
              <w:spacing w:line="210" w:lineRule="exact"/>
              <w:rPr>
                <w:rFonts w:ascii="宋体" w:hAnsi="宋体" w:eastAsia="宋体" w:cs="仿宋_GB2312"/>
                <w:sz w:val="15"/>
                <w:szCs w:val="15"/>
              </w:rPr>
            </w:pPr>
          </w:p>
        </w:tc>
        <w:tc>
          <w:tcPr>
            <w:tcW w:w="1208" w:type="dxa"/>
            <w:gridSpan w:val="2"/>
            <w:noWrap w:val="0"/>
            <w:vAlign w:val="center"/>
          </w:tcPr>
          <w:p>
            <w:pPr>
              <w:spacing w:line="210"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10"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rPr>
        <w:tc>
          <w:tcPr>
            <w:tcW w:w="14329" w:type="dxa"/>
            <w:gridSpan w:val="15"/>
            <w:noWrap w:val="0"/>
            <w:vAlign w:val="center"/>
          </w:tcPr>
          <w:p>
            <w:pPr>
              <w:pStyle w:val="2"/>
              <w:bidi w:val="0"/>
              <w:rPr>
                <w:rFonts w:ascii="宋体" w:hAnsi="宋体" w:eastAsia="宋体"/>
                <w:szCs w:val="15"/>
              </w:rPr>
            </w:pPr>
            <w:bookmarkStart w:id="205" w:name="_Toc473764242"/>
            <w:bookmarkStart w:id="206" w:name="_Toc110851504"/>
            <w:bookmarkStart w:id="207" w:name="_Toc1290044525"/>
            <w:bookmarkStart w:id="208" w:name="_Toc1318576686"/>
            <w:r>
              <w:rPr>
                <w:rFonts w:hint="eastAsia"/>
                <w:sz w:val="21"/>
                <w:szCs w:val="21"/>
              </w:rPr>
              <w:t>农业农村管理方面1项</w:t>
            </w:r>
            <w:bookmarkEnd w:id="205"/>
            <w:bookmarkEnd w:id="206"/>
            <w:bookmarkEnd w:id="207"/>
            <w:bookmarkEnd w:id="20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w:t>
            </w:r>
          </w:p>
        </w:tc>
        <w:tc>
          <w:tcPr>
            <w:tcW w:w="1500" w:type="dxa"/>
            <w:gridSpan w:val="2"/>
            <w:noWrap w:val="0"/>
            <w:vAlign w:val="center"/>
          </w:tcPr>
          <w:p>
            <w:pPr>
              <w:spacing w:line="210" w:lineRule="exact"/>
              <w:rPr>
                <w:rFonts w:ascii="宋体" w:hAnsi="宋体" w:eastAsia="宋体"/>
                <w:kern w:val="0"/>
                <w:sz w:val="15"/>
                <w:szCs w:val="15"/>
              </w:rPr>
            </w:pPr>
            <w:r>
              <w:rPr>
                <w:rFonts w:hint="eastAsia" w:ascii="宋体" w:hAnsi="宋体" w:eastAsia="宋体"/>
                <w:sz w:val="15"/>
                <w:szCs w:val="15"/>
              </w:rPr>
              <w:t>在增殖放流水域垂钓</w:t>
            </w:r>
          </w:p>
        </w:tc>
        <w:tc>
          <w:tcPr>
            <w:tcW w:w="2789" w:type="dxa"/>
            <w:gridSpan w:val="2"/>
            <w:noWrap w:val="0"/>
            <w:vAlign w:val="center"/>
          </w:tcPr>
          <w:p>
            <w:pPr>
              <w:spacing w:line="210" w:lineRule="exact"/>
              <w:rPr>
                <w:rFonts w:ascii="宋体" w:hAnsi="宋体" w:eastAsia="宋体"/>
                <w:sz w:val="15"/>
                <w:szCs w:val="15"/>
              </w:rPr>
            </w:pPr>
            <w:r>
              <w:rPr>
                <w:rFonts w:hint="eastAsia" w:ascii="宋体" w:hAnsi="宋体" w:eastAsia="宋体"/>
                <w:sz w:val="15"/>
                <w:szCs w:val="15"/>
              </w:rPr>
              <w:t>《北京市实施〈中华人民共和国渔业法〉办法》违反条款：第二十一条第一款第（七）项；处罚条款：第二十六条第一款第（五）项，责令停止违法行为，没收渔具，并可以处50元以上500元以下罚款。</w:t>
            </w:r>
          </w:p>
        </w:tc>
        <w:tc>
          <w:tcPr>
            <w:tcW w:w="5784" w:type="dxa"/>
            <w:gridSpan w:val="3"/>
            <w:noWrap w:val="0"/>
            <w:vAlign w:val="center"/>
          </w:tcPr>
          <w:p>
            <w:pPr>
              <w:pStyle w:val="22"/>
              <w:spacing w:after="0" w:line="210"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宋体"/>
                <w:color w:val="000000"/>
                <w:kern w:val="0"/>
                <w:sz w:val="15"/>
                <w:szCs w:val="15"/>
              </w:rPr>
              <w:t>责令停止违法行为，没收渔具，并可处50元以上500元以下罚款。</w:t>
            </w:r>
          </w:p>
        </w:tc>
        <w:tc>
          <w:tcPr>
            <w:tcW w:w="2108" w:type="dxa"/>
            <w:gridSpan w:val="4"/>
            <w:noWrap w:val="0"/>
            <w:vAlign w:val="center"/>
          </w:tcPr>
          <w:p>
            <w:pPr>
              <w:spacing w:line="210" w:lineRule="exact"/>
              <w:rPr>
                <w:rFonts w:ascii="宋体" w:hAnsi="宋体" w:eastAsia="宋体" w:cs="仿宋_GB2312"/>
                <w:sz w:val="15"/>
                <w:szCs w:val="15"/>
              </w:rPr>
            </w:pPr>
          </w:p>
        </w:tc>
        <w:tc>
          <w:tcPr>
            <w:tcW w:w="1208" w:type="dxa"/>
            <w:gridSpan w:val="2"/>
            <w:noWrap w:val="0"/>
            <w:vAlign w:val="center"/>
          </w:tcPr>
          <w:p>
            <w:pPr>
              <w:spacing w:line="210"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10"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7" w:hRule="atLeast"/>
        </w:trPr>
        <w:tc>
          <w:tcPr>
            <w:tcW w:w="14329" w:type="dxa"/>
            <w:gridSpan w:val="15"/>
            <w:noWrap w:val="0"/>
            <w:vAlign w:val="center"/>
          </w:tcPr>
          <w:p>
            <w:pPr>
              <w:pStyle w:val="2"/>
              <w:bidi w:val="0"/>
              <w:rPr>
                <w:rFonts w:hint="eastAsia"/>
                <w:sz w:val="21"/>
                <w:szCs w:val="21"/>
              </w:rPr>
            </w:pPr>
            <w:bookmarkStart w:id="209" w:name="_Toc1433492438"/>
            <w:bookmarkStart w:id="210" w:name="_Toc110851505"/>
            <w:bookmarkStart w:id="211" w:name="_Toc589852508"/>
            <w:bookmarkStart w:id="212" w:name="_Toc2011773058"/>
            <w:r>
              <w:rPr>
                <w:rFonts w:hint="eastAsia"/>
                <w:sz w:val="21"/>
                <w:szCs w:val="21"/>
              </w:rPr>
              <w:t>卫生健康管理方面</w:t>
            </w:r>
            <w:r>
              <w:rPr>
                <w:rFonts w:hint="eastAsia"/>
                <w:sz w:val="21"/>
                <w:szCs w:val="21"/>
                <w:lang w:val="en-US" w:eastAsia="zh-CN"/>
              </w:rPr>
              <w:t>5</w:t>
            </w:r>
            <w:r>
              <w:rPr>
                <w:rFonts w:hint="eastAsia"/>
                <w:sz w:val="21"/>
                <w:szCs w:val="21"/>
              </w:rPr>
              <w:t>项</w:t>
            </w:r>
            <w:bookmarkEnd w:id="209"/>
            <w:bookmarkEnd w:id="210"/>
            <w:bookmarkEnd w:id="211"/>
            <w:bookmarkEnd w:id="212"/>
          </w:p>
          <w:p>
            <w:pPr>
              <w:rPr>
                <w:rFonts w:hint="eastAsia"/>
              </w:rPr>
            </w:pPr>
          </w:p>
          <w:p>
            <w:pPr>
              <w:rPr>
                <w:rFonts w:hint="eastAsia" w:eastAsia="宋体"/>
                <w:lang w:eastAsia="zh-CN"/>
              </w:rPr>
            </w:pPr>
            <w:r>
              <w:rPr>
                <w:rFonts w:hint="eastAsia" w:ascii="宋体" w:hAnsi="宋体"/>
                <w:sz w:val="15"/>
                <w:szCs w:val="15"/>
                <w:lang w:eastAsia="zh-CN"/>
              </w:rPr>
              <w:t>《北京市卫生健康委员会关于印发北京市卫生健康行政处罚裁量细则（2023年1月修订）的通知》（京卫监督〔2023〕1号）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1</w:t>
            </w:r>
          </w:p>
        </w:tc>
        <w:tc>
          <w:tcPr>
            <w:tcW w:w="1500" w:type="dxa"/>
            <w:gridSpan w:val="2"/>
            <w:noWrap w:val="0"/>
            <w:vAlign w:val="center"/>
          </w:tcPr>
          <w:p>
            <w:pPr>
              <w:spacing w:line="210" w:lineRule="exact"/>
              <w:rPr>
                <w:rFonts w:ascii="宋体" w:hAnsi="宋体" w:eastAsia="宋体"/>
                <w:kern w:val="0"/>
                <w:sz w:val="15"/>
                <w:szCs w:val="15"/>
              </w:rPr>
            </w:pPr>
            <w:r>
              <w:rPr>
                <w:rFonts w:hint="eastAsia" w:ascii="宋体" w:hAnsi="宋体" w:eastAsia="宋体"/>
                <w:sz w:val="15"/>
                <w:szCs w:val="15"/>
              </w:rPr>
              <w:t>未按规定采取清除鼠迹、堵塞鼠洞、添设防范设施等措施及毒杀、诱捕等方法消灭老鼠，使鼠密度等指标符合国家控制标准</w:t>
            </w:r>
          </w:p>
        </w:tc>
        <w:tc>
          <w:tcPr>
            <w:tcW w:w="2789" w:type="dxa"/>
            <w:gridSpan w:val="2"/>
            <w:noWrap w:val="0"/>
            <w:vAlign w:val="center"/>
          </w:tcPr>
          <w:p>
            <w:pPr>
              <w:spacing w:line="210" w:lineRule="exact"/>
              <w:rPr>
                <w:rFonts w:ascii="宋体" w:hAnsi="宋体" w:eastAsia="宋体"/>
                <w:sz w:val="15"/>
                <w:szCs w:val="15"/>
              </w:rPr>
            </w:pPr>
            <w:r>
              <w:rPr>
                <w:rFonts w:hint="eastAsia" w:ascii="宋体" w:hAnsi="宋体" w:eastAsia="宋体"/>
                <w:sz w:val="15"/>
                <w:szCs w:val="15"/>
              </w:rPr>
              <w:t>《北京市除四害工作管理规定》违反条款：第八条；处罚条款：第十六条第（一）项，予以警告，责令限期改正，并可处以20元以上500元以下罚款；情节严重的，处以500元以上1000元以下罚款。</w:t>
            </w:r>
          </w:p>
        </w:tc>
        <w:tc>
          <w:tcPr>
            <w:tcW w:w="5784" w:type="dxa"/>
            <w:gridSpan w:val="3"/>
            <w:noWrap w:val="0"/>
            <w:vAlign w:val="center"/>
          </w:tcPr>
          <w:p>
            <w:pPr>
              <w:pStyle w:val="22"/>
              <w:spacing w:after="0" w:line="210"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pPr>
              <w:pStyle w:val="22"/>
              <w:spacing w:after="0" w:line="210"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未造成严重后果的，情节轻微，警告，处以20元以上（含）500元以下（含）罚款；</w:t>
            </w:r>
          </w:p>
          <w:p>
            <w:pPr>
              <w:pStyle w:val="22"/>
              <w:spacing w:after="0" w:line="210"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情节严重的，处以500元以上（不含）1000元以下（含）罚款。</w:t>
            </w:r>
          </w:p>
        </w:tc>
        <w:tc>
          <w:tcPr>
            <w:tcW w:w="2108" w:type="dxa"/>
            <w:gridSpan w:val="4"/>
            <w:noWrap w:val="0"/>
            <w:vAlign w:val="center"/>
          </w:tcPr>
          <w:p>
            <w:pPr>
              <w:spacing w:line="210" w:lineRule="exact"/>
              <w:rPr>
                <w:rFonts w:ascii="宋体" w:hAnsi="宋体" w:eastAsia="宋体" w:cs="仿宋_GB2312"/>
                <w:sz w:val="15"/>
                <w:szCs w:val="15"/>
              </w:rPr>
            </w:pPr>
          </w:p>
        </w:tc>
        <w:tc>
          <w:tcPr>
            <w:tcW w:w="1208" w:type="dxa"/>
            <w:gridSpan w:val="2"/>
            <w:noWrap w:val="0"/>
            <w:vAlign w:val="center"/>
          </w:tcPr>
          <w:p>
            <w:pPr>
              <w:spacing w:line="210"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10"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2</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未按规定清除蚊蝇孳生地并运用化学、物理、生物等方法消灭蚊蝇及其幼虫，使蚊蝇密度等指标符合国家控制标准</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除四害工作管理规定》违反条款：第九条第（一）项、第（二）项、第（三）项；处罚条款：第十六条第（一）项，予以警告，责令限期改正，并可处以20元以上500元以下罚款；情节严重的，处以500元以上1000元以下罚款。</w:t>
            </w:r>
          </w:p>
        </w:tc>
        <w:tc>
          <w:tcPr>
            <w:tcW w:w="5784" w:type="dxa"/>
            <w:gridSpan w:val="3"/>
            <w:noWrap w:val="0"/>
            <w:vAlign w:val="center"/>
          </w:tcPr>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未造成严重后果的，情节轻微，警告，处以20元以上（含）500元以下（含）罚款；</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情节严重的，处以500元以上（不含）1000元以下（含）罚款。</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3</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发现蟑螂未按规定及时采取灭杀措施，使蟑螂密度等指标符合国家控制标准</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《北京市除四害工作管理规定》违反条款：第十条；处罚条款：第十六条第（一）项，予以警告，责令限期改正，并可处以20元以上500元以下罚款；情节严重的，处以500元以上1000元以下罚款。</w:t>
            </w:r>
          </w:p>
        </w:tc>
        <w:tc>
          <w:tcPr>
            <w:tcW w:w="5784" w:type="dxa"/>
            <w:gridSpan w:val="3"/>
            <w:noWrap w:val="0"/>
            <w:vAlign w:val="center"/>
          </w:tcPr>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未造成严重后果的，情节轻微，警告，处以20元以上（含）500元以下（含）罚款；</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情节严重的，处以500元以上（不含）1000元以下（含）罚款。</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4</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未按规定配置四害防治设施或者无人负责除四害工作</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《北京市除四害工作管理规定》违反条款：第十一条；处罚条款：第十六条第（二）项，予以警告，责令限期改正，并可处以20元以上1000元以下罚款。</w:t>
            </w:r>
          </w:p>
        </w:tc>
        <w:tc>
          <w:tcPr>
            <w:tcW w:w="5784" w:type="dxa"/>
            <w:gridSpan w:val="3"/>
            <w:noWrap w:val="0"/>
            <w:vAlign w:val="center"/>
          </w:tcPr>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未造成严重后果的，情节轻微，警告，处以20元以上（含）500元以下（含）罚款；</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未造成严重后果的，情节严重的，警告，处以500元以上（不含）1000元以下（含）罚款。</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2" w:hRule="atLeast"/>
        </w:trPr>
        <w:tc>
          <w:tcPr>
            <w:tcW w:w="940" w:type="dxa"/>
            <w:gridSpan w:val="2"/>
            <w:noWrap w:val="0"/>
            <w:vAlign w:val="center"/>
          </w:tcPr>
          <w:p>
            <w:pPr>
              <w:spacing w:line="232" w:lineRule="exact"/>
              <w:jc w:val="center"/>
              <w:rPr>
                <w:rFonts w:ascii="宋体" w:hAnsi="宋体" w:eastAsia="宋体" w:cs="仿宋_GB2312"/>
                <w:kern w:val="0"/>
                <w:sz w:val="15"/>
                <w:szCs w:val="15"/>
              </w:rPr>
            </w:pPr>
            <w:r>
              <w:rPr>
                <w:rFonts w:hint="eastAsia" w:ascii="宋体" w:hAnsi="宋体" w:eastAsia="宋体" w:cs="仿宋_GB2312"/>
                <w:kern w:val="0"/>
                <w:sz w:val="15"/>
                <w:szCs w:val="15"/>
              </w:rPr>
              <w:t>5</w:t>
            </w:r>
          </w:p>
        </w:tc>
        <w:tc>
          <w:tcPr>
            <w:tcW w:w="1500"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未按规定采取统一的除四害措施</w:t>
            </w:r>
          </w:p>
        </w:tc>
        <w:tc>
          <w:tcPr>
            <w:tcW w:w="2789" w:type="dxa"/>
            <w:gridSpan w:val="2"/>
            <w:noWrap w:val="0"/>
            <w:vAlign w:val="center"/>
          </w:tcPr>
          <w:p>
            <w:pPr>
              <w:spacing w:line="232" w:lineRule="exact"/>
              <w:rPr>
                <w:rFonts w:ascii="宋体" w:hAnsi="宋体" w:eastAsia="宋体"/>
                <w:sz w:val="15"/>
                <w:szCs w:val="15"/>
              </w:rPr>
            </w:pPr>
            <w:r>
              <w:rPr>
                <w:rFonts w:hint="eastAsia" w:ascii="宋体" w:hAnsi="宋体" w:eastAsia="宋体"/>
                <w:sz w:val="15"/>
                <w:szCs w:val="15"/>
              </w:rPr>
              <w:t>《北京市除四害工作管理规定》违反条款：第十二条；处罚条款：第十六条第（三）项，给予警告，责令限期改正；逾期不改正的，可处以20元以上1000元以下罚款。</w:t>
            </w:r>
          </w:p>
        </w:tc>
        <w:tc>
          <w:tcPr>
            <w:tcW w:w="5784" w:type="dxa"/>
            <w:gridSpan w:val="3"/>
            <w:noWrap w:val="0"/>
            <w:vAlign w:val="center"/>
          </w:tcPr>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w:t>
            </w:r>
            <w:r>
              <w:rPr>
                <w:rFonts w:ascii="宋体" w:hAnsi="宋体" w:eastAsia="宋体" w:cs="仿宋_GB2312"/>
                <w:color w:val="000000"/>
                <w:kern w:val="0"/>
                <w:sz w:val="15"/>
                <w:szCs w:val="15"/>
                <w:lang w:bidi="ar"/>
              </w:rPr>
              <w:t>警告；</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未造成严重后果的，情节轻微，处以20元以上（含）500元以下（含）罚款；</w:t>
            </w:r>
          </w:p>
          <w:p>
            <w:pPr>
              <w:pStyle w:val="22"/>
              <w:spacing w:after="0" w:line="232" w:lineRule="exact"/>
              <w:ind w:left="0" w:leftChars="0" w:firstLine="0" w:firstLineChars="0"/>
              <w:rPr>
                <w:rFonts w:ascii="宋体" w:hAnsi="宋体" w:eastAsia="宋体" w:cs="仿宋_GB2312"/>
                <w:color w:val="000000"/>
                <w:kern w:val="0"/>
                <w:sz w:val="15"/>
                <w:szCs w:val="15"/>
                <w:lang w:bidi="ar"/>
              </w:rPr>
            </w:pPr>
            <w:r>
              <w:rPr>
                <w:rFonts w:hint="eastAsia" w:ascii="宋体" w:hAnsi="宋体" w:eastAsia="宋体" w:cs="仿宋_GB2312"/>
                <w:color w:val="000000"/>
                <w:kern w:val="0"/>
                <w:sz w:val="15"/>
                <w:szCs w:val="15"/>
                <w:lang w:bidi="ar"/>
              </w:rPr>
              <w:t>未造成严重后果的，情节严重的，处以500元以上（不含）1000元以下（含）罚款。</w:t>
            </w:r>
          </w:p>
        </w:tc>
        <w:tc>
          <w:tcPr>
            <w:tcW w:w="2108" w:type="dxa"/>
            <w:gridSpan w:val="4"/>
            <w:noWrap w:val="0"/>
            <w:vAlign w:val="center"/>
          </w:tcPr>
          <w:p>
            <w:pPr>
              <w:spacing w:line="232" w:lineRule="exact"/>
              <w:rPr>
                <w:rFonts w:ascii="宋体" w:hAnsi="宋体" w:eastAsia="宋体" w:cs="仿宋_GB2312"/>
                <w:sz w:val="15"/>
                <w:szCs w:val="15"/>
              </w:rPr>
            </w:pPr>
          </w:p>
        </w:tc>
        <w:tc>
          <w:tcPr>
            <w:tcW w:w="1208" w:type="dxa"/>
            <w:gridSpan w:val="2"/>
            <w:noWrap w:val="0"/>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spacing w:line="232" w:lineRule="exact"/>
              <w:jc w:val="center"/>
              <w:rPr>
                <w:rFonts w:ascii="宋体" w:hAnsi="宋体" w:eastAsia="宋体" w:cs="仿宋_GB2312"/>
                <w:sz w:val="15"/>
                <w:szCs w:val="15"/>
              </w:rPr>
            </w:pPr>
            <w:r>
              <w:rPr>
                <w:rFonts w:hint="eastAsia" w:ascii="宋体" w:hAnsi="宋体" w:eastAsia="宋体"/>
                <w:color w:val="000000"/>
                <w:sz w:val="15"/>
                <w:szCs w:val="15"/>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9" w:hRule="atLeast"/>
        </w:trPr>
        <w:tc>
          <w:tcPr>
            <w:tcW w:w="14329" w:type="dxa"/>
            <w:gridSpan w:val="15"/>
            <w:noWrap w:val="0"/>
            <w:vAlign w:val="center"/>
          </w:tcPr>
          <w:p>
            <w:pPr>
              <w:pStyle w:val="2"/>
              <w:bidi w:val="0"/>
              <w:rPr>
                <w:rFonts w:hint="default" w:ascii="宋体" w:hAnsi="宋体" w:eastAsia="宋体" w:cs="Times New Roman"/>
                <w:b/>
                <w:bCs/>
                <w:color w:val="000000"/>
                <w:kern w:val="44"/>
                <w:szCs w:val="15"/>
                <w:lang w:val="en-US" w:eastAsia="zh-CN" w:bidi="ar-SA"/>
              </w:rPr>
            </w:pPr>
            <w:bookmarkStart w:id="213" w:name="_Toc1245423656"/>
            <w:bookmarkStart w:id="214" w:name="_Toc979026322"/>
            <w:r>
              <w:rPr>
                <w:rFonts w:hint="eastAsia"/>
                <w:b/>
                <w:bCs/>
                <w:sz w:val="21"/>
                <w:szCs w:val="21"/>
                <w:lang w:eastAsia="zh-CN"/>
              </w:rPr>
              <w:t>住建部门</w:t>
            </w:r>
            <w:r>
              <w:rPr>
                <w:rFonts w:hint="eastAsia"/>
                <w:b/>
                <w:bCs/>
                <w:sz w:val="21"/>
                <w:szCs w:val="21"/>
                <w:lang w:val="en-US" w:eastAsia="zh-CN"/>
              </w:rPr>
              <w:t>3项</w:t>
            </w:r>
            <w:bookmarkEnd w:id="2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4329" w:type="dxa"/>
            <w:gridSpan w:val="15"/>
            <w:noWrap w:val="0"/>
            <w:vAlign w:val="center"/>
          </w:tcPr>
          <w:p>
            <w:pPr>
              <w:autoSpaceDE w:val="0"/>
              <w:autoSpaceDN w:val="0"/>
              <w:adjustRightInd w:val="0"/>
              <w:spacing w:line="520" w:lineRule="exact"/>
              <w:jc w:val="center"/>
              <w:rPr>
                <w:rFonts w:hint="default"/>
                <w:b/>
                <w:bCs/>
                <w:sz w:val="21"/>
                <w:szCs w:val="21"/>
                <w:lang w:val="en-US" w:eastAsia="zh-CN"/>
              </w:rPr>
            </w:pPr>
            <w:r>
              <w:rPr>
                <w:rFonts w:hint="eastAsia"/>
                <w:b/>
                <w:bCs/>
                <w:sz w:val="21"/>
                <w:szCs w:val="21"/>
                <w:lang w:eastAsia="zh-CN"/>
              </w:rPr>
              <w:t>《北京市物业管理条例案由》</w:t>
            </w:r>
            <w:r>
              <w:rPr>
                <w:rFonts w:hint="eastAsia"/>
                <w:b/>
                <w:bCs/>
                <w:sz w:val="21"/>
                <w:szCs w:val="21"/>
                <w:lang w:val="en-US" w:eastAsia="zh-CN"/>
              </w:rPr>
              <w:t>2项</w:t>
            </w:r>
          </w:p>
          <w:p>
            <w:pPr>
              <w:autoSpaceDE w:val="0"/>
              <w:autoSpaceDN w:val="0"/>
              <w:adjustRightInd w:val="0"/>
              <w:spacing w:line="520" w:lineRule="exact"/>
              <w:jc w:val="center"/>
              <w:rPr>
                <w:rFonts w:hint="eastAsia"/>
                <w:sz w:val="21"/>
                <w:szCs w:val="21"/>
                <w:lang w:eastAsia="zh-CN"/>
              </w:rPr>
            </w:pPr>
            <w:r>
              <w:rPr>
                <w:rFonts w:hint="eastAsia"/>
                <w:sz w:val="21"/>
                <w:szCs w:val="21"/>
                <w:lang w:eastAsia="zh-CN"/>
              </w:rPr>
              <w:t>《北京市住房和城乡建设委员会关于调整</w:t>
            </w:r>
            <w:r>
              <w:rPr>
                <w:rFonts w:hint="default"/>
                <w:sz w:val="21"/>
                <w:szCs w:val="21"/>
                <w:lang w:val="en-US" w:eastAsia="zh-CN"/>
              </w:rPr>
              <w:t>&lt;</w:t>
            </w:r>
            <w:r>
              <w:rPr>
                <w:rFonts w:hint="eastAsia"/>
                <w:sz w:val="21"/>
                <w:szCs w:val="21"/>
                <w:lang w:eastAsia="zh-CN"/>
              </w:rPr>
              <w:t>北京市住房城乡建设系统行政处罚裁量基准</w:t>
            </w:r>
            <w:r>
              <w:rPr>
                <w:rFonts w:hint="default"/>
                <w:sz w:val="21"/>
                <w:szCs w:val="21"/>
                <w:lang w:val="en-US" w:eastAsia="zh-CN"/>
              </w:rPr>
              <w:t>&gt;</w:t>
            </w:r>
            <w:r>
              <w:rPr>
                <w:rFonts w:hint="eastAsia"/>
                <w:sz w:val="21"/>
                <w:szCs w:val="21"/>
                <w:lang w:eastAsia="zh-CN"/>
              </w:rPr>
              <w:t>部分条款的通知》（</w:t>
            </w:r>
            <w:r>
              <w:rPr>
                <w:rFonts w:hint="eastAsia" w:ascii="仿宋_GB2312" w:eastAsia="仿宋_GB2312" w:cs="楷体_GB2312"/>
                <w:sz w:val="21"/>
                <w:szCs w:val="21"/>
                <w:lang w:val="zh-CN"/>
              </w:rPr>
              <w:t>京建法〔202</w:t>
            </w:r>
            <w:r>
              <w:rPr>
                <w:rFonts w:hint="eastAsia" w:ascii="仿宋_GB2312" w:eastAsia="仿宋_GB2312" w:cs="楷体_GB2312"/>
                <w:sz w:val="21"/>
                <w:szCs w:val="21"/>
                <w:lang w:val="en-US" w:eastAsia="zh-CN"/>
              </w:rPr>
              <w:t>3</w:t>
            </w:r>
            <w:r>
              <w:rPr>
                <w:rFonts w:hint="eastAsia" w:ascii="仿宋_GB2312" w:eastAsia="仿宋_GB2312" w:cs="楷体_GB2312"/>
                <w:sz w:val="21"/>
                <w:szCs w:val="21"/>
                <w:lang w:val="zh-CN"/>
              </w:rPr>
              <w:t>〕</w:t>
            </w:r>
            <w:r>
              <w:rPr>
                <w:rFonts w:hint="eastAsia" w:ascii="仿宋_GB2312" w:eastAsia="仿宋_GB2312" w:cs="楷体_GB2312"/>
                <w:sz w:val="21"/>
                <w:szCs w:val="21"/>
                <w:lang w:val="en-US" w:eastAsia="zh-CN"/>
              </w:rPr>
              <w:t>5</w:t>
            </w:r>
            <w:r>
              <w:rPr>
                <w:rFonts w:hint="eastAsia" w:ascii="仿宋_GB2312" w:eastAsia="仿宋_GB2312" w:cs="楷体_GB2312"/>
                <w:sz w:val="21"/>
                <w:szCs w:val="21"/>
                <w:lang w:val="zh-CN"/>
              </w:rPr>
              <w:t>号</w:t>
            </w:r>
            <w:r>
              <w:rPr>
                <w:rFonts w:hint="eastAsia"/>
                <w:sz w:val="21"/>
                <w:szCs w:val="21"/>
                <w:lang w:eastAsia="zh-CN"/>
              </w:rPr>
              <w:t>）</w:t>
            </w:r>
          </w:p>
          <w:p>
            <w:pPr>
              <w:autoSpaceDE w:val="0"/>
              <w:autoSpaceDN w:val="0"/>
              <w:adjustRightInd w:val="0"/>
              <w:spacing w:line="520" w:lineRule="exact"/>
              <w:jc w:val="center"/>
              <w:rPr>
                <w:rFonts w:hint="eastAsia"/>
                <w:sz w:val="21"/>
                <w:szCs w:val="21"/>
                <w:lang w:val="en-US" w:eastAsia="zh-CN"/>
              </w:rPr>
            </w:pPr>
          </w:p>
        </w:tc>
      </w:tr>
      <w:bookmarkEnd w:id="214"/>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bookmarkStart w:id="215" w:name="_Toc1056450575"/>
            <w:r>
              <w:rPr>
                <w:rFonts w:hint="eastAsia" w:ascii="宋体" w:hAnsi="宋体" w:eastAsia="宋体" w:cs="宋体"/>
                <w:i w:val="0"/>
                <w:color w:val="000000"/>
                <w:kern w:val="0"/>
                <w:sz w:val="15"/>
                <w:szCs w:val="15"/>
                <w:u w:val="none"/>
                <w:lang w:val="en-US" w:eastAsia="zh-CN" w:bidi="ar"/>
              </w:rPr>
              <w:t>37</w:t>
            </w:r>
          </w:p>
        </w:tc>
        <w:tc>
          <w:tcPr>
            <w:tcW w:w="9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w:t>
            </w:r>
          </w:p>
        </w:tc>
        <w:tc>
          <w:tcPr>
            <w:tcW w:w="17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物业服务人未按规定将物业服务合同报街道办事处、乡镇人民政府、区住房和城乡建设或者房屋主管部门备案</w:t>
            </w:r>
          </w:p>
        </w:tc>
        <w:tc>
          <w:tcPr>
            <w:tcW w:w="20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《北京市物业管理条例》违反条款：第六十三条第三款；</w:t>
            </w:r>
          </w:p>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处罚条款：第九十一条，责令限期改正，给予警告；逾期不改的，处五千元以上一万元以下的罚款。</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发现违法行为</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责令7日内改正，警告</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1060" w:type="dxa"/>
            <w:vMerge w:val="restart"/>
            <w:tcBorders>
              <w:top w:val="single" w:color="000000" w:sz="4" w:space="0"/>
              <w:left w:val="single" w:color="auto" w:sz="4" w:space="0"/>
              <w:right w:val="single" w:color="000000" w:sz="4" w:space="0"/>
            </w:tcBorders>
            <w:shd w:val="clear" w:color="auto" w:fill="auto"/>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olor w:val="000000"/>
                <w:sz w:val="15"/>
                <w:szCs w:val="15"/>
              </w:rPr>
              <w:t>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C1620300T</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责令改正限期内改正违法行为（违法行为轻微并及时纠正，没有造成危害后果）</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不予行政处罚</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C1620300B010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责令期满后7日内改正违法行为的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处5000元以上7500元以下罚款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一般</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6个月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3个月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1"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C1620300B020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责令期满后7日以上改正违法行为或违法情节严重的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处7500元以上10000元以下罚款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12个月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6个月</w:t>
            </w:r>
          </w:p>
        </w:tc>
        <w:tc>
          <w:tcPr>
            <w:tcW w:w="1060" w:type="dxa"/>
            <w:vMerge w:val="continue"/>
            <w:tcBorders>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38</w:t>
            </w:r>
          </w:p>
        </w:tc>
        <w:tc>
          <w:tcPr>
            <w:tcW w:w="9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w:t>
            </w:r>
          </w:p>
        </w:tc>
        <w:tc>
          <w:tcPr>
            <w:tcW w:w="17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物业服务企业项目负责人未按时报到</w:t>
            </w:r>
          </w:p>
        </w:tc>
        <w:tc>
          <w:tcPr>
            <w:tcW w:w="20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《北京市物业管理条例》</w:t>
            </w:r>
            <w:r>
              <w:rPr>
                <w:rFonts w:hint="eastAsia" w:ascii="宋体" w:hAnsi="宋体" w:cs="宋体"/>
                <w:i w:val="0"/>
                <w:color w:val="000000"/>
                <w:kern w:val="0"/>
                <w:sz w:val="15"/>
                <w:szCs w:val="15"/>
                <w:u w:val="none"/>
                <w:lang w:val="en-US" w:eastAsia="zh-CN" w:bidi="ar"/>
              </w:rPr>
              <w:t>违反条款：</w:t>
            </w:r>
            <w:r>
              <w:rPr>
                <w:rFonts w:hint="eastAsia" w:ascii="宋体" w:hAnsi="宋体" w:eastAsia="宋体" w:cs="宋体"/>
                <w:i w:val="0"/>
                <w:color w:val="000000"/>
                <w:kern w:val="0"/>
                <w:sz w:val="15"/>
                <w:szCs w:val="15"/>
                <w:u w:val="none"/>
                <w:lang w:val="en-US" w:eastAsia="zh-CN" w:bidi="ar"/>
              </w:rPr>
              <w:t>第六十六条</w:t>
            </w:r>
            <w:r>
              <w:rPr>
                <w:rFonts w:hint="eastAsia" w:ascii="宋体" w:hAnsi="宋体" w:cs="宋体"/>
                <w:i w:val="0"/>
                <w:color w:val="000000"/>
                <w:kern w:val="0"/>
                <w:sz w:val="15"/>
                <w:szCs w:val="15"/>
                <w:u w:val="none"/>
                <w:lang w:val="en-US" w:eastAsia="zh-CN" w:bidi="ar"/>
              </w:rPr>
              <w:t>；处罚条款：</w:t>
            </w:r>
            <w:r>
              <w:rPr>
                <w:rFonts w:hint="eastAsia" w:ascii="宋体" w:hAnsi="宋体" w:eastAsia="宋体" w:cs="宋体"/>
                <w:i w:val="0"/>
                <w:color w:val="000000"/>
                <w:kern w:val="0"/>
                <w:sz w:val="15"/>
                <w:szCs w:val="15"/>
                <w:u w:val="none"/>
                <w:lang w:val="en-US" w:eastAsia="zh-CN" w:bidi="ar"/>
              </w:rPr>
              <w:t>第九十三条，责令限期改正；逾期不改的，处五千元以上一万元以下的罚款。</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发现违法行为</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责令7日内改正</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1060" w:type="dxa"/>
            <w:vMerge w:val="restart"/>
            <w:tcBorders>
              <w:top w:val="single" w:color="000000" w:sz="4" w:space="0"/>
              <w:left w:val="single" w:color="auto" w:sz="4" w:space="0"/>
              <w:right w:val="single" w:color="000000" w:sz="4" w:space="0"/>
            </w:tcBorders>
            <w:shd w:val="clear" w:color="auto" w:fill="auto"/>
            <w:vAlign w:val="center"/>
          </w:tcPr>
          <w:p>
            <w:pPr>
              <w:spacing w:line="232" w:lineRule="exact"/>
              <w:jc w:val="center"/>
              <w:rPr>
                <w:rFonts w:ascii="宋体" w:hAnsi="宋体" w:eastAsia="宋体"/>
                <w:color w:val="000000"/>
                <w:sz w:val="15"/>
                <w:szCs w:val="15"/>
              </w:rPr>
            </w:pPr>
            <w:r>
              <w:rPr>
                <w:rFonts w:hint="eastAsia" w:ascii="宋体" w:hAnsi="宋体" w:eastAsia="宋体"/>
                <w:color w:val="000000"/>
                <w:sz w:val="15"/>
                <w:szCs w:val="15"/>
              </w:rPr>
              <w:t>街道</w:t>
            </w:r>
          </w:p>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olor w:val="000000"/>
                <w:sz w:val="15"/>
                <w:szCs w:val="15"/>
              </w:rPr>
              <w:t>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C1674800T</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责令改正限期内改正违法行为（违法行为轻微并及时纠正，没有造成危害后果）</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不予行政处罚</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C1674800B010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责令期满后7日内改正违法行为的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处5000元以上7500元以下罚款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一般</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6个月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3个月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7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20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C1674800B020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责令期满后7日以上改正违法行为或违法情节严重的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处7500元以上10000元以下罚款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12个月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6个月</w:t>
            </w:r>
          </w:p>
        </w:tc>
        <w:tc>
          <w:tcPr>
            <w:tcW w:w="1060" w:type="dxa"/>
            <w:vMerge w:val="continue"/>
            <w:tcBorders>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329" w:type="dxa"/>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pPr>
              <w:bidi w:val="0"/>
              <w:jc w:val="center"/>
              <w:rPr>
                <w:rFonts w:hint="eastAsia"/>
                <w:b/>
                <w:bCs/>
                <w:lang w:val="en-US" w:eastAsia="zh-CN"/>
              </w:rPr>
            </w:pPr>
            <w:r>
              <w:rPr>
                <w:rFonts w:hint="eastAsia"/>
                <w:b/>
                <w:bCs/>
                <w:lang w:eastAsia="zh-CN"/>
              </w:rPr>
              <w:t>《北京市住房租赁条例》案由</w:t>
            </w:r>
            <w:r>
              <w:rPr>
                <w:rFonts w:hint="eastAsia"/>
                <w:b/>
                <w:bCs/>
                <w:lang w:val="en-US" w:eastAsia="zh-CN"/>
              </w:rPr>
              <w:t>1项</w:t>
            </w:r>
          </w:p>
          <w:p>
            <w:pPr>
              <w:jc w:val="center"/>
              <w:rPr>
                <w:rFonts w:hint="eastAsia" w:asciiTheme="minorEastAsia" w:hAnsiTheme="minorEastAsia" w:eastAsiaTheme="minorEastAsia" w:cstheme="minorEastAsia"/>
                <w:sz w:val="21"/>
                <w:szCs w:val="21"/>
                <w:lang w:val="en-US" w:eastAsia="zh-CN"/>
              </w:rPr>
            </w:pPr>
          </w:p>
          <w:p>
            <w:pPr>
              <w:jc w:val="left"/>
              <w:rPr>
                <w:rFonts w:hint="eastAsia"/>
                <w:sz w:val="15"/>
                <w:szCs w:val="15"/>
                <w:lang w:val="en-US" w:eastAsia="zh-CN"/>
              </w:rPr>
            </w:pPr>
            <w:r>
              <w:rPr>
                <w:rFonts w:hint="eastAsia"/>
                <w:sz w:val="15"/>
                <w:szCs w:val="15"/>
                <w:lang w:val="en-US" w:eastAsia="zh-CN"/>
              </w:rPr>
              <w:t>《北京市住房和城乡建设委员会关于印发</w:t>
            </w:r>
            <w:r>
              <w:rPr>
                <w:rFonts w:hint="default"/>
                <w:sz w:val="15"/>
                <w:szCs w:val="15"/>
                <w:lang w:val="en-US" w:eastAsia="zh-CN"/>
              </w:rPr>
              <w:t>&lt;</w:t>
            </w:r>
            <w:r>
              <w:rPr>
                <w:rFonts w:hint="eastAsia"/>
                <w:sz w:val="15"/>
                <w:szCs w:val="15"/>
                <w:lang w:val="en-US" w:eastAsia="zh-CN"/>
              </w:rPr>
              <w:t>北京市住房租赁条例</w:t>
            </w:r>
            <w:r>
              <w:rPr>
                <w:rFonts w:hint="default"/>
                <w:sz w:val="15"/>
                <w:szCs w:val="15"/>
                <w:lang w:val="en-US" w:eastAsia="zh-CN"/>
              </w:rPr>
              <w:t>&gt;</w:t>
            </w:r>
            <w:r>
              <w:rPr>
                <w:rFonts w:hint="eastAsia"/>
                <w:sz w:val="15"/>
                <w:szCs w:val="15"/>
                <w:lang w:val="en-US" w:eastAsia="zh-CN"/>
              </w:rPr>
              <w:t>行政处罚裁量基准的通知》（</w:t>
            </w:r>
            <w:r>
              <w:rPr>
                <w:rFonts w:ascii="微软雅黑" w:hAnsi="微软雅黑" w:eastAsia="微软雅黑" w:cs="微软雅黑"/>
                <w:i w:val="0"/>
                <w:iCs w:val="0"/>
                <w:caps w:val="0"/>
                <w:color w:val="333333"/>
                <w:spacing w:val="0"/>
                <w:sz w:val="14"/>
                <w:szCs w:val="14"/>
                <w:shd w:val="clear" w:fill="FFFFFF"/>
              </w:rPr>
              <w:t>京建法〔2022〕10号</w:t>
            </w:r>
            <w:r>
              <w:rPr>
                <w:rFonts w:hint="eastAsia"/>
                <w:sz w:val="15"/>
                <w:szCs w:val="15"/>
                <w:lang w:val="en-US" w:eastAsia="zh-CN"/>
              </w:rPr>
              <w:t>）</w:t>
            </w:r>
          </w:p>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color w:val="000000"/>
                <w:kern w:val="0"/>
                <w:sz w:val="15"/>
                <w:szCs w:val="15"/>
                <w:u w:val="none"/>
                <w:lang w:val="en-US" w:eastAsia="zh-CN" w:bidi="ar"/>
              </w:rPr>
            </w:pPr>
            <w:r>
              <w:rPr>
                <w:rFonts w:hint="default" w:ascii="宋体" w:hAnsi="宋体" w:cs="宋体"/>
                <w:i w:val="0"/>
                <w:color w:val="000000"/>
                <w:kern w:val="0"/>
                <w:sz w:val="15"/>
                <w:szCs w:val="15"/>
                <w:u w:val="none"/>
                <w:lang w:val="en-US" w:eastAsia="zh-CN" w:bidi="ar"/>
              </w:rPr>
              <w:t>1</w:t>
            </w:r>
          </w:p>
        </w:tc>
        <w:tc>
          <w:tcPr>
            <w:tcW w:w="930"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w:t>
            </w:r>
          </w:p>
        </w:tc>
        <w:tc>
          <w:tcPr>
            <w:tcW w:w="1707"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未按照规定出租住房</w:t>
            </w:r>
          </w:p>
        </w:tc>
        <w:tc>
          <w:tcPr>
            <w:tcW w:w="209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《北京市住房租赁条例》 违反条款：第十三条第一款第（三）项至第（五）项；处罚条款：第六十三条第三款，责令限期改正或者恢复原状，对个人可处二千元以上一万元以下罚款，对单位可处二万元以上十万元以下罚款；逾期不改的，改正前停止出租，对个人处一万元以上五万元以下罚款，对单位处十万元以上五十万元以下罚款。</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发现违法行为</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责令改正</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1060" w:type="dxa"/>
            <w:vMerge w:val="restart"/>
            <w:tcBorders>
              <w:left w:val="single" w:color="auto"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color w:val="000000"/>
                <w:kern w:val="0"/>
                <w:sz w:val="15"/>
                <w:szCs w:val="15"/>
                <w:u w:val="none"/>
                <w:lang w:val="en-US" w:eastAsia="zh-CN" w:bidi="ar"/>
              </w:rPr>
            </w:pPr>
            <w:r>
              <w:rPr>
                <w:rFonts w:hint="eastAsia" w:ascii="宋体" w:hAnsi="宋体" w:cs="宋体"/>
                <w:i w:val="0"/>
                <w:color w:val="000000"/>
                <w:kern w:val="0"/>
                <w:sz w:val="15"/>
                <w:szCs w:val="15"/>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C1672300T</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违法行为轻微并及时纠正，没有造成危害后果</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不予行政处罚</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C1672300A010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在规定期限内改正，违法情节轻微</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对个人可处二千元以上四千元以下罚款，对单位可处二万元以上四万元以下罚款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一般</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6个月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C1672300A020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在规定期限内改正，违法情节一般的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对个人可处四千元以上七千元以下罚款，对单位可处四万元以上七万元以下罚款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一般</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6个月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C1672300A030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在规定期限内改正，违法情节严重的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对个人可处七千元以上一万元以下罚款，对单位可处七万元以上十万元以下罚款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24个月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C1672300A040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逾期3日内改正的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改正前停止出租，对个人处一万元以上二万元以下罚款，对单位处十万元以上二十万元以下罚款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24个月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C1672300A050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逾期3日以上7日以内的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改正前停止出租，对个人处二万元以上四万元以下罚款，对单位处二十万元以上四十万元以下罚款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24个月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12个月</w:t>
            </w:r>
          </w:p>
        </w:tc>
        <w:tc>
          <w:tcPr>
            <w:tcW w:w="1060" w:type="dxa"/>
            <w:vMerge w:val="continue"/>
            <w:tcBorders>
              <w:left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9"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c>
          <w:tcPr>
            <w:tcW w:w="930"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p>
        </w:tc>
        <w:tc>
          <w:tcPr>
            <w:tcW w:w="1707"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209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5"/>
                <w:szCs w:val="15"/>
                <w:u w:val="none"/>
                <w:lang w:val="en-US" w:eastAsia="zh-CN" w:bidi="ar"/>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C1672300A060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逾期7日以上或违法情节严重的</w:t>
            </w:r>
          </w:p>
        </w:tc>
        <w:tc>
          <w:tcPr>
            <w:tcW w:w="19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改正前停止出租，对个人处四万元以上五万元以下罚款，对单位处四十万元以上五十万元以下罚款</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严重</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36个月</w:t>
            </w:r>
          </w:p>
        </w:tc>
        <w:tc>
          <w:tcPr>
            <w:tcW w:w="860" w:type="dxa"/>
            <w:gridSpan w:val="2"/>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5"/>
                <w:szCs w:val="15"/>
                <w:u w:val="none"/>
                <w:lang w:val="en-US" w:eastAsia="zh-CN" w:bidi="ar-SA"/>
              </w:rPr>
            </w:pPr>
            <w:r>
              <w:rPr>
                <w:rFonts w:hint="eastAsia" w:ascii="宋体" w:hAnsi="宋体" w:eastAsia="宋体" w:cs="宋体"/>
                <w:i w:val="0"/>
                <w:iCs w:val="0"/>
                <w:color w:val="000000"/>
                <w:kern w:val="0"/>
                <w:sz w:val="15"/>
                <w:szCs w:val="15"/>
                <w:u w:val="none"/>
                <w:lang w:val="en-US" w:eastAsia="zh-CN" w:bidi="ar"/>
              </w:rPr>
              <w:t>——</w:t>
            </w:r>
          </w:p>
        </w:tc>
        <w:tc>
          <w:tcPr>
            <w:tcW w:w="1060" w:type="dxa"/>
            <w:vMerge w:val="continue"/>
            <w:tcBorders>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5"/>
                <w:szCs w:val="15"/>
                <w:u w:val="none"/>
                <w:lang w:val="en-US" w:eastAsia="zh-CN" w:bidi="ar"/>
              </w:rPr>
            </w:pPr>
          </w:p>
        </w:tc>
      </w:tr>
      <w:bookmarkEnd w:id="215"/>
    </w:tbl>
    <w:p>
      <w:pPr>
        <w:pStyle w:val="8"/>
      </w:pPr>
    </w:p>
    <w:p>
      <w:pPr>
        <w:pStyle w:val="22"/>
        <w:rPr>
          <w:color w:val="auto"/>
          <w:highlight w:val="none"/>
        </w:rPr>
      </w:pPr>
    </w:p>
    <w:sectPr>
      <w:footerReference r:id="rId3" w:type="default"/>
      <w:pgSz w:w="16840" w:h="11850" w:orient="landscape"/>
      <w:pgMar w:top="1134" w:right="907" w:bottom="1134" w:left="907" w:header="851" w:footer="624" w:gutter="0"/>
      <w:pgNumType w:fmt="decimal" w:start="1"/>
      <w:cols w:space="0" w:num="1"/>
      <w:rtlGutter w:val="0"/>
      <w:docGrid w:linePitch="6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Batang">
    <w:panose1 w:val="02030600000101010101"/>
    <w:charset w:val="81"/>
    <w:family w:val="roman"/>
    <w:pitch w:val="default"/>
    <w:sig w:usb0="B00002AF" w:usb1="69D77CFB" w:usb2="00000030" w:usb3="00000000" w:csb0="4008009F" w:csb1="DFD70000"/>
  </w:font>
  <w:font w:name="Microsoft JhengHei">
    <w:panose1 w:val="020B0604030504040204"/>
    <w:charset w:val="88"/>
    <w:family w:val="swiss"/>
    <w:pitch w:val="default"/>
    <w:sig w:usb0="00000087" w:usb1="28AF4000" w:usb2="00000016" w:usb3="00000000" w:csb0="00100009"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DDEF8A"/>
    <w:multiLevelType w:val="singleLevel"/>
    <w:tmpl w:val="85DDEF8A"/>
    <w:lvl w:ilvl="0" w:tentative="0">
      <w:start w:val="1"/>
      <w:numFmt w:val="decimal"/>
      <w:suff w:val="space"/>
      <w:lvlText w:val="%1."/>
      <w:lvlJc w:val="left"/>
    </w:lvl>
  </w:abstractNum>
  <w:abstractNum w:abstractNumId="1">
    <w:nsid w:val="B7F5427C"/>
    <w:multiLevelType w:val="singleLevel"/>
    <w:tmpl w:val="B7F5427C"/>
    <w:lvl w:ilvl="0" w:tentative="0">
      <w:start w:val="1"/>
      <w:numFmt w:val="decimal"/>
      <w:suff w:val="space"/>
      <w:lvlText w:val="%1."/>
      <w:lvlJc w:val="left"/>
    </w:lvl>
  </w:abstractNum>
  <w:abstractNum w:abstractNumId="2">
    <w:nsid w:val="BF0754D2"/>
    <w:multiLevelType w:val="singleLevel"/>
    <w:tmpl w:val="BF0754D2"/>
    <w:lvl w:ilvl="0" w:tentative="0">
      <w:start w:val="1"/>
      <w:numFmt w:val="decimal"/>
      <w:suff w:val="space"/>
      <w:lvlText w:val="%1."/>
      <w:lvlJc w:val="left"/>
    </w:lvl>
  </w:abstractNum>
  <w:abstractNum w:abstractNumId="3">
    <w:nsid w:val="DFDE10FF"/>
    <w:multiLevelType w:val="singleLevel"/>
    <w:tmpl w:val="DFDE10FF"/>
    <w:lvl w:ilvl="0" w:tentative="0">
      <w:start w:val="1"/>
      <w:numFmt w:val="decimal"/>
      <w:suff w:val="space"/>
      <w:lvlText w:val="%1."/>
      <w:lvlJc w:val="left"/>
    </w:lvl>
  </w:abstractNum>
  <w:abstractNum w:abstractNumId="4">
    <w:nsid w:val="FEDAE7DC"/>
    <w:multiLevelType w:val="singleLevel"/>
    <w:tmpl w:val="FEDAE7DC"/>
    <w:lvl w:ilvl="0" w:tentative="0">
      <w:start w:val="1"/>
      <w:numFmt w:val="decimal"/>
      <w:suff w:val="space"/>
      <w:lvlText w:val="%1."/>
      <w:lvlJc w:val="left"/>
    </w:lvl>
  </w:abstractNum>
  <w:abstractNum w:abstractNumId="5">
    <w:nsid w:val="6BEE3C38"/>
    <w:multiLevelType w:val="singleLevel"/>
    <w:tmpl w:val="6BEE3C38"/>
    <w:lvl w:ilvl="0" w:tentative="0">
      <w:start w:val="1"/>
      <w:numFmt w:val="decimal"/>
      <w:suff w:val="space"/>
      <w:lvlText w:val="%1."/>
      <w:lvlJc w:val="left"/>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HorizontalSpacing w:val="95"/>
  <w:drawingGridVerticalSpacing w:val="317"/>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yZmRlNjE4MWQyYWU5Mzg4NzNjM2NhNzA3YTQzYTIifQ=="/>
  </w:docVars>
  <w:rsids>
    <w:rsidRoot w:val="00172A27"/>
    <w:rsid w:val="0000242E"/>
    <w:rsid w:val="00003DA3"/>
    <w:rsid w:val="00004E40"/>
    <w:rsid w:val="00005868"/>
    <w:rsid w:val="000066D4"/>
    <w:rsid w:val="00007805"/>
    <w:rsid w:val="000079DD"/>
    <w:rsid w:val="00012244"/>
    <w:rsid w:val="00013F86"/>
    <w:rsid w:val="000142E5"/>
    <w:rsid w:val="00015874"/>
    <w:rsid w:val="00016A0B"/>
    <w:rsid w:val="00017787"/>
    <w:rsid w:val="00022086"/>
    <w:rsid w:val="000226A9"/>
    <w:rsid w:val="00023FA4"/>
    <w:rsid w:val="00024D45"/>
    <w:rsid w:val="00024D5B"/>
    <w:rsid w:val="00024F53"/>
    <w:rsid w:val="000258AB"/>
    <w:rsid w:val="000278A0"/>
    <w:rsid w:val="0002792B"/>
    <w:rsid w:val="000300E1"/>
    <w:rsid w:val="00031614"/>
    <w:rsid w:val="000329FB"/>
    <w:rsid w:val="0003453A"/>
    <w:rsid w:val="00034EDC"/>
    <w:rsid w:val="0003507E"/>
    <w:rsid w:val="000359CB"/>
    <w:rsid w:val="00036DD4"/>
    <w:rsid w:val="000371E8"/>
    <w:rsid w:val="00037A76"/>
    <w:rsid w:val="00037EF0"/>
    <w:rsid w:val="00040932"/>
    <w:rsid w:val="00041ECA"/>
    <w:rsid w:val="000422D1"/>
    <w:rsid w:val="00042616"/>
    <w:rsid w:val="00043B39"/>
    <w:rsid w:val="00044A3F"/>
    <w:rsid w:val="00044DD5"/>
    <w:rsid w:val="00045C2A"/>
    <w:rsid w:val="0004625C"/>
    <w:rsid w:val="00050D69"/>
    <w:rsid w:val="0005270E"/>
    <w:rsid w:val="00052A56"/>
    <w:rsid w:val="00053FE2"/>
    <w:rsid w:val="000546EC"/>
    <w:rsid w:val="000566AA"/>
    <w:rsid w:val="00056A6E"/>
    <w:rsid w:val="000606E1"/>
    <w:rsid w:val="000609BD"/>
    <w:rsid w:val="00060DF9"/>
    <w:rsid w:val="00061B20"/>
    <w:rsid w:val="000632E0"/>
    <w:rsid w:val="0006532A"/>
    <w:rsid w:val="00070C70"/>
    <w:rsid w:val="000716CA"/>
    <w:rsid w:val="00072F84"/>
    <w:rsid w:val="000739F8"/>
    <w:rsid w:val="0007477F"/>
    <w:rsid w:val="00074DE3"/>
    <w:rsid w:val="00075AEA"/>
    <w:rsid w:val="00077508"/>
    <w:rsid w:val="00077A11"/>
    <w:rsid w:val="00077C17"/>
    <w:rsid w:val="000803A6"/>
    <w:rsid w:val="00084698"/>
    <w:rsid w:val="00086B4F"/>
    <w:rsid w:val="00086F17"/>
    <w:rsid w:val="00091D98"/>
    <w:rsid w:val="00092D48"/>
    <w:rsid w:val="00093B38"/>
    <w:rsid w:val="00094E75"/>
    <w:rsid w:val="00095D6A"/>
    <w:rsid w:val="00096441"/>
    <w:rsid w:val="00096C2B"/>
    <w:rsid w:val="000A18DD"/>
    <w:rsid w:val="000A2CEE"/>
    <w:rsid w:val="000A3D61"/>
    <w:rsid w:val="000A56A0"/>
    <w:rsid w:val="000B6283"/>
    <w:rsid w:val="000B6F92"/>
    <w:rsid w:val="000C0C42"/>
    <w:rsid w:val="000C1EF5"/>
    <w:rsid w:val="000C38D1"/>
    <w:rsid w:val="000C4A66"/>
    <w:rsid w:val="000C55B6"/>
    <w:rsid w:val="000C6D01"/>
    <w:rsid w:val="000C77DA"/>
    <w:rsid w:val="000D1635"/>
    <w:rsid w:val="000D17BB"/>
    <w:rsid w:val="000D2514"/>
    <w:rsid w:val="000D297F"/>
    <w:rsid w:val="000D30FA"/>
    <w:rsid w:val="000D3519"/>
    <w:rsid w:val="000D47E9"/>
    <w:rsid w:val="000D51DB"/>
    <w:rsid w:val="000D6892"/>
    <w:rsid w:val="000E12BF"/>
    <w:rsid w:val="000E2734"/>
    <w:rsid w:val="000E296C"/>
    <w:rsid w:val="000E310B"/>
    <w:rsid w:val="000E3A56"/>
    <w:rsid w:val="000E4006"/>
    <w:rsid w:val="000E4D57"/>
    <w:rsid w:val="000E5922"/>
    <w:rsid w:val="000E7504"/>
    <w:rsid w:val="000F157E"/>
    <w:rsid w:val="000F3370"/>
    <w:rsid w:val="000F34A9"/>
    <w:rsid w:val="000F3711"/>
    <w:rsid w:val="000F382D"/>
    <w:rsid w:val="000F52F8"/>
    <w:rsid w:val="000F6285"/>
    <w:rsid w:val="000F7A3D"/>
    <w:rsid w:val="000F7D37"/>
    <w:rsid w:val="00101282"/>
    <w:rsid w:val="001024E2"/>
    <w:rsid w:val="0010269F"/>
    <w:rsid w:val="001030BD"/>
    <w:rsid w:val="00103A03"/>
    <w:rsid w:val="00104C13"/>
    <w:rsid w:val="00105379"/>
    <w:rsid w:val="00105B99"/>
    <w:rsid w:val="00106C03"/>
    <w:rsid w:val="00106FBA"/>
    <w:rsid w:val="001078ED"/>
    <w:rsid w:val="00110AD3"/>
    <w:rsid w:val="00111374"/>
    <w:rsid w:val="00111BB8"/>
    <w:rsid w:val="00111F0E"/>
    <w:rsid w:val="00112812"/>
    <w:rsid w:val="00113928"/>
    <w:rsid w:val="00114B94"/>
    <w:rsid w:val="001159CF"/>
    <w:rsid w:val="00116FCF"/>
    <w:rsid w:val="00117186"/>
    <w:rsid w:val="00117DA6"/>
    <w:rsid w:val="0012053D"/>
    <w:rsid w:val="0012189C"/>
    <w:rsid w:val="00121C02"/>
    <w:rsid w:val="00121C75"/>
    <w:rsid w:val="00123787"/>
    <w:rsid w:val="001256D3"/>
    <w:rsid w:val="0012657F"/>
    <w:rsid w:val="00127327"/>
    <w:rsid w:val="00130580"/>
    <w:rsid w:val="00130651"/>
    <w:rsid w:val="00131835"/>
    <w:rsid w:val="00131DBA"/>
    <w:rsid w:val="0013212A"/>
    <w:rsid w:val="0013300A"/>
    <w:rsid w:val="00136553"/>
    <w:rsid w:val="0013675B"/>
    <w:rsid w:val="00137033"/>
    <w:rsid w:val="001370BC"/>
    <w:rsid w:val="00137836"/>
    <w:rsid w:val="00137CDD"/>
    <w:rsid w:val="00140ECC"/>
    <w:rsid w:val="0014181D"/>
    <w:rsid w:val="00141F33"/>
    <w:rsid w:val="001426DA"/>
    <w:rsid w:val="00143555"/>
    <w:rsid w:val="001449F3"/>
    <w:rsid w:val="001453DE"/>
    <w:rsid w:val="00145B77"/>
    <w:rsid w:val="00145BEE"/>
    <w:rsid w:val="0014640C"/>
    <w:rsid w:val="001471D8"/>
    <w:rsid w:val="001478D6"/>
    <w:rsid w:val="00152EAA"/>
    <w:rsid w:val="00153F44"/>
    <w:rsid w:val="001547DC"/>
    <w:rsid w:val="001553E4"/>
    <w:rsid w:val="00155A69"/>
    <w:rsid w:val="001566CD"/>
    <w:rsid w:val="00156A32"/>
    <w:rsid w:val="00163A15"/>
    <w:rsid w:val="00163A8A"/>
    <w:rsid w:val="00164664"/>
    <w:rsid w:val="001657EA"/>
    <w:rsid w:val="00165CC7"/>
    <w:rsid w:val="0016737E"/>
    <w:rsid w:val="00167A3C"/>
    <w:rsid w:val="00170579"/>
    <w:rsid w:val="00171516"/>
    <w:rsid w:val="00171820"/>
    <w:rsid w:val="00171997"/>
    <w:rsid w:val="00171C48"/>
    <w:rsid w:val="00171F99"/>
    <w:rsid w:val="00172A27"/>
    <w:rsid w:val="00173569"/>
    <w:rsid w:val="00173A71"/>
    <w:rsid w:val="00176299"/>
    <w:rsid w:val="00176363"/>
    <w:rsid w:val="00177190"/>
    <w:rsid w:val="00177732"/>
    <w:rsid w:val="00180425"/>
    <w:rsid w:val="00180768"/>
    <w:rsid w:val="0018204B"/>
    <w:rsid w:val="0018297B"/>
    <w:rsid w:val="001835A7"/>
    <w:rsid w:val="00183B13"/>
    <w:rsid w:val="00184DB5"/>
    <w:rsid w:val="00184EB3"/>
    <w:rsid w:val="00185F61"/>
    <w:rsid w:val="00190EF7"/>
    <w:rsid w:val="00190FF9"/>
    <w:rsid w:val="00191F1A"/>
    <w:rsid w:val="00192ED0"/>
    <w:rsid w:val="001954F4"/>
    <w:rsid w:val="001969AB"/>
    <w:rsid w:val="001977CD"/>
    <w:rsid w:val="001A02D0"/>
    <w:rsid w:val="001A0486"/>
    <w:rsid w:val="001A0DF5"/>
    <w:rsid w:val="001A2073"/>
    <w:rsid w:val="001A2378"/>
    <w:rsid w:val="001A305E"/>
    <w:rsid w:val="001A31C3"/>
    <w:rsid w:val="001A39AB"/>
    <w:rsid w:val="001A4D83"/>
    <w:rsid w:val="001B15B2"/>
    <w:rsid w:val="001B1BF7"/>
    <w:rsid w:val="001B1C7B"/>
    <w:rsid w:val="001B26BD"/>
    <w:rsid w:val="001B2DB5"/>
    <w:rsid w:val="001B4C7A"/>
    <w:rsid w:val="001B61E0"/>
    <w:rsid w:val="001B6FAA"/>
    <w:rsid w:val="001C1796"/>
    <w:rsid w:val="001C1F80"/>
    <w:rsid w:val="001C434B"/>
    <w:rsid w:val="001C66FA"/>
    <w:rsid w:val="001C6975"/>
    <w:rsid w:val="001C6A55"/>
    <w:rsid w:val="001C76F7"/>
    <w:rsid w:val="001C7D6E"/>
    <w:rsid w:val="001D09D5"/>
    <w:rsid w:val="001D0D55"/>
    <w:rsid w:val="001D20DB"/>
    <w:rsid w:val="001D2E83"/>
    <w:rsid w:val="001D44E8"/>
    <w:rsid w:val="001D5C65"/>
    <w:rsid w:val="001D6062"/>
    <w:rsid w:val="001D6F70"/>
    <w:rsid w:val="001D7394"/>
    <w:rsid w:val="001D787D"/>
    <w:rsid w:val="001E007C"/>
    <w:rsid w:val="001E2B3E"/>
    <w:rsid w:val="001E2D7C"/>
    <w:rsid w:val="001E3832"/>
    <w:rsid w:val="001E65BC"/>
    <w:rsid w:val="001E66BE"/>
    <w:rsid w:val="001F1415"/>
    <w:rsid w:val="001F28DB"/>
    <w:rsid w:val="001F2D9C"/>
    <w:rsid w:val="001F36BB"/>
    <w:rsid w:val="001F3E3F"/>
    <w:rsid w:val="001F4A86"/>
    <w:rsid w:val="001F56CD"/>
    <w:rsid w:val="001F57C6"/>
    <w:rsid w:val="001F5A70"/>
    <w:rsid w:val="001F6DC2"/>
    <w:rsid w:val="00200456"/>
    <w:rsid w:val="00200C95"/>
    <w:rsid w:val="002016CE"/>
    <w:rsid w:val="00201D98"/>
    <w:rsid w:val="002023DE"/>
    <w:rsid w:val="002057E3"/>
    <w:rsid w:val="0020614D"/>
    <w:rsid w:val="00207233"/>
    <w:rsid w:val="0020753E"/>
    <w:rsid w:val="00210952"/>
    <w:rsid w:val="00210D39"/>
    <w:rsid w:val="0021205E"/>
    <w:rsid w:val="00212361"/>
    <w:rsid w:val="00212E53"/>
    <w:rsid w:val="002143C5"/>
    <w:rsid w:val="00214CBC"/>
    <w:rsid w:val="00216EA3"/>
    <w:rsid w:val="002211A0"/>
    <w:rsid w:val="0022182B"/>
    <w:rsid w:val="002228FB"/>
    <w:rsid w:val="00223199"/>
    <w:rsid w:val="00224424"/>
    <w:rsid w:val="00224A92"/>
    <w:rsid w:val="00225C5F"/>
    <w:rsid w:val="00226B20"/>
    <w:rsid w:val="002275CC"/>
    <w:rsid w:val="002306F9"/>
    <w:rsid w:val="00232F51"/>
    <w:rsid w:val="002334E1"/>
    <w:rsid w:val="0023357C"/>
    <w:rsid w:val="0023423F"/>
    <w:rsid w:val="0023669A"/>
    <w:rsid w:val="0023672C"/>
    <w:rsid w:val="002370E4"/>
    <w:rsid w:val="002375A5"/>
    <w:rsid w:val="00240324"/>
    <w:rsid w:val="00242DF5"/>
    <w:rsid w:val="002432B3"/>
    <w:rsid w:val="00244F72"/>
    <w:rsid w:val="00245F5E"/>
    <w:rsid w:val="00247D22"/>
    <w:rsid w:val="002505A6"/>
    <w:rsid w:val="00250FED"/>
    <w:rsid w:val="002517C8"/>
    <w:rsid w:val="00252056"/>
    <w:rsid w:val="00253085"/>
    <w:rsid w:val="00254225"/>
    <w:rsid w:val="0025509C"/>
    <w:rsid w:val="002563F1"/>
    <w:rsid w:val="002571B4"/>
    <w:rsid w:val="002607FE"/>
    <w:rsid w:val="00261C0B"/>
    <w:rsid w:val="0026305D"/>
    <w:rsid w:val="00263304"/>
    <w:rsid w:val="0026387B"/>
    <w:rsid w:val="00265881"/>
    <w:rsid w:val="00265905"/>
    <w:rsid w:val="00266793"/>
    <w:rsid w:val="00267B10"/>
    <w:rsid w:val="0027082E"/>
    <w:rsid w:val="00270E0E"/>
    <w:rsid w:val="002714BF"/>
    <w:rsid w:val="0027278B"/>
    <w:rsid w:val="00273339"/>
    <w:rsid w:val="002740C4"/>
    <w:rsid w:val="00274CD2"/>
    <w:rsid w:val="00275E13"/>
    <w:rsid w:val="00275E6B"/>
    <w:rsid w:val="0027605B"/>
    <w:rsid w:val="0027607B"/>
    <w:rsid w:val="0027663B"/>
    <w:rsid w:val="00277149"/>
    <w:rsid w:val="00280B4C"/>
    <w:rsid w:val="002822C9"/>
    <w:rsid w:val="00283F0F"/>
    <w:rsid w:val="00284491"/>
    <w:rsid w:val="00284C56"/>
    <w:rsid w:val="00285318"/>
    <w:rsid w:val="00285DD3"/>
    <w:rsid w:val="00286B51"/>
    <w:rsid w:val="00287012"/>
    <w:rsid w:val="002916F0"/>
    <w:rsid w:val="00291BBB"/>
    <w:rsid w:val="00291F8B"/>
    <w:rsid w:val="00294DB0"/>
    <w:rsid w:val="002973C4"/>
    <w:rsid w:val="00297B5A"/>
    <w:rsid w:val="00297D63"/>
    <w:rsid w:val="002A46D2"/>
    <w:rsid w:val="002A6856"/>
    <w:rsid w:val="002B0CC2"/>
    <w:rsid w:val="002B1379"/>
    <w:rsid w:val="002B216D"/>
    <w:rsid w:val="002B32D1"/>
    <w:rsid w:val="002B40EE"/>
    <w:rsid w:val="002B5A16"/>
    <w:rsid w:val="002B6746"/>
    <w:rsid w:val="002B7114"/>
    <w:rsid w:val="002C02EE"/>
    <w:rsid w:val="002C09C1"/>
    <w:rsid w:val="002C0A74"/>
    <w:rsid w:val="002C278D"/>
    <w:rsid w:val="002C2A8D"/>
    <w:rsid w:val="002C365C"/>
    <w:rsid w:val="002C3ACA"/>
    <w:rsid w:val="002C4018"/>
    <w:rsid w:val="002C4D11"/>
    <w:rsid w:val="002C50BD"/>
    <w:rsid w:val="002C6212"/>
    <w:rsid w:val="002D0754"/>
    <w:rsid w:val="002D1755"/>
    <w:rsid w:val="002D25D4"/>
    <w:rsid w:val="002D2E6D"/>
    <w:rsid w:val="002D318C"/>
    <w:rsid w:val="002D357B"/>
    <w:rsid w:val="002D44CD"/>
    <w:rsid w:val="002D4931"/>
    <w:rsid w:val="002D701B"/>
    <w:rsid w:val="002E0B03"/>
    <w:rsid w:val="002E2381"/>
    <w:rsid w:val="002E2E5E"/>
    <w:rsid w:val="002E42CF"/>
    <w:rsid w:val="002E499B"/>
    <w:rsid w:val="002E63C7"/>
    <w:rsid w:val="002E6DF8"/>
    <w:rsid w:val="002E70DB"/>
    <w:rsid w:val="002E7480"/>
    <w:rsid w:val="002F38A5"/>
    <w:rsid w:val="002F6B54"/>
    <w:rsid w:val="0030010C"/>
    <w:rsid w:val="00302326"/>
    <w:rsid w:val="0030350C"/>
    <w:rsid w:val="003037D5"/>
    <w:rsid w:val="00303FC7"/>
    <w:rsid w:val="003041A4"/>
    <w:rsid w:val="003059F3"/>
    <w:rsid w:val="00305C35"/>
    <w:rsid w:val="003101DF"/>
    <w:rsid w:val="00311717"/>
    <w:rsid w:val="00311B8F"/>
    <w:rsid w:val="00312054"/>
    <w:rsid w:val="00312431"/>
    <w:rsid w:val="0031498F"/>
    <w:rsid w:val="003209F2"/>
    <w:rsid w:val="00325395"/>
    <w:rsid w:val="0032605B"/>
    <w:rsid w:val="003267B7"/>
    <w:rsid w:val="00326E36"/>
    <w:rsid w:val="00327621"/>
    <w:rsid w:val="00331CA3"/>
    <w:rsid w:val="00334DEF"/>
    <w:rsid w:val="0033639D"/>
    <w:rsid w:val="00336431"/>
    <w:rsid w:val="00337D3D"/>
    <w:rsid w:val="00341C5C"/>
    <w:rsid w:val="00343894"/>
    <w:rsid w:val="00344062"/>
    <w:rsid w:val="0034416F"/>
    <w:rsid w:val="0034564E"/>
    <w:rsid w:val="0034566A"/>
    <w:rsid w:val="00345723"/>
    <w:rsid w:val="00346467"/>
    <w:rsid w:val="00346DAA"/>
    <w:rsid w:val="00347297"/>
    <w:rsid w:val="003500EC"/>
    <w:rsid w:val="00350993"/>
    <w:rsid w:val="00351A10"/>
    <w:rsid w:val="00351F31"/>
    <w:rsid w:val="00352E17"/>
    <w:rsid w:val="003534A8"/>
    <w:rsid w:val="0035350E"/>
    <w:rsid w:val="003535A6"/>
    <w:rsid w:val="0035688E"/>
    <w:rsid w:val="003578F9"/>
    <w:rsid w:val="003614A1"/>
    <w:rsid w:val="00363BB6"/>
    <w:rsid w:val="003704AA"/>
    <w:rsid w:val="00371653"/>
    <w:rsid w:val="00372BE7"/>
    <w:rsid w:val="00374573"/>
    <w:rsid w:val="00374AB1"/>
    <w:rsid w:val="00374ACE"/>
    <w:rsid w:val="0037567D"/>
    <w:rsid w:val="00377C05"/>
    <w:rsid w:val="003806DF"/>
    <w:rsid w:val="003808BF"/>
    <w:rsid w:val="00382026"/>
    <w:rsid w:val="00382668"/>
    <w:rsid w:val="00382B68"/>
    <w:rsid w:val="0038328F"/>
    <w:rsid w:val="00384A4A"/>
    <w:rsid w:val="00386BDF"/>
    <w:rsid w:val="00387134"/>
    <w:rsid w:val="00387CF6"/>
    <w:rsid w:val="00390EC1"/>
    <w:rsid w:val="0039174E"/>
    <w:rsid w:val="00392A1C"/>
    <w:rsid w:val="00392C16"/>
    <w:rsid w:val="0039327C"/>
    <w:rsid w:val="00393AC5"/>
    <w:rsid w:val="00396532"/>
    <w:rsid w:val="00397D40"/>
    <w:rsid w:val="003A21E6"/>
    <w:rsid w:val="003A275A"/>
    <w:rsid w:val="003A3F19"/>
    <w:rsid w:val="003A4B79"/>
    <w:rsid w:val="003A71A5"/>
    <w:rsid w:val="003A72C4"/>
    <w:rsid w:val="003A7DFD"/>
    <w:rsid w:val="003B0467"/>
    <w:rsid w:val="003B06CC"/>
    <w:rsid w:val="003B0D0E"/>
    <w:rsid w:val="003B101E"/>
    <w:rsid w:val="003B161D"/>
    <w:rsid w:val="003B2005"/>
    <w:rsid w:val="003B2C8E"/>
    <w:rsid w:val="003B3C37"/>
    <w:rsid w:val="003B3F1B"/>
    <w:rsid w:val="003B4A4C"/>
    <w:rsid w:val="003B4F8F"/>
    <w:rsid w:val="003B534F"/>
    <w:rsid w:val="003B6627"/>
    <w:rsid w:val="003B7379"/>
    <w:rsid w:val="003B7547"/>
    <w:rsid w:val="003B779E"/>
    <w:rsid w:val="003B7C50"/>
    <w:rsid w:val="003C02D9"/>
    <w:rsid w:val="003C0596"/>
    <w:rsid w:val="003C5902"/>
    <w:rsid w:val="003C5E6C"/>
    <w:rsid w:val="003C68A3"/>
    <w:rsid w:val="003C6D7E"/>
    <w:rsid w:val="003D0113"/>
    <w:rsid w:val="003D079A"/>
    <w:rsid w:val="003D0877"/>
    <w:rsid w:val="003D0D99"/>
    <w:rsid w:val="003D15D4"/>
    <w:rsid w:val="003D2279"/>
    <w:rsid w:val="003D253F"/>
    <w:rsid w:val="003D2821"/>
    <w:rsid w:val="003D4150"/>
    <w:rsid w:val="003D478A"/>
    <w:rsid w:val="003D4C38"/>
    <w:rsid w:val="003D5749"/>
    <w:rsid w:val="003D71C1"/>
    <w:rsid w:val="003E03A2"/>
    <w:rsid w:val="003E0B34"/>
    <w:rsid w:val="003E179B"/>
    <w:rsid w:val="003E1ED7"/>
    <w:rsid w:val="003E2532"/>
    <w:rsid w:val="003E3E51"/>
    <w:rsid w:val="003E40DC"/>
    <w:rsid w:val="003E568D"/>
    <w:rsid w:val="003E6123"/>
    <w:rsid w:val="003E7243"/>
    <w:rsid w:val="003E7AAB"/>
    <w:rsid w:val="003E7CC4"/>
    <w:rsid w:val="003F010B"/>
    <w:rsid w:val="003F3AF6"/>
    <w:rsid w:val="003F3CF8"/>
    <w:rsid w:val="003F4F82"/>
    <w:rsid w:val="003F5BB7"/>
    <w:rsid w:val="003F73DC"/>
    <w:rsid w:val="003F7969"/>
    <w:rsid w:val="00400648"/>
    <w:rsid w:val="00402DC2"/>
    <w:rsid w:val="00403884"/>
    <w:rsid w:val="00404C89"/>
    <w:rsid w:val="00406906"/>
    <w:rsid w:val="00407067"/>
    <w:rsid w:val="00407302"/>
    <w:rsid w:val="00410777"/>
    <w:rsid w:val="004107AB"/>
    <w:rsid w:val="00411CAD"/>
    <w:rsid w:val="0041359D"/>
    <w:rsid w:val="004147AA"/>
    <w:rsid w:val="00414997"/>
    <w:rsid w:val="00416924"/>
    <w:rsid w:val="0042181D"/>
    <w:rsid w:val="00421F40"/>
    <w:rsid w:val="00423061"/>
    <w:rsid w:val="00425618"/>
    <w:rsid w:val="00427610"/>
    <w:rsid w:val="00427ED6"/>
    <w:rsid w:val="00430511"/>
    <w:rsid w:val="004307F6"/>
    <w:rsid w:val="00430885"/>
    <w:rsid w:val="00430A6B"/>
    <w:rsid w:val="00431D09"/>
    <w:rsid w:val="00431D33"/>
    <w:rsid w:val="004321C7"/>
    <w:rsid w:val="00432468"/>
    <w:rsid w:val="004324B7"/>
    <w:rsid w:val="00432966"/>
    <w:rsid w:val="00432DE4"/>
    <w:rsid w:val="004330BF"/>
    <w:rsid w:val="00433FDB"/>
    <w:rsid w:val="00434095"/>
    <w:rsid w:val="00435996"/>
    <w:rsid w:val="00437410"/>
    <w:rsid w:val="00437E95"/>
    <w:rsid w:val="00443753"/>
    <w:rsid w:val="00446748"/>
    <w:rsid w:val="0045171F"/>
    <w:rsid w:val="00451E66"/>
    <w:rsid w:val="004520C1"/>
    <w:rsid w:val="0045214C"/>
    <w:rsid w:val="00452599"/>
    <w:rsid w:val="004528A4"/>
    <w:rsid w:val="00453F82"/>
    <w:rsid w:val="00455621"/>
    <w:rsid w:val="00455C99"/>
    <w:rsid w:val="00456BBD"/>
    <w:rsid w:val="00457846"/>
    <w:rsid w:val="004610A8"/>
    <w:rsid w:val="00461428"/>
    <w:rsid w:val="00461613"/>
    <w:rsid w:val="0046324A"/>
    <w:rsid w:val="004634AD"/>
    <w:rsid w:val="0046476D"/>
    <w:rsid w:val="004655E6"/>
    <w:rsid w:val="00465B0C"/>
    <w:rsid w:val="00467DC9"/>
    <w:rsid w:val="00471F27"/>
    <w:rsid w:val="00473C5E"/>
    <w:rsid w:val="0047486A"/>
    <w:rsid w:val="00474B47"/>
    <w:rsid w:val="00475C6C"/>
    <w:rsid w:val="00476BFC"/>
    <w:rsid w:val="00477522"/>
    <w:rsid w:val="0047793B"/>
    <w:rsid w:val="00477D6A"/>
    <w:rsid w:val="004813E3"/>
    <w:rsid w:val="0048146A"/>
    <w:rsid w:val="0048406B"/>
    <w:rsid w:val="00484816"/>
    <w:rsid w:val="00485226"/>
    <w:rsid w:val="0048563D"/>
    <w:rsid w:val="00487975"/>
    <w:rsid w:val="0049198B"/>
    <w:rsid w:val="004923BF"/>
    <w:rsid w:val="00493127"/>
    <w:rsid w:val="004932B7"/>
    <w:rsid w:val="00493AA8"/>
    <w:rsid w:val="004956BC"/>
    <w:rsid w:val="004957CC"/>
    <w:rsid w:val="004A0195"/>
    <w:rsid w:val="004A0686"/>
    <w:rsid w:val="004A09D8"/>
    <w:rsid w:val="004A0A9A"/>
    <w:rsid w:val="004A0FCA"/>
    <w:rsid w:val="004A1812"/>
    <w:rsid w:val="004A1F9A"/>
    <w:rsid w:val="004A4103"/>
    <w:rsid w:val="004A543B"/>
    <w:rsid w:val="004A5799"/>
    <w:rsid w:val="004A6539"/>
    <w:rsid w:val="004A6620"/>
    <w:rsid w:val="004A6C4B"/>
    <w:rsid w:val="004A6D51"/>
    <w:rsid w:val="004A7164"/>
    <w:rsid w:val="004A76E1"/>
    <w:rsid w:val="004B0E08"/>
    <w:rsid w:val="004B109F"/>
    <w:rsid w:val="004B1397"/>
    <w:rsid w:val="004B207E"/>
    <w:rsid w:val="004B2576"/>
    <w:rsid w:val="004B2BBD"/>
    <w:rsid w:val="004B3321"/>
    <w:rsid w:val="004B3367"/>
    <w:rsid w:val="004B3D6D"/>
    <w:rsid w:val="004B4C0D"/>
    <w:rsid w:val="004B6A4E"/>
    <w:rsid w:val="004C0F37"/>
    <w:rsid w:val="004C1984"/>
    <w:rsid w:val="004C3663"/>
    <w:rsid w:val="004C474D"/>
    <w:rsid w:val="004C4AC7"/>
    <w:rsid w:val="004C510F"/>
    <w:rsid w:val="004C6EFC"/>
    <w:rsid w:val="004C7AA4"/>
    <w:rsid w:val="004D11A7"/>
    <w:rsid w:val="004D1299"/>
    <w:rsid w:val="004D14EF"/>
    <w:rsid w:val="004D1DB3"/>
    <w:rsid w:val="004D225B"/>
    <w:rsid w:val="004D3C25"/>
    <w:rsid w:val="004D446E"/>
    <w:rsid w:val="004D494A"/>
    <w:rsid w:val="004D4F0F"/>
    <w:rsid w:val="004E12A2"/>
    <w:rsid w:val="004E21B8"/>
    <w:rsid w:val="004E29B7"/>
    <w:rsid w:val="004E4E32"/>
    <w:rsid w:val="004E5599"/>
    <w:rsid w:val="004E71AC"/>
    <w:rsid w:val="004E789B"/>
    <w:rsid w:val="004F040D"/>
    <w:rsid w:val="004F0D65"/>
    <w:rsid w:val="004F227D"/>
    <w:rsid w:val="004F2804"/>
    <w:rsid w:val="004F32CE"/>
    <w:rsid w:val="004F33B0"/>
    <w:rsid w:val="004F3DB1"/>
    <w:rsid w:val="004F483A"/>
    <w:rsid w:val="004F55EA"/>
    <w:rsid w:val="004F7BD0"/>
    <w:rsid w:val="004F7E69"/>
    <w:rsid w:val="005000BF"/>
    <w:rsid w:val="00500F08"/>
    <w:rsid w:val="005020D4"/>
    <w:rsid w:val="00502E17"/>
    <w:rsid w:val="005034A1"/>
    <w:rsid w:val="00504221"/>
    <w:rsid w:val="005046BE"/>
    <w:rsid w:val="0050483B"/>
    <w:rsid w:val="00505F38"/>
    <w:rsid w:val="00507D2E"/>
    <w:rsid w:val="00507E88"/>
    <w:rsid w:val="0051055E"/>
    <w:rsid w:val="00510B11"/>
    <w:rsid w:val="00510DB6"/>
    <w:rsid w:val="00511AF2"/>
    <w:rsid w:val="00511B11"/>
    <w:rsid w:val="00511F67"/>
    <w:rsid w:val="00512C9D"/>
    <w:rsid w:val="00513289"/>
    <w:rsid w:val="005134FF"/>
    <w:rsid w:val="005150A5"/>
    <w:rsid w:val="0051754B"/>
    <w:rsid w:val="00520828"/>
    <w:rsid w:val="00521721"/>
    <w:rsid w:val="00522E22"/>
    <w:rsid w:val="00524B5B"/>
    <w:rsid w:val="0052736D"/>
    <w:rsid w:val="005275ED"/>
    <w:rsid w:val="005315C0"/>
    <w:rsid w:val="00531F01"/>
    <w:rsid w:val="0053376C"/>
    <w:rsid w:val="005338B0"/>
    <w:rsid w:val="00533DB0"/>
    <w:rsid w:val="00533E63"/>
    <w:rsid w:val="00534B25"/>
    <w:rsid w:val="0053526F"/>
    <w:rsid w:val="0053589A"/>
    <w:rsid w:val="00535D58"/>
    <w:rsid w:val="00536AC8"/>
    <w:rsid w:val="00537027"/>
    <w:rsid w:val="00541D9F"/>
    <w:rsid w:val="005423D8"/>
    <w:rsid w:val="00542657"/>
    <w:rsid w:val="00543B05"/>
    <w:rsid w:val="005447BC"/>
    <w:rsid w:val="0054501F"/>
    <w:rsid w:val="005456B3"/>
    <w:rsid w:val="00546306"/>
    <w:rsid w:val="005507D7"/>
    <w:rsid w:val="00551B08"/>
    <w:rsid w:val="00551FC4"/>
    <w:rsid w:val="00552549"/>
    <w:rsid w:val="00552749"/>
    <w:rsid w:val="0055442D"/>
    <w:rsid w:val="005566A6"/>
    <w:rsid w:val="005654F8"/>
    <w:rsid w:val="00565BD9"/>
    <w:rsid w:val="00565EB6"/>
    <w:rsid w:val="0057112E"/>
    <w:rsid w:val="00571B05"/>
    <w:rsid w:val="0057272E"/>
    <w:rsid w:val="0057298F"/>
    <w:rsid w:val="00573BC7"/>
    <w:rsid w:val="00573D04"/>
    <w:rsid w:val="00574312"/>
    <w:rsid w:val="005753B8"/>
    <w:rsid w:val="005772B1"/>
    <w:rsid w:val="0057734C"/>
    <w:rsid w:val="00580E4D"/>
    <w:rsid w:val="00581267"/>
    <w:rsid w:val="005816AB"/>
    <w:rsid w:val="005825B0"/>
    <w:rsid w:val="00582871"/>
    <w:rsid w:val="00582F5E"/>
    <w:rsid w:val="00583C6A"/>
    <w:rsid w:val="00584534"/>
    <w:rsid w:val="00584AAE"/>
    <w:rsid w:val="00585F0B"/>
    <w:rsid w:val="00586DAE"/>
    <w:rsid w:val="00587985"/>
    <w:rsid w:val="00591029"/>
    <w:rsid w:val="005913A9"/>
    <w:rsid w:val="0059177C"/>
    <w:rsid w:val="00592171"/>
    <w:rsid w:val="00594FB7"/>
    <w:rsid w:val="00595752"/>
    <w:rsid w:val="005957DC"/>
    <w:rsid w:val="005973F4"/>
    <w:rsid w:val="00597421"/>
    <w:rsid w:val="005A5942"/>
    <w:rsid w:val="005A5BB7"/>
    <w:rsid w:val="005A6583"/>
    <w:rsid w:val="005A6ACF"/>
    <w:rsid w:val="005B3C46"/>
    <w:rsid w:val="005B45E8"/>
    <w:rsid w:val="005B4904"/>
    <w:rsid w:val="005B5FF8"/>
    <w:rsid w:val="005B6A13"/>
    <w:rsid w:val="005C04B9"/>
    <w:rsid w:val="005C228E"/>
    <w:rsid w:val="005C24E9"/>
    <w:rsid w:val="005C2836"/>
    <w:rsid w:val="005C2A4B"/>
    <w:rsid w:val="005C2ABF"/>
    <w:rsid w:val="005C4A3B"/>
    <w:rsid w:val="005C62CE"/>
    <w:rsid w:val="005C6725"/>
    <w:rsid w:val="005C70D7"/>
    <w:rsid w:val="005C75A7"/>
    <w:rsid w:val="005C7955"/>
    <w:rsid w:val="005D0074"/>
    <w:rsid w:val="005D2973"/>
    <w:rsid w:val="005D3DF3"/>
    <w:rsid w:val="005D5164"/>
    <w:rsid w:val="005D5828"/>
    <w:rsid w:val="005D6313"/>
    <w:rsid w:val="005D66AE"/>
    <w:rsid w:val="005E1000"/>
    <w:rsid w:val="005E124A"/>
    <w:rsid w:val="005E16EA"/>
    <w:rsid w:val="005E5CA9"/>
    <w:rsid w:val="005E5E5D"/>
    <w:rsid w:val="005E6C58"/>
    <w:rsid w:val="005E6F52"/>
    <w:rsid w:val="005E7016"/>
    <w:rsid w:val="005E75AE"/>
    <w:rsid w:val="005E7835"/>
    <w:rsid w:val="005F0BEF"/>
    <w:rsid w:val="005F1240"/>
    <w:rsid w:val="005F13B3"/>
    <w:rsid w:val="005F1E66"/>
    <w:rsid w:val="005F2025"/>
    <w:rsid w:val="005F2956"/>
    <w:rsid w:val="005F4011"/>
    <w:rsid w:val="005F40BC"/>
    <w:rsid w:val="005F4854"/>
    <w:rsid w:val="005F4988"/>
    <w:rsid w:val="005F59E4"/>
    <w:rsid w:val="005F5A52"/>
    <w:rsid w:val="005F5E67"/>
    <w:rsid w:val="005F6507"/>
    <w:rsid w:val="005F7309"/>
    <w:rsid w:val="005F76F5"/>
    <w:rsid w:val="00601DAD"/>
    <w:rsid w:val="006033AA"/>
    <w:rsid w:val="00603DBF"/>
    <w:rsid w:val="006046CD"/>
    <w:rsid w:val="00604FA1"/>
    <w:rsid w:val="006067A1"/>
    <w:rsid w:val="0060690C"/>
    <w:rsid w:val="0060705D"/>
    <w:rsid w:val="006079ED"/>
    <w:rsid w:val="00607A50"/>
    <w:rsid w:val="00610093"/>
    <w:rsid w:val="00610213"/>
    <w:rsid w:val="00610E48"/>
    <w:rsid w:val="00613005"/>
    <w:rsid w:val="00614249"/>
    <w:rsid w:val="00614661"/>
    <w:rsid w:val="00616149"/>
    <w:rsid w:val="00617620"/>
    <w:rsid w:val="0062213E"/>
    <w:rsid w:val="0062217E"/>
    <w:rsid w:val="0062478A"/>
    <w:rsid w:val="00625A1D"/>
    <w:rsid w:val="00625AD1"/>
    <w:rsid w:val="00625D57"/>
    <w:rsid w:val="00626393"/>
    <w:rsid w:val="0062687D"/>
    <w:rsid w:val="006269A1"/>
    <w:rsid w:val="00627475"/>
    <w:rsid w:val="0063187D"/>
    <w:rsid w:val="00632A91"/>
    <w:rsid w:val="00633066"/>
    <w:rsid w:val="00641C7B"/>
    <w:rsid w:val="00642156"/>
    <w:rsid w:val="00643EE7"/>
    <w:rsid w:val="006449CE"/>
    <w:rsid w:val="00645E24"/>
    <w:rsid w:val="00646C76"/>
    <w:rsid w:val="00652066"/>
    <w:rsid w:val="00652B5E"/>
    <w:rsid w:val="00653092"/>
    <w:rsid w:val="0065328B"/>
    <w:rsid w:val="006556D9"/>
    <w:rsid w:val="00655F51"/>
    <w:rsid w:val="0065727D"/>
    <w:rsid w:val="00657BCF"/>
    <w:rsid w:val="00657FDB"/>
    <w:rsid w:val="00660834"/>
    <w:rsid w:val="00660D48"/>
    <w:rsid w:val="00662F91"/>
    <w:rsid w:val="00663A69"/>
    <w:rsid w:val="00663F06"/>
    <w:rsid w:val="00665FDC"/>
    <w:rsid w:val="00666912"/>
    <w:rsid w:val="00666E46"/>
    <w:rsid w:val="00666F10"/>
    <w:rsid w:val="00670A6A"/>
    <w:rsid w:val="00671FA5"/>
    <w:rsid w:val="00673005"/>
    <w:rsid w:val="00674CCE"/>
    <w:rsid w:val="00676085"/>
    <w:rsid w:val="00680159"/>
    <w:rsid w:val="00680BD7"/>
    <w:rsid w:val="00680C52"/>
    <w:rsid w:val="00683130"/>
    <w:rsid w:val="00684FBD"/>
    <w:rsid w:val="00687173"/>
    <w:rsid w:val="0069199B"/>
    <w:rsid w:val="00692CB6"/>
    <w:rsid w:val="00693D58"/>
    <w:rsid w:val="00694C95"/>
    <w:rsid w:val="00696517"/>
    <w:rsid w:val="00697287"/>
    <w:rsid w:val="006A29EE"/>
    <w:rsid w:val="006A30E3"/>
    <w:rsid w:val="006A4DBA"/>
    <w:rsid w:val="006A5CE1"/>
    <w:rsid w:val="006A6EFD"/>
    <w:rsid w:val="006A787F"/>
    <w:rsid w:val="006A7A24"/>
    <w:rsid w:val="006B0287"/>
    <w:rsid w:val="006B16B3"/>
    <w:rsid w:val="006B20C8"/>
    <w:rsid w:val="006B23D2"/>
    <w:rsid w:val="006B250F"/>
    <w:rsid w:val="006B2898"/>
    <w:rsid w:val="006B3208"/>
    <w:rsid w:val="006B4238"/>
    <w:rsid w:val="006B43DD"/>
    <w:rsid w:val="006B51EE"/>
    <w:rsid w:val="006B58B9"/>
    <w:rsid w:val="006B5902"/>
    <w:rsid w:val="006B60DF"/>
    <w:rsid w:val="006C07F6"/>
    <w:rsid w:val="006C0DF4"/>
    <w:rsid w:val="006C2817"/>
    <w:rsid w:val="006C3F01"/>
    <w:rsid w:val="006C474E"/>
    <w:rsid w:val="006C5467"/>
    <w:rsid w:val="006C6514"/>
    <w:rsid w:val="006C70CD"/>
    <w:rsid w:val="006C70CF"/>
    <w:rsid w:val="006C7E54"/>
    <w:rsid w:val="006D0362"/>
    <w:rsid w:val="006D0492"/>
    <w:rsid w:val="006D11D1"/>
    <w:rsid w:val="006D20E5"/>
    <w:rsid w:val="006D2944"/>
    <w:rsid w:val="006D2C76"/>
    <w:rsid w:val="006D43A6"/>
    <w:rsid w:val="006D43C1"/>
    <w:rsid w:val="006D5742"/>
    <w:rsid w:val="006D60A8"/>
    <w:rsid w:val="006E03BF"/>
    <w:rsid w:val="006E16B7"/>
    <w:rsid w:val="006E3043"/>
    <w:rsid w:val="006E35FE"/>
    <w:rsid w:val="006E3CF7"/>
    <w:rsid w:val="006E5119"/>
    <w:rsid w:val="006E6913"/>
    <w:rsid w:val="006E7BEE"/>
    <w:rsid w:val="006F0C9F"/>
    <w:rsid w:val="006F1C59"/>
    <w:rsid w:val="006F2567"/>
    <w:rsid w:val="006F304E"/>
    <w:rsid w:val="006F403A"/>
    <w:rsid w:val="006F42BA"/>
    <w:rsid w:val="006F4639"/>
    <w:rsid w:val="006F5901"/>
    <w:rsid w:val="006F6169"/>
    <w:rsid w:val="00700192"/>
    <w:rsid w:val="007009DD"/>
    <w:rsid w:val="007045EC"/>
    <w:rsid w:val="00705FE7"/>
    <w:rsid w:val="00706D7C"/>
    <w:rsid w:val="00707FD5"/>
    <w:rsid w:val="00710036"/>
    <w:rsid w:val="007125B7"/>
    <w:rsid w:val="0071291E"/>
    <w:rsid w:val="00712E4A"/>
    <w:rsid w:val="00713104"/>
    <w:rsid w:val="007132D5"/>
    <w:rsid w:val="00716959"/>
    <w:rsid w:val="00716D8D"/>
    <w:rsid w:val="007209D4"/>
    <w:rsid w:val="00721281"/>
    <w:rsid w:val="00722187"/>
    <w:rsid w:val="00722FDA"/>
    <w:rsid w:val="00723143"/>
    <w:rsid w:val="0072450B"/>
    <w:rsid w:val="0072588C"/>
    <w:rsid w:val="00725A9E"/>
    <w:rsid w:val="0072605E"/>
    <w:rsid w:val="007268EE"/>
    <w:rsid w:val="00726A71"/>
    <w:rsid w:val="007277C2"/>
    <w:rsid w:val="007305E6"/>
    <w:rsid w:val="00730CA8"/>
    <w:rsid w:val="007315E7"/>
    <w:rsid w:val="00733D82"/>
    <w:rsid w:val="00735F63"/>
    <w:rsid w:val="0073604B"/>
    <w:rsid w:val="00736D1C"/>
    <w:rsid w:val="007405D3"/>
    <w:rsid w:val="0074159F"/>
    <w:rsid w:val="00741932"/>
    <w:rsid w:val="00742201"/>
    <w:rsid w:val="00743844"/>
    <w:rsid w:val="00744466"/>
    <w:rsid w:val="0074569A"/>
    <w:rsid w:val="00745BBB"/>
    <w:rsid w:val="0074642A"/>
    <w:rsid w:val="007475DF"/>
    <w:rsid w:val="0075015A"/>
    <w:rsid w:val="00750691"/>
    <w:rsid w:val="007508A8"/>
    <w:rsid w:val="007527AF"/>
    <w:rsid w:val="007535D5"/>
    <w:rsid w:val="00753D2B"/>
    <w:rsid w:val="00754464"/>
    <w:rsid w:val="007544F9"/>
    <w:rsid w:val="00754872"/>
    <w:rsid w:val="0075525F"/>
    <w:rsid w:val="00755DD9"/>
    <w:rsid w:val="00755F44"/>
    <w:rsid w:val="007570A9"/>
    <w:rsid w:val="0075726F"/>
    <w:rsid w:val="00757985"/>
    <w:rsid w:val="00760387"/>
    <w:rsid w:val="00760B1A"/>
    <w:rsid w:val="00762C5F"/>
    <w:rsid w:val="007633B2"/>
    <w:rsid w:val="00764BC6"/>
    <w:rsid w:val="00764BCF"/>
    <w:rsid w:val="00764F86"/>
    <w:rsid w:val="007703AE"/>
    <w:rsid w:val="00770CFF"/>
    <w:rsid w:val="00770E3A"/>
    <w:rsid w:val="007722AC"/>
    <w:rsid w:val="00772BDA"/>
    <w:rsid w:val="007730EB"/>
    <w:rsid w:val="007739A7"/>
    <w:rsid w:val="00774D3E"/>
    <w:rsid w:val="00775BCB"/>
    <w:rsid w:val="00775FE3"/>
    <w:rsid w:val="00776B39"/>
    <w:rsid w:val="00777273"/>
    <w:rsid w:val="0077742F"/>
    <w:rsid w:val="0077774F"/>
    <w:rsid w:val="007801B4"/>
    <w:rsid w:val="007807BE"/>
    <w:rsid w:val="007812F2"/>
    <w:rsid w:val="00783809"/>
    <w:rsid w:val="00784F36"/>
    <w:rsid w:val="00785446"/>
    <w:rsid w:val="007855C8"/>
    <w:rsid w:val="007859F2"/>
    <w:rsid w:val="007868ED"/>
    <w:rsid w:val="007868FA"/>
    <w:rsid w:val="00790D96"/>
    <w:rsid w:val="00791228"/>
    <w:rsid w:val="00793D4B"/>
    <w:rsid w:val="0079460A"/>
    <w:rsid w:val="00794667"/>
    <w:rsid w:val="00795620"/>
    <w:rsid w:val="007957F5"/>
    <w:rsid w:val="007960AC"/>
    <w:rsid w:val="00796962"/>
    <w:rsid w:val="00796B1F"/>
    <w:rsid w:val="007A14B6"/>
    <w:rsid w:val="007A1C64"/>
    <w:rsid w:val="007A2C97"/>
    <w:rsid w:val="007A37D6"/>
    <w:rsid w:val="007A3AE6"/>
    <w:rsid w:val="007A3F3D"/>
    <w:rsid w:val="007A702C"/>
    <w:rsid w:val="007A70F2"/>
    <w:rsid w:val="007B1904"/>
    <w:rsid w:val="007B20B3"/>
    <w:rsid w:val="007B2E26"/>
    <w:rsid w:val="007B3E2F"/>
    <w:rsid w:val="007B431F"/>
    <w:rsid w:val="007B44C8"/>
    <w:rsid w:val="007B4A78"/>
    <w:rsid w:val="007C0022"/>
    <w:rsid w:val="007C19AD"/>
    <w:rsid w:val="007C1FF2"/>
    <w:rsid w:val="007C423C"/>
    <w:rsid w:val="007C6686"/>
    <w:rsid w:val="007C67C2"/>
    <w:rsid w:val="007C6DFD"/>
    <w:rsid w:val="007C7C1E"/>
    <w:rsid w:val="007C7F83"/>
    <w:rsid w:val="007D09C5"/>
    <w:rsid w:val="007D2A88"/>
    <w:rsid w:val="007D333E"/>
    <w:rsid w:val="007D5BD0"/>
    <w:rsid w:val="007D6569"/>
    <w:rsid w:val="007D687B"/>
    <w:rsid w:val="007E1D41"/>
    <w:rsid w:val="007E22D0"/>
    <w:rsid w:val="007E3896"/>
    <w:rsid w:val="007E4EA0"/>
    <w:rsid w:val="007E5DD1"/>
    <w:rsid w:val="007E632C"/>
    <w:rsid w:val="007E667B"/>
    <w:rsid w:val="007E7C1F"/>
    <w:rsid w:val="007F07F6"/>
    <w:rsid w:val="007F0B31"/>
    <w:rsid w:val="007F123D"/>
    <w:rsid w:val="007F484F"/>
    <w:rsid w:val="007F705F"/>
    <w:rsid w:val="00805C16"/>
    <w:rsid w:val="00811666"/>
    <w:rsid w:val="0081235C"/>
    <w:rsid w:val="00812FC7"/>
    <w:rsid w:val="008131DA"/>
    <w:rsid w:val="00813E9C"/>
    <w:rsid w:val="00814DE3"/>
    <w:rsid w:val="00817474"/>
    <w:rsid w:val="00817627"/>
    <w:rsid w:val="008200D4"/>
    <w:rsid w:val="0082025B"/>
    <w:rsid w:val="0082152C"/>
    <w:rsid w:val="0082238E"/>
    <w:rsid w:val="008225D4"/>
    <w:rsid w:val="0082328B"/>
    <w:rsid w:val="00824260"/>
    <w:rsid w:val="008247C8"/>
    <w:rsid w:val="008255EE"/>
    <w:rsid w:val="008255F3"/>
    <w:rsid w:val="00826E81"/>
    <w:rsid w:val="00826EAE"/>
    <w:rsid w:val="008271CB"/>
    <w:rsid w:val="0082795D"/>
    <w:rsid w:val="00831B70"/>
    <w:rsid w:val="008326A5"/>
    <w:rsid w:val="008330A6"/>
    <w:rsid w:val="008349AE"/>
    <w:rsid w:val="00834EE5"/>
    <w:rsid w:val="00835FC4"/>
    <w:rsid w:val="00836569"/>
    <w:rsid w:val="00840F05"/>
    <w:rsid w:val="00841C9C"/>
    <w:rsid w:val="00842CD5"/>
    <w:rsid w:val="00843944"/>
    <w:rsid w:val="00846361"/>
    <w:rsid w:val="008464EB"/>
    <w:rsid w:val="00846852"/>
    <w:rsid w:val="008472E0"/>
    <w:rsid w:val="00850BC7"/>
    <w:rsid w:val="00851131"/>
    <w:rsid w:val="008517C4"/>
    <w:rsid w:val="00852255"/>
    <w:rsid w:val="00853267"/>
    <w:rsid w:val="0085367D"/>
    <w:rsid w:val="008542B0"/>
    <w:rsid w:val="008545B4"/>
    <w:rsid w:val="00854C0E"/>
    <w:rsid w:val="00855F70"/>
    <w:rsid w:val="0085624F"/>
    <w:rsid w:val="008562F9"/>
    <w:rsid w:val="008577B1"/>
    <w:rsid w:val="00861649"/>
    <w:rsid w:val="00861BA2"/>
    <w:rsid w:val="008620CA"/>
    <w:rsid w:val="00862270"/>
    <w:rsid w:val="00862F58"/>
    <w:rsid w:val="0086391C"/>
    <w:rsid w:val="00864063"/>
    <w:rsid w:val="00864C89"/>
    <w:rsid w:val="00866F82"/>
    <w:rsid w:val="00867C82"/>
    <w:rsid w:val="0087011A"/>
    <w:rsid w:val="00870512"/>
    <w:rsid w:val="008709BE"/>
    <w:rsid w:val="00872696"/>
    <w:rsid w:val="00872C5A"/>
    <w:rsid w:val="00872CEB"/>
    <w:rsid w:val="00872DAF"/>
    <w:rsid w:val="00872EE5"/>
    <w:rsid w:val="008731F0"/>
    <w:rsid w:val="00873B57"/>
    <w:rsid w:val="00873EA4"/>
    <w:rsid w:val="00874095"/>
    <w:rsid w:val="008740F7"/>
    <w:rsid w:val="00874D75"/>
    <w:rsid w:val="00875917"/>
    <w:rsid w:val="00876684"/>
    <w:rsid w:val="00876D94"/>
    <w:rsid w:val="0087703C"/>
    <w:rsid w:val="008770DF"/>
    <w:rsid w:val="008771AA"/>
    <w:rsid w:val="0087784C"/>
    <w:rsid w:val="00880396"/>
    <w:rsid w:val="00880407"/>
    <w:rsid w:val="008811FD"/>
    <w:rsid w:val="00882EA0"/>
    <w:rsid w:val="00883EEA"/>
    <w:rsid w:val="00884D22"/>
    <w:rsid w:val="00884D44"/>
    <w:rsid w:val="00884D64"/>
    <w:rsid w:val="00885299"/>
    <w:rsid w:val="0088699E"/>
    <w:rsid w:val="00886EF1"/>
    <w:rsid w:val="008873B7"/>
    <w:rsid w:val="00887F9C"/>
    <w:rsid w:val="00890AFB"/>
    <w:rsid w:val="008934E9"/>
    <w:rsid w:val="00893760"/>
    <w:rsid w:val="00896602"/>
    <w:rsid w:val="00897339"/>
    <w:rsid w:val="008A1BF3"/>
    <w:rsid w:val="008A2245"/>
    <w:rsid w:val="008A2653"/>
    <w:rsid w:val="008A2762"/>
    <w:rsid w:val="008A2C3D"/>
    <w:rsid w:val="008A2DCD"/>
    <w:rsid w:val="008A3400"/>
    <w:rsid w:val="008A3994"/>
    <w:rsid w:val="008A6F22"/>
    <w:rsid w:val="008A6F62"/>
    <w:rsid w:val="008B1E85"/>
    <w:rsid w:val="008B39D6"/>
    <w:rsid w:val="008B3A0E"/>
    <w:rsid w:val="008B5637"/>
    <w:rsid w:val="008B60D0"/>
    <w:rsid w:val="008B632A"/>
    <w:rsid w:val="008C0BB3"/>
    <w:rsid w:val="008C1ECB"/>
    <w:rsid w:val="008C253C"/>
    <w:rsid w:val="008C3852"/>
    <w:rsid w:val="008C38D4"/>
    <w:rsid w:val="008C52E1"/>
    <w:rsid w:val="008C5739"/>
    <w:rsid w:val="008C659F"/>
    <w:rsid w:val="008C69B4"/>
    <w:rsid w:val="008C6E58"/>
    <w:rsid w:val="008C7556"/>
    <w:rsid w:val="008C7E3A"/>
    <w:rsid w:val="008C7EE3"/>
    <w:rsid w:val="008D002D"/>
    <w:rsid w:val="008D0AB5"/>
    <w:rsid w:val="008D1B10"/>
    <w:rsid w:val="008D5C96"/>
    <w:rsid w:val="008E02AC"/>
    <w:rsid w:val="008E1DF9"/>
    <w:rsid w:val="008E2399"/>
    <w:rsid w:val="008E2FD1"/>
    <w:rsid w:val="008E399B"/>
    <w:rsid w:val="008E4E54"/>
    <w:rsid w:val="008E5CD1"/>
    <w:rsid w:val="008E6CF7"/>
    <w:rsid w:val="008E7BE2"/>
    <w:rsid w:val="008F118C"/>
    <w:rsid w:val="008F2E1F"/>
    <w:rsid w:val="008F417E"/>
    <w:rsid w:val="008F41E5"/>
    <w:rsid w:val="008F58ED"/>
    <w:rsid w:val="008F5AA1"/>
    <w:rsid w:val="008F5E11"/>
    <w:rsid w:val="008F642D"/>
    <w:rsid w:val="008F6537"/>
    <w:rsid w:val="008F699B"/>
    <w:rsid w:val="008F6E20"/>
    <w:rsid w:val="00901549"/>
    <w:rsid w:val="00902CAD"/>
    <w:rsid w:val="00904243"/>
    <w:rsid w:val="00904CE7"/>
    <w:rsid w:val="00905654"/>
    <w:rsid w:val="00905669"/>
    <w:rsid w:val="0090608F"/>
    <w:rsid w:val="00907094"/>
    <w:rsid w:val="00907296"/>
    <w:rsid w:val="0091021A"/>
    <w:rsid w:val="009103D4"/>
    <w:rsid w:val="0091075E"/>
    <w:rsid w:val="00912407"/>
    <w:rsid w:val="00914350"/>
    <w:rsid w:val="009152C3"/>
    <w:rsid w:val="00915E41"/>
    <w:rsid w:val="009164DD"/>
    <w:rsid w:val="00916B38"/>
    <w:rsid w:val="00921CCA"/>
    <w:rsid w:val="00922CE0"/>
    <w:rsid w:val="00922E64"/>
    <w:rsid w:val="00923699"/>
    <w:rsid w:val="00923C88"/>
    <w:rsid w:val="0092443E"/>
    <w:rsid w:val="00924BC6"/>
    <w:rsid w:val="0092514C"/>
    <w:rsid w:val="00927950"/>
    <w:rsid w:val="009279CC"/>
    <w:rsid w:val="00930A85"/>
    <w:rsid w:val="00930EE3"/>
    <w:rsid w:val="009312ED"/>
    <w:rsid w:val="009316EA"/>
    <w:rsid w:val="00931A5C"/>
    <w:rsid w:val="00931B39"/>
    <w:rsid w:val="00932E51"/>
    <w:rsid w:val="0093494A"/>
    <w:rsid w:val="00940A79"/>
    <w:rsid w:val="00942223"/>
    <w:rsid w:val="00944208"/>
    <w:rsid w:val="009524B4"/>
    <w:rsid w:val="0095351F"/>
    <w:rsid w:val="00953767"/>
    <w:rsid w:val="00953B89"/>
    <w:rsid w:val="00953D77"/>
    <w:rsid w:val="00954947"/>
    <w:rsid w:val="00955084"/>
    <w:rsid w:val="0095703C"/>
    <w:rsid w:val="009601B1"/>
    <w:rsid w:val="0096222A"/>
    <w:rsid w:val="009624AE"/>
    <w:rsid w:val="0096388E"/>
    <w:rsid w:val="009638A5"/>
    <w:rsid w:val="00964991"/>
    <w:rsid w:val="00965D38"/>
    <w:rsid w:val="00965E62"/>
    <w:rsid w:val="00966D08"/>
    <w:rsid w:val="00970B2C"/>
    <w:rsid w:val="0097135A"/>
    <w:rsid w:val="00971AE6"/>
    <w:rsid w:val="00972C47"/>
    <w:rsid w:val="009730AF"/>
    <w:rsid w:val="00973311"/>
    <w:rsid w:val="00973522"/>
    <w:rsid w:val="00974C32"/>
    <w:rsid w:val="00974CEF"/>
    <w:rsid w:val="009751BE"/>
    <w:rsid w:val="0097629D"/>
    <w:rsid w:val="00976BB4"/>
    <w:rsid w:val="00976CEA"/>
    <w:rsid w:val="00976FE8"/>
    <w:rsid w:val="009848B8"/>
    <w:rsid w:val="009849E0"/>
    <w:rsid w:val="00986CF0"/>
    <w:rsid w:val="00987220"/>
    <w:rsid w:val="00987A5E"/>
    <w:rsid w:val="00987C45"/>
    <w:rsid w:val="00987F82"/>
    <w:rsid w:val="00990387"/>
    <w:rsid w:val="00990F99"/>
    <w:rsid w:val="00991FEE"/>
    <w:rsid w:val="00992997"/>
    <w:rsid w:val="00992E55"/>
    <w:rsid w:val="00993203"/>
    <w:rsid w:val="00993819"/>
    <w:rsid w:val="00995F43"/>
    <w:rsid w:val="0099615C"/>
    <w:rsid w:val="0099644F"/>
    <w:rsid w:val="009965AC"/>
    <w:rsid w:val="009A078A"/>
    <w:rsid w:val="009A18CB"/>
    <w:rsid w:val="009A3517"/>
    <w:rsid w:val="009A5E39"/>
    <w:rsid w:val="009A7082"/>
    <w:rsid w:val="009A7BAE"/>
    <w:rsid w:val="009B1122"/>
    <w:rsid w:val="009B1422"/>
    <w:rsid w:val="009B1BDA"/>
    <w:rsid w:val="009B2A65"/>
    <w:rsid w:val="009B361E"/>
    <w:rsid w:val="009B4108"/>
    <w:rsid w:val="009B4843"/>
    <w:rsid w:val="009B4BFE"/>
    <w:rsid w:val="009B4F55"/>
    <w:rsid w:val="009B5153"/>
    <w:rsid w:val="009B5B10"/>
    <w:rsid w:val="009B6C1C"/>
    <w:rsid w:val="009C0B9C"/>
    <w:rsid w:val="009C1306"/>
    <w:rsid w:val="009C234A"/>
    <w:rsid w:val="009C2DFD"/>
    <w:rsid w:val="009C308E"/>
    <w:rsid w:val="009C314A"/>
    <w:rsid w:val="009C366F"/>
    <w:rsid w:val="009C4A16"/>
    <w:rsid w:val="009C5045"/>
    <w:rsid w:val="009C6D65"/>
    <w:rsid w:val="009C715E"/>
    <w:rsid w:val="009D09D6"/>
    <w:rsid w:val="009D41F3"/>
    <w:rsid w:val="009D4962"/>
    <w:rsid w:val="009D5DF3"/>
    <w:rsid w:val="009D699C"/>
    <w:rsid w:val="009D6B3B"/>
    <w:rsid w:val="009E0503"/>
    <w:rsid w:val="009E13B1"/>
    <w:rsid w:val="009E46F7"/>
    <w:rsid w:val="009E4D2D"/>
    <w:rsid w:val="009E5ECA"/>
    <w:rsid w:val="009E6541"/>
    <w:rsid w:val="009E65C8"/>
    <w:rsid w:val="009E7FCC"/>
    <w:rsid w:val="009F0069"/>
    <w:rsid w:val="009F1AE3"/>
    <w:rsid w:val="009F291C"/>
    <w:rsid w:val="009F33E7"/>
    <w:rsid w:val="009F35AC"/>
    <w:rsid w:val="009F492F"/>
    <w:rsid w:val="009F6699"/>
    <w:rsid w:val="009F70A8"/>
    <w:rsid w:val="009F74AB"/>
    <w:rsid w:val="009F7920"/>
    <w:rsid w:val="009F7AAB"/>
    <w:rsid w:val="009F7E41"/>
    <w:rsid w:val="00A0077A"/>
    <w:rsid w:val="00A00C1F"/>
    <w:rsid w:val="00A01180"/>
    <w:rsid w:val="00A01A0E"/>
    <w:rsid w:val="00A01C56"/>
    <w:rsid w:val="00A03C35"/>
    <w:rsid w:val="00A048BC"/>
    <w:rsid w:val="00A064AC"/>
    <w:rsid w:val="00A10687"/>
    <w:rsid w:val="00A106E9"/>
    <w:rsid w:val="00A113C0"/>
    <w:rsid w:val="00A11597"/>
    <w:rsid w:val="00A11EAA"/>
    <w:rsid w:val="00A12911"/>
    <w:rsid w:val="00A14851"/>
    <w:rsid w:val="00A14CBC"/>
    <w:rsid w:val="00A15E08"/>
    <w:rsid w:val="00A160F1"/>
    <w:rsid w:val="00A1611F"/>
    <w:rsid w:val="00A1759E"/>
    <w:rsid w:val="00A1776D"/>
    <w:rsid w:val="00A21225"/>
    <w:rsid w:val="00A21877"/>
    <w:rsid w:val="00A21AFF"/>
    <w:rsid w:val="00A22D46"/>
    <w:rsid w:val="00A24645"/>
    <w:rsid w:val="00A267C1"/>
    <w:rsid w:val="00A26EB7"/>
    <w:rsid w:val="00A279AB"/>
    <w:rsid w:val="00A323B4"/>
    <w:rsid w:val="00A32E01"/>
    <w:rsid w:val="00A36AE6"/>
    <w:rsid w:val="00A37784"/>
    <w:rsid w:val="00A40BEC"/>
    <w:rsid w:val="00A42195"/>
    <w:rsid w:val="00A4276D"/>
    <w:rsid w:val="00A43101"/>
    <w:rsid w:val="00A44E98"/>
    <w:rsid w:val="00A45530"/>
    <w:rsid w:val="00A45E65"/>
    <w:rsid w:val="00A460AF"/>
    <w:rsid w:val="00A4666F"/>
    <w:rsid w:val="00A46985"/>
    <w:rsid w:val="00A46A71"/>
    <w:rsid w:val="00A503B3"/>
    <w:rsid w:val="00A50DE0"/>
    <w:rsid w:val="00A51E53"/>
    <w:rsid w:val="00A55041"/>
    <w:rsid w:val="00A576AD"/>
    <w:rsid w:val="00A57E10"/>
    <w:rsid w:val="00A60325"/>
    <w:rsid w:val="00A60462"/>
    <w:rsid w:val="00A6397F"/>
    <w:rsid w:val="00A64C06"/>
    <w:rsid w:val="00A64F5D"/>
    <w:rsid w:val="00A65734"/>
    <w:rsid w:val="00A6599F"/>
    <w:rsid w:val="00A70330"/>
    <w:rsid w:val="00A71069"/>
    <w:rsid w:val="00A739A3"/>
    <w:rsid w:val="00A73A4E"/>
    <w:rsid w:val="00A74396"/>
    <w:rsid w:val="00A7584E"/>
    <w:rsid w:val="00A76B8A"/>
    <w:rsid w:val="00A776A2"/>
    <w:rsid w:val="00A77B31"/>
    <w:rsid w:val="00A803E7"/>
    <w:rsid w:val="00A8042E"/>
    <w:rsid w:val="00A8053A"/>
    <w:rsid w:val="00A82B32"/>
    <w:rsid w:val="00A82FFC"/>
    <w:rsid w:val="00A8337B"/>
    <w:rsid w:val="00A83B2F"/>
    <w:rsid w:val="00A85053"/>
    <w:rsid w:val="00A865C5"/>
    <w:rsid w:val="00A871B9"/>
    <w:rsid w:val="00A8759A"/>
    <w:rsid w:val="00A908D5"/>
    <w:rsid w:val="00A939EF"/>
    <w:rsid w:val="00A939F9"/>
    <w:rsid w:val="00A94EF9"/>
    <w:rsid w:val="00AA1D89"/>
    <w:rsid w:val="00AA26CB"/>
    <w:rsid w:val="00AA4564"/>
    <w:rsid w:val="00AA5349"/>
    <w:rsid w:val="00AA5641"/>
    <w:rsid w:val="00AA56D2"/>
    <w:rsid w:val="00AA63FF"/>
    <w:rsid w:val="00AA6CA5"/>
    <w:rsid w:val="00AB03CE"/>
    <w:rsid w:val="00AB1434"/>
    <w:rsid w:val="00AB14DF"/>
    <w:rsid w:val="00AB1600"/>
    <w:rsid w:val="00AB1B2A"/>
    <w:rsid w:val="00AB1FD8"/>
    <w:rsid w:val="00AB47BC"/>
    <w:rsid w:val="00AB65D6"/>
    <w:rsid w:val="00AB66E1"/>
    <w:rsid w:val="00AB7EAE"/>
    <w:rsid w:val="00AB7EE0"/>
    <w:rsid w:val="00AC0F5F"/>
    <w:rsid w:val="00AC2067"/>
    <w:rsid w:val="00AC31EB"/>
    <w:rsid w:val="00AC3B07"/>
    <w:rsid w:val="00AC4F26"/>
    <w:rsid w:val="00AC6DB2"/>
    <w:rsid w:val="00AD016B"/>
    <w:rsid w:val="00AD16D1"/>
    <w:rsid w:val="00AD1ACE"/>
    <w:rsid w:val="00AD2298"/>
    <w:rsid w:val="00AD3480"/>
    <w:rsid w:val="00AD3A48"/>
    <w:rsid w:val="00AD3A65"/>
    <w:rsid w:val="00AD60D6"/>
    <w:rsid w:val="00AD771B"/>
    <w:rsid w:val="00AE045D"/>
    <w:rsid w:val="00AE0DE5"/>
    <w:rsid w:val="00AE0F27"/>
    <w:rsid w:val="00AE146C"/>
    <w:rsid w:val="00AE23CD"/>
    <w:rsid w:val="00AE293F"/>
    <w:rsid w:val="00AE2D45"/>
    <w:rsid w:val="00AE2F8A"/>
    <w:rsid w:val="00AE348F"/>
    <w:rsid w:val="00AE350A"/>
    <w:rsid w:val="00AE5322"/>
    <w:rsid w:val="00AE6871"/>
    <w:rsid w:val="00AF184D"/>
    <w:rsid w:val="00AF3498"/>
    <w:rsid w:val="00AF367C"/>
    <w:rsid w:val="00AF4C9E"/>
    <w:rsid w:val="00AF4E94"/>
    <w:rsid w:val="00AF5267"/>
    <w:rsid w:val="00AF53F9"/>
    <w:rsid w:val="00AF5F68"/>
    <w:rsid w:val="00AF6F8F"/>
    <w:rsid w:val="00AF725D"/>
    <w:rsid w:val="00AF77ED"/>
    <w:rsid w:val="00B01C2B"/>
    <w:rsid w:val="00B02330"/>
    <w:rsid w:val="00B02535"/>
    <w:rsid w:val="00B03880"/>
    <w:rsid w:val="00B038DA"/>
    <w:rsid w:val="00B0443A"/>
    <w:rsid w:val="00B04C01"/>
    <w:rsid w:val="00B062E8"/>
    <w:rsid w:val="00B13B8F"/>
    <w:rsid w:val="00B13E7C"/>
    <w:rsid w:val="00B147CB"/>
    <w:rsid w:val="00B154E4"/>
    <w:rsid w:val="00B201D4"/>
    <w:rsid w:val="00B21A6B"/>
    <w:rsid w:val="00B22659"/>
    <w:rsid w:val="00B229D4"/>
    <w:rsid w:val="00B23BD3"/>
    <w:rsid w:val="00B23C03"/>
    <w:rsid w:val="00B23F22"/>
    <w:rsid w:val="00B247A6"/>
    <w:rsid w:val="00B24C77"/>
    <w:rsid w:val="00B24EA1"/>
    <w:rsid w:val="00B251C1"/>
    <w:rsid w:val="00B2568C"/>
    <w:rsid w:val="00B26584"/>
    <w:rsid w:val="00B26DB3"/>
    <w:rsid w:val="00B31FF5"/>
    <w:rsid w:val="00B323C5"/>
    <w:rsid w:val="00B32B5C"/>
    <w:rsid w:val="00B33EF0"/>
    <w:rsid w:val="00B34A76"/>
    <w:rsid w:val="00B34C81"/>
    <w:rsid w:val="00B3698B"/>
    <w:rsid w:val="00B37C3A"/>
    <w:rsid w:val="00B403A8"/>
    <w:rsid w:val="00B41448"/>
    <w:rsid w:val="00B418E8"/>
    <w:rsid w:val="00B42733"/>
    <w:rsid w:val="00B42F68"/>
    <w:rsid w:val="00B432AA"/>
    <w:rsid w:val="00B43429"/>
    <w:rsid w:val="00B4374A"/>
    <w:rsid w:val="00B43985"/>
    <w:rsid w:val="00B44BBF"/>
    <w:rsid w:val="00B45513"/>
    <w:rsid w:val="00B4669C"/>
    <w:rsid w:val="00B47C00"/>
    <w:rsid w:val="00B51B6F"/>
    <w:rsid w:val="00B51B79"/>
    <w:rsid w:val="00B52E3D"/>
    <w:rsid w:val="00B54AC8"/>
    <w:rsid w:val="00B54B9E"/>
    <w:rsid w:val="00B56027"/>
    <w:rsid w:val="00B5704B"/>
    <w:rsid w:val="00B5712C"/>
    <w:rsid w:val="00B5774B"/>
    <w:rsid w:val="00B57941"/>
    <w:rsid w:val="00B57F15"/>
    <w:rsid w:val="00B60187"/>
    <w:rsid w:val="00B62BC9"/>
    <w:rsid w:val="00B63A30"/>
    <w:rsid w:val="00B6487C"/>
    <w:rsid w:val="00B65690"/>
    <w:rsid w:val="00B669E8"/>
    <w:rsid w:val="00B67112"/>
    <w:rsid w:val="00B673B0"/>
    <w:rsid w:val="00B70532"/>
    <w:rsid w:val="00B73BEC"/>
    <w:rsid w:val="00B75096"/>
    <w:rsid w:val="00B75593"/>
    <w:rsid w:val="00B758B6"/>
    <w:rsid w:val="00B77283"/>
    <w:rsid w:val="00B8080B"/>
    <w:rsid w:val="00B81A21"/>
    <w:rsid w:val="00B81DF3"/>
    <w:rsid w:val="00B85675"/>
    <w:rsid w:val="00B85FDB"/>
    <w:rsid w:val="00B86981"/>
    <w:rsid w:val="00B87670"/>
    <w:rsid w:val="00B90977"/>
    <w:rsid w:val="00B9204A"/>
    <w:rsid w:val="00B92079"/>
    <w:rsid w:val="00B92678"/>
    <w:rsid w:val="00B92E80"/>
    <w:rsid w:val="00B9314B"/>
    <w:rsid w:val="00B931DC"/>
    <w:rsid w:val="00B93D0A"/>
    <w:rsid w:val="00B95356"/>
    <w:rsid w:val="00B959D7"/>
    <w:rsid w:val="00B964D2"/>
    <w:rsid w:val="00B968FA"/>
    <w:rsid w:val="00B97E9C"/>
    <w:rsid w:val="00B97FDF"/>
    <w:rsid w:val="00BA05A7"/>
    <w:rsid w:val="00BA05CA"/>
    <w:rsid w:val="00BA28F6"/>
    <w:rsid w:val="00BA3F9D"/>
    <w:rsid w:val="00BA48AC"/>
    <w:rsid w:val="00BA4C72"/>
    <w:rsid w:val="00BA5303"/>
    <w:rsid w:val="00BA5DA6"/>
    <w:rsid w:val="00BA5EC3"/>
    <w:rsid w:val="00BA5F36"/>
    <w:rsid w:val="00BA7B59"/>
    <w:rsid w:val="00BB0E34"/>
    <w:rsid w:val="00BB1B70"/>
    <w:rsid w:val="00BB2842"/>
    <w:rsid w:val="00BB314D"/>
    <w:rsid w:val="00BB4C2A"/>
    <w:rsid w:val="00BB58A2"/>
    <w:rsid w:val="00BB59E4"/>
    <w:rsid w:val="00BB6548"/>
    <w:rsid w:val="00BC0F8B"/>
    <w:rsid w:val="00BC2373"/>
    <w:rsid w:val="00BC5C44"/>
    <w:rsid w:val="00BC6897"/>
    <w:rsid w:val="00BC6C45"/>
    <w:rsid w:val="00BC73E7"/>
    <w:rsid w:val="00BC7807"/>
    <w:rsid w:val="00BC7A5A"/>
    <w:rsid w:val="00BD1C7E"/>
    <w:rsid w:val="00BD2612"/>
    <w:rsid w:val="00BD3070"/>
    <w:rsid w:val="00BD729B"/>
    <w:rsid w:val="00BD793D"/>
    <w:rsid w:val="00BD7B19"/>
    <w:rsid w:val="00BE0ADF"/>
    <w:rsid w:val="00BE3728"/>
    <w:rsid w:val="00BE41F0"/>
    <w:rsid w:val="00BE69A9"/>
    <w:rsid w:val="00BE722E"/>
    <w:rsid w:val="00BE7BE3"/>
    <w:rsid w:val="00BE7E49"/>
    <w:rsid w:val="00BF0D89"/>
    <w:rsid w:val="00BF13A9"/>
    <w:rsid w:val="00BF1521"/>
    <w:rsid w:val="00BF2AB3"/>
    <w:rsid w:val="00BF3B1A"/>
    <w:rsid w:val="00BF4E87"/>
    <w:rsid w:val="00BF61CC"/>
    <w:rsid w:val="00BF6D3C"/>
    <w:rsid w:val="00C000F7"/>
    <w:rsid w:val="00C0091A"/>
    <w:rsid w:val="00C015E6"/>
    <w:rsid w:val="00C02786"/>
    <w:rsid w:val="00C02B01"/>
    <w:rsid w:val="00C03899"/>
    <w:rsid w:val="00C03997"/>
    <w:rsid w:val="00C040A2"/>
    <w:rsid w:val="00C04401"/>
    <w:rsid w:val="00C052F2"/>
    <w:rsid w:val="00C06971"/>
    <w:rsid w:val="00C10245"/>
    <w:rsid w:val="00C111DE"/>
    <w:rsid w:val="00C12AE9"/>
    <w:rsid w:val="00C1312E"/>
    <w:rsid w:val="00C144A5"/>
    <w:rsid w:val="00C14A6B"/>
    <w:rsid w:val="00C151B6"/>
    <w:rsid w:val="00C15A8D"/>
    <w:rsid w:val="00C15CC5"/>
    <w:rsid w:val="00C15FDD"/>
    <w:rsid w:val="00C16132"/>
    <w:rsid w:val="00C174E6"/>
    <w:rsid w:val="00C24882"/>
    <w:rsid w:val="00C25AED"/>
    <w:rsid w:val="00C25B2A"/>
    <w:rsid w:val="00C25C65"/>
    <w:rsid w:val="00C27EFC"/>
    <w:rsid w:val="00C300A2"/>
    <w:rsid w:val="00C308DF"/>
    <w:rsid w:val="00C33495"/>
    <w:rsid w:val="00C36DA5"/>
    <w:rsid w:val="00C42D4E"/>
    <w:rsid w:val="00C439AF"/>
    <w:rsid w:val="00C44BDB"/>
    <w:rsid w:val="00C45D4E"/>
    <w:rsid w:val="00C460A8"/>
    <w:rsid w:val="00C466C6"/>
    <w:rsid w:val="00C50026"/>
    <w:rsid w:val="00C50436"/>
    <w:rsid w:val="00C52AAE"/>
    <w:rsid w:val="00C56476"/>
    <w:rsid w:val="00C56A91"/>
    <w:rsid w:val="00C60077"/>
    <w:rsid w:val="00C62346"/>
    <w:rsid w:val="00C62F73"/>
    <w:rsid w:val="00C62F78"/>
    <w:rsid w:val="00C634AD"/>
    <w:rsid w:val="00C6367A"/>
    <w:rsid w:val="00C63AAA"/>
    <w:rsid w:val="00C63FEB"/>
    <w:rsid w:val="00C64527"/>
    <w:rsid w:val="00C65CE3"/>
    <w:rsid w:val="00C65FE4"/>
    <w:rsid w:val="00C67C84"/>
    <w:rsid w:val="00C67D44"/>
    <w:rsid w:val="00C67D67"/>
    <w:rsid w:val="00C7071C"/>
    <w:rsid w:val="00C70968"/>
    <w:rsid w:val="00C71F66"/>
    <w:rsid w:val="00C71F99"/>
    <w:rsid w:val="00C72282"/>
    <w:rsid w:val="00C72FAC"/>
    <w:rsid w:val="00C73954"/>
    <w:rsid w:val="00C75159"/>
    <w:rsid w:val="00C76836"/>
    <w:rsid w:val="00C76873"/>
    <w:rsid w:val="00C76BCB"/>
    <w:rsid w:val="00C77082"/>
    <w:rsid w:val="00C7728A"/>
    <w:rsid w:val="00C77643"/>
    <w:rsid w:val="00C80444"/>
    <w:rsid w:val="00C85FDB"/>
    <w:rsid w:val="00C90DF9"/>
    <w:rsid w:val="00C9135B"/>
    <w:rsid w:val="00C92365"/>
    <w:rsid w:val="00C92518"/>
    <w:rsid w:val="00C93C5A"/>
    <w:rsid w:val="00C9416D"/>
    <w:rsid w:val="00C9559A"/>
    <w:rsid w:val="00C9768D"/>
    <w:rsid w:val="00CA02CE"/>
    <w:rsid w:val="00CA06FF"/>
    <w:rsid w:val="00CA0D1F"/>
    <w:rsid w:val="00CA225D"/>
    <w:rsid w:val="00CA24E9"/>
    <w:rsid w:val="00CA30B2"/>
    <w:rsid w:val="00CA3191"/>
    <w:rsid w:val="00CA3749"/>
    <w:rsid w:val="00CA3F7E"/>
    <w:rsid w:val="00CA55E8"/>
    <w:rsid w:val="00CA561E"/>
    <w:rsid w:val="00CA5E89"/>
    <w:rsid w:val="00CA5E90"/>
    <w:rsid w:val="00CA68A0"/>
    <w:rsid w:val="00CA6A27"/>
    <w:rsid w:val="00CA6B42"/>
    <w:rsid w:val="00CA6C5E"/>
    <w:rsid w:val="00CA76AF"/>
    <w:rsid w:val="00CB06AA"/>
    <w:rsid w:val="00CB3161"/>
    <w:rsid w:val="00CB36C8"/>
    <w:rsid w:val="00CB4EEC"/>
    <w:rsid w:val="00CB55D9"/>
    <w:rsid w:val="00CB578E"/>
    <w:rsid w:val="00CB58EB"/>
    <w:rsid w:val="00CB6842"/>
    <w:rsid w:val="00CB6CC6"/>
    <w:rsid w:val="00CC10C1"/>
    <w:rsid w:val="00CC19D9"/>
    <w:rsid w:val="00CC2474"/>
    <w:rsid w:val="00CC42A6"/>
    <w:rsid w:val="00CC5ADA"/>
    <w:rsid w:val="00CC70C6"/>
    <w:rsid w:val="00CC773B"/>
    <w:rsid w:val="00CD1939"/>
    <w:rsid w:val="00CD2F6A"/>
    <w:rsid w:val="00CD31BC"/>
    <w:rsid w:val="00CD3244"/>
    <w:rsid w:val="00CD424D"/>
    <w:rsid w:val="00CD4D33"/>
    <w:rsid w:val="00CD516A"/>
    <w:rsid w:val="00CD53A0"/>
    <w:rsid w:val="00CD59FA"/>
    <w:rsid w:val="00CD5E57"/>
    <w:rsid w:val="00CE1256"/>
    <w:rsid w:val="00CE1697"/>
    <w:rsid w:val="00CE2711"/>
    <w:rsid w:val="00CE2BDD"/>
    <w:rsid w:val="00CE3ECE"/>
    <w:rsid w:val="00CE4217"/>
    <w:rsid w:val="00CE6942"/>
    <w:rsid w:val="00CE6DE3"/>
    <w:rsid w:val="00CE6DF3"/>
    <w:rsid w:val="00CE7ECB"/>
    <w:rsid w:val="00CF0228"/>
    <w:rsid w:val="00CF0466"/>
    <w:rsid w:val="00CF0729"/>
    <w:rsid w:val="00CF1582"/>
    <w:rsid w:val="00CF1704"/>
    <w:rsid w:val="00CF1E47"/>
    <w:rsid w:val="00CF525C"/>
    <w:rsid w:val="00CF5CDE"/>
    <w:rsid w:val="00CF60A7"/>
    <w:rsid w:val="00CF6176"/>
    <w:rsid w:val="00D00218"/>
    <w:rsid w:val="00D003E8"/>
    <w:rsid w:val="00D021A9"/>
    <w:rsid w:val="00D03786"/>
    <w:rsid w:val="00D03F34"/>
    <w:rsid w:val="00D04B2E"/>
    <w:rsid w:val="00D05420"/>
    <w:rsid w:val="00D065AA"/>
    <w:rsid w:val="00D068F7"/>
    <w:rsid w:val="00D07492"/>
    <w:rsid w:val="00D078A7"/>
    <w:rsid w:val="00D11353"/>
    <w:rsid w:val="00D1156C"/>
    <w:rsid w:val="00D12697"/>
    <w:rsid w:val="00D13FAB"/>
    <w:rsid w:val="00D14EB9"/>
    <w:rsid w:val="00D172EA"/>
    <w:rsid w:val="00D17F96"/>
    <w:rsid w:val="00D20DE8"/>
    <w:rsid w:val="00D212C3"/>
    <w:rsid w:val="00D213D4"/>
    <w:rsid w:val="00D2195A"/>
    <w:rsid w:val="00D21C74"/>
    <w:rsid w:val="00D21E8D"/>
    <w:rsid w:val="00D22F49"/>
    <w:rsid w:val="00D22FC6"/>
    <w:rsid w:val="00D23F8A"/>
    <w:rsid w:val="00D244F9"/>
    <w:rsid w:val="00D24567"/>
    <w:rsid w:val="00D2470D"/>
    <w:rsid w:val="00D24BAE"/>
    <w:rsid w:val="00D24C07"/>
    <w:rsid w:val="00D25242"/>
    <w:rsid w:val="00D2676C"/>
    <w:rsid w:val="00D26BD2"/>
    <w:rsid w:val="00D276FF"/>
    <w:rsid w:val="00D27E10"/>
    <w:rsid w:val="00D3141F"/>
    <w:rsid w:val="00D314DD"/>
    <w:rsid w:val="00D3397F"/>
    <w:rsid w:val="00D33CB4"/>
    <w:rsid w:val="00D34155"/>
    <w:rsid w:val="00D35785"/>
    <w:rsid w:val="00D35899"/>
    <w:rsid w:val="00D35B4C"/>
    <w:rsid w:val="00D36264"/>
    <w:rsid w:val="00D365B9"/>
    <w:rsid w:val="00D36B74"/>
    <w:rsid w:val="00D36CDA"/>
    <w:rsid w:val="00D36E05"/>
    <w:rsid w:val="00D40076"/>
    <w:rsid w:val="00D40A0D"/>
    <w:rsid w:val="00D424DC"/>
    <w:rsid w:val="00D427D7"/>
    <w:rsid w:val="00D45CC2"/>
    <w:rsid w:val="00D45D87"/>
    <w:rsid w:val="00D47555"/>
    <w:rsid w:val="00D47C61"/>
    <w:rsid w:val="00D50377"/>
    <w:rsid w:val="00D507A9"/>
    <w:rsid w:val="00D518A3"/>
    <w:rsid w:val="00D52073"/>
    <w:rsid w:val="00D52AC7"/>
    <w:rsid w:val="00D5346D"/>
    <w:rsid w:val="00D54411"/>
    <w:rsid w:val="00D5581F"/>
    <w:rsid w:val="00D5605C"/>
    <w:rsid w:val="00D600CD"/>
    <w:rsid w:val="00D601C8"/>
    <w:rsid w:val="00D60467"/>
    <w:rsid w:val="00D60CC6"/>
    <w:rsid w:val="00D61ECA"/>
    <w:rsid w:val="00D6285B"/>
    <w:rsid w:val="00D62C8A"/>
    <w:rsid w:val="00D62F17"/>
    <w:rsid w:val="00D63321"/>
    <w:rsid w:val="00D65EF0"/>
    <w:rsid w:val="00D7221E"/>
    <w:rsid w:val="00D72B1C"/>
    <w:rsid w:val="00D72C46"/>
    <w:rsid w:val="00D73185"/>
    <w:rsid w:val="00D73A3E"/>
    <w:rsid w:val="00D74239"/>
    <w:rsid w:val="00D74C03"/>
    <w:rsid w:val="00D75473"/>
    <w:rsid w:val="00D769E9"/>
    <w:rsid w:val="00D804F3"/>
    <w:rsid w:val="00D82B7A"/>
    <w:rsid w:val="00D8428B"/>
    <w:rsid w:val="00D87965"/>
    <w:rsid w:val="00D9032D"/>
    <w:rsid w:val="00D9077C"/>
    <w:rsid w:val="00D90C59"/>
    <w:rsid w:val="00D914C6"/>
    <w:rsid w:val="00D9160D"/>
    <w:rsid w:val="00D91A59"/>
    <w:rsid w:val="00D93C51"/>
    <w:rsid w:val="00D95C09"/>
    <w:rsid w:val="00DA0CE6"/>
    <w:rsid w:val="00DA21B7"/>
    <w:rsid w:val="00DA3BA2"/>
    <w:rsid w:val="00DA490A"/>
    <w:rsid w:val="00DA4A9A"/>
    <w:rsid w:val="00DA5A19"/>
    <w:rsid w:val="00DA730E"/>
    <w:rsid w:val="00DA7781"/>
    <w:rsid w:val="00DB10E6"/>
    <w:rsid w:val="00DB20A7"/>
    <w:rsid w:val="00DB27C4"/>
    <w:rsid w:val="00DB2DCC"/>
    <w:rsid w:val="00DB39BA"/>
    <w:rsid w:val="00DB4159"/>
    <w:rsid w:val="00DB450A"/>
    <w:rsid w:val="00DB46B3"/>
    <w:rsid w:val="00DB5548"/>
    <w:rsid w:val="00DB596D"/>
    <w:rsid w:val="00DB5F77"/>
    <w:rsid w:val="00DB5FC5"/>
    <w:rsid w:val="00DB68C3"/>
    <w:rsid w:val="00DB74A8"/>
    <w:rsid w:val="00DB7FD8"/>
    <w:rsid w:val="00DC07EE"/>
    <w:rsid w:val="00DC0922"/>
    <w:rsid w:val="00DC0B27"/>
    <w:rsid w:val="00DC1027"/>
    <w:rsid w:val="00DC3327"/>
    <w:rsid w:val="00DC3B50"/>
    <w:rsid w:val="00DC4B66"/>
    <w:rsid w:val="00DC5919"/>
    <w:rsid w:val="00DC59D5"/>
    <w:rsid w:val="00DD0549"/>
    <w:rsid w:val="00DD0F29"/>
    <w:rsid w:val="00DD294C"/>
    <w:rsid w:val="00DD2B04"/>
    <w:rsid w:val="00DD5004"/>
    <w:rsid w:val="00DD5B00"/>
    <w:rsid w:val="00DD6308"/>
    <w:rsid w:val="00DD6D6D"/>
    <w:rsid w:val="00DD7689"/>
    <w:rsid w:val="00DD7950"/>
    <w:rsid w:val="00DE0131"/>
    <w:rsid w:val="00DE041E"/>
    <w:rsid w:val="00DE0DB3"/>
    <w:rsid w:val="00DE1EC7"/>
    <w:rsid w:val="00DE2308"/>
    <w:rsid w:val="00DE2644"/>
    <w:rsid w:val="00DE2D82"/>
    <w:rsid w:val="00DE4A02"/>
    <w:rsid w:val="00DE4F03"/>
    <w:rsid w:val="00DE58F5"/>
    <w:rsid w:val="00DE5D5B"/>
    <w:rsid w:val="00DE6243"/>
    <w:rsid w:val="00DE72DF"/>
    <w:rsid w:val="00DF21F2"/>
    <w:rsid w:val="00DF426D"/>
    <w:rsid w:val="00DF5483"/>
    <w:rsid w:val="00DF6477"/>
    <w:rsid w:val="00DF6DD6"/>
    <w:rsid w:val="00DF7B3D"/>
    <w:rsid w:val="00E0044A"/>
    <w:rsid w:val="00E00E33"/>
    <w:rsid w:val="00E010BA"/>
    <w:rsid w:val="00E01EA4"/>
    <w:rsid w:val="00E02B16"/>
    <w:rsid w:val="00E03749"/>
    <w:rsid w:val="00E03C08"/>
    <w:rsid w:val="00E04EE1"/>
    <w:rsid w:val="00E07657"/>
    <w:rsid w:val="00E10FCA"/>
    <w:rsid w:val="00E114DD"/>
    <w:rsid w:val="00E116CE"/>
    <w:rsid w:val="00E1307F"/>
    <w:rsid w:val="00E133D4"/>
    <w:rsid w:val="00E147BD"/>
    <w:rsid w:val="00E1523D"/>
    <w:rsid w:val="00E169FF"/>
    <w:rsid w:val="00E17A26"/>
    <w:rsid w:val="00E20FD2"/>
    <w:rsid w:val="00E21BF0"/>
    <w:rsid w:val="00E224E2"/>
    <w:rsid w:val="00E229C6"/>
    <w:rsid w:val="00E237CC"/>
    <w:rsid w:val="00E257F5"/>
    <w:rsid w:val="00E267FD"/>
    <w:rsid w:val="00E268B1"/>
    <w:rsid w:val="00E26CAA"/>
    <w:rsid w:val="00E27FB0"/>
    <w:rsid w:val="00E30B02"/>
    <w:rsid w:val="00E319E3"/>
    <w:rsid w:val="00E31B1D"/>
    <w:rsid w:val="00E33E7F"/>
    <w:rsid w:val="00E34D00"/>
    <w:rsid w:val="00E35254"/>
    <w:rsid w:val="00E36112"/>
    <w:rsid w:val="00E37ED0"/>
    <w:rsid w:val="00E40B78"/>
    <w:rsid w:val="00E40B92"/>
    <w:rsid w:val="00E42CD4"/>
    <w:rsid w:val="00E42F88"/>
    <w:rsid w:val="00E43517"/>
    <w:rsid w:val="00E43BFA"/>
    <w:rsid w:val="00E43CFF"/>
    <w:rsid w:val="00E43EA2"/>
    <w:rsid w:val="00E45008"/>
    <w:rsid w:val="00E50ED1"/>
    <w:rsid w:val="00E50F2E"/>
    <w:rsid w:val="00E51719"/>
    <w:rsid w:val="00E530C9"/>
    <w:rsid w:val="00E54125"/>
    <w:rsid w:val="00E5455B"/>
    <w:rsid w:val="00E55CC2"/>
    <w:rsid w:val="00E563FB"/>
    <w:rsid w:val="00E57276"/>
    <w:rsid w:val="00E60DBC"/>
    <w:rsid w:val="00E6210F"/>
    <w:rsid w:val="00E62DBB"/>
    <w:rsid w:val="00E63E03"/>
    <w:rsid w:val="00E64F64"/>
    <w:rsid w:val="00E654C2"/>
    <w:rsid w:val="00E671DB"/>
    <w:rsid w:val="00E70DE0"/>
    <w:rsid w:val="00E71C36"/>
    <w:rsid w:val="00E74246"/>
    <w:rsid w:val="00E74D11"/>
    <w:rsid w:val="00E75777"/>
    <w:rsid w:val="00E77C1B"/>
    <w:rsid w:val="00E8166C"/>
    <w:rsid w:val="00E82CF8"/>
    <w:rsid w:val="00E83DEF"/>
    <w:rsid w:val="00E84EE3"/>
    <w:rsid w:val="00E84F84"/>
    <w:rsid w:val="00E85F5E"/>
    <w:rsid w:val="00E87CC8"/>
    <w:rsid w:val="00E87EBB"/>
    <w:rsid w:val="00E91E03"/>
    <w:rsid w:val="00E92A6B"/>
    <w:rsid w:val="00E92E84"/>
    <w:rsid w:val="00E931A5"/>
    <w:rsid w:val="00E94DA4"/>
    <w:rsid w:val="00E954F2"/>
    <w:rsid w:val="00E9651E"/>
    <w:rsid w:val="00E96549"/>
    <w:rsid w:val="00E96AED"/>
    <w:rsid w:val="00E96B39"/>
    <w:rsid w:val="00E97952"/>
    <w:rsid w:val="00EA0F2A"/>
    <w:rsid w:val="00EA41B6"/>
    <w:rsid w:val="00EA45C7"/>
    <w:rsid w:val="00EA54A7"/>
    <w:rsid w:val="00EA576D"/>
    <w:rsid w:val="00EA656C"/>
    <w:rsid w:val="00EA7397"/>
    <w:rsid w:val="00EB0A9A"/>
    <w:rsid w:val="00EB20CD"/>
    <w:rsid w:val="00EB3DCD"/>
    <w:rsid w:val="00EB4251"/>
    <w:rsid w:val="00EB4D6E"/>
    <w:rsid w:val="00EB7BF1"/>
    <w:rsid w:val="00EC0453"/>
    <w:rsid w:val="00EC15A2"/>
    <w:rsid w:val="00EC1780"/>
    <w:rsid w:val="00EC1D87"/>
    <w:rsid w:val="00EC2FA0"/>
    <w:rsid w:val="00EC394B"/>
    <w:rsid w:val="00EC3AB1"/>
    <w:rsid w:val="00EC5F05"/>
    <w:rsid w:val="00EC65C3"/>
    <w:rsid w:val="00EC7B7F"/>
    <w:rsid w:val="00ED2625"/>
    <w:rsid w:val="00ED4A50"/>
    <w:rsid w:val="00ED6222"/>
    <w:rsid w:val="00ED73DB"/>
    <w:rsid w:val="00ED7E7D"/>
    <w:rsid w:val="00EE044A"/>
    <w:rsid w:val="00EE089C"/>
    <w:rsid w:val="00EE0FF2"/>
    <w:rsid w:val="00EE2B40"/>
    <w:rsid w:val="00EE2B58"/>
    <w:rsid w:val="00EE3870"/>
    <w:rsid w:val="00EE440A"/>
    <w:rsid w:val="00EE53B3"/>
    <w:rsid w:val="00EE5441"/>
    <w:rsid w:val="00EE61C7"/>
    <w:rsid w:val="00EF2520"/>
    <w:rsid w:val="00EF32D8"/>
    <w:rsid w:val="00EF62BF"/>
    <w:rsid w:val="00EF7350"/>
    <w:rsid w:val="00EF78C0"/>
    <w:rsid w:val="00EF7FAA"/>
    <w:rsid w:val="00F00AD9"/>
    <w:rsid w:val="00F01A59"/>
    <w:rsid w:val="00F02B8A"/>
    <w:rsid w:val="00F04414"/>
    <w:rsid w:val="00F05B1C"/>
    <w:rsid w:val="00F0607E"/>
    <w:rsid w:val="00F07295"/>
    <w:rsid w:val="00F079A4"/>
    <w:rsid w:val="00F12099"/>
    <w:rsid w:val="00F12265"/>
    <w:rsid w:val="00F12877"/>
    <w:rsid w:val="00F12982"/>
    <w:rsid w:val="00F140FA"/>
    <w:rsid w:val="00F15285"/>
    <w:rsid w:val="00F152B7"/>
    <w:rsid w:val="00F15A0B"/>
    <w:rsid w:val="00F201E0"/>
    <w:rsid w:val="00F208B9"/>
    <w:rsid w:val="00F21ABF"/>
    <w:rsid w:val="00F23228"/>
    <w:rsid w:val="00F27E7E"/>
    <w:rsid w:val="00F31E34"/>
    <w:rsid w:val="00F323D2"/>
    <w:rsid w:val="00F327DD"/>
    <w:rsid w:val="00F34E5A"/>
    <w:rsid w:val="00F35215"/>
    <w:rsid w:val="00F35F78"/>
    <w:rsid w:val="00F365D2"/>
    <w:rsid w:val="00F372B2"/>
    <w:rsid w:val="00F4197E"/>
    <w:rsid w:val="00F422BD"/>
    <w:rsid w:val="00F4232E"/>
    <w:rsid w:val="00F442C8"/>
    <w:rsid w:val="00F44300"/>
    <w:rsid w:val="00F44317"/>
    <w:rsid w:val="00F45BB0"/>
    <w:rsid w:val="00F4734B"/>
    <w:rsid w:val="00F478B2"/>
    <w:rsid w:val="00F500DF"/>
    <w:rsid w:val="00F50629"/>
    <w:rsid w:val="00F54802"/>
    <w:rsid w:val="00F56773"/>
    <w:rsid w:val="00F56EC8"/>
    <w:rsid w:val="00F57ABC"/>
    <w:rsid w:val="00F57ED1"/>
    <w:rsid w:val="00F607D9"/>
    <w:rsid w:val="00F60C3E"/>
    <w:rsid w:val="00F62225"/>
    <w:rsid w:val="00F624ED"/>
    <w:rsid w:val="00F634D4"/>
    <w:rsid w:val="00F63978"/>
    <w:rsid w:val="00F64E38"/>
    <w:rsid w:val="00F66325"/>
    <w:rsid w:val="00F66B78"/>
    <w:rsid w:val="00F702D6"/>
    <w:rsid w:val="00F70F63"/>
    <w:rsid w:val="00F70FA8"/>
    <w:rsid w:val="00F7155A"/>
    <w:rsid w:val="00F71742"/>
    <w:rsid w:val="00F723D1"/>
    <w:rsid w:val="00F73C67"/>
    <w:rsid w:val="00F74CC2"/>
    <w:rsid w:val="00F805A2"/>
    <w:rsid w:val="00F80E11"/>
    <w:rsid w:val="00F827A4"/>
    <w:rsid w:val="00F83681"/>
    <w:rsid w:val="00F842A7"/>
    <w:rsid w:val="00F8579A"/>
    <w:rsid w:val="00F870DE"/>
    <w:rsid w:val="00F87561"/>
    <w:rsid w:val="00F8762B"/>
    <w:rsid w:val="00F878A6"/>
    <w:rsid w:val="00F87A99"/>
    <w:rsid w:val="00F94796"/>
    <w:rsid w:val="00F9641F"/>
    <w:rsid w:val="00F967EF"/>
    <w:rsid w:val="00FA0857"/>
    <w:rsid w:val="00FA2BF8"/>
    <w:rsid w:val="00FA3FA1"/>
    <w:rsid w:val="00FA41F7"/>
    <w:rsid w:val="00FA7980"/>
    <w:rsid w:val="00FB0899"/>
    <w:rsid w:val="00FB16B9"/>
    <w:rsid w:val="00FB1A9A"/>
    <w:rsid w:val="00FB2691"/>
    <w:rsid w:val="00FB35D4"/>
    <w:rsid w:val="00FB51A3"/>
    <w:rsid w:val="00FB62B5"/>
    <w:rsid w:val="00FB66E9"/>
    <w:rsid w:val="00FB67B5"/>
    <w:rsid w:val="00FB6C8A"/>
    <w:rsid w:val="00FB72DA"/>
    <w:rsid w:val="00FC0259"/>
    <w:rsid w:val="00FC05BF"/>
    <w:rsid w:val="00FC2C6A"/>
    <w:rsid w:val="00FC3223"/>
    <w:rsid w:val="00FC39B1"/>
    <w:rsid w:val="00FC4774"/>
    <w:rsid w:val="00FC6E71"/>
    <w:rsid w:val="00FD0273"/>
    <w:rsid w:val="00FD0384"/>
    <w:rsid w:val="00FD0D94"/>
    <w:rsid w:val="00FD1719"/>
    <w:rsid w:val="00FD1AFD"/>
    <w:rsid w:val="00FD1CCF"/>
    <w:rsid w:val="00FD3B6F"/>
    <w:rsid w:val="00FD4240"/>
    <w:rsid w:val="00FD503D"/>
    <w:rsid w:val="00FD534D"/>
    <w:rsid w:val="00FD592C"/>
    <w:rsid w:val="00FD6B03"/>
    <w:rsid w:val="00FD6EEA"/>
    <w:rsid w:val="00FD7FFE"/>
    <w:rsid w:val="00FE0ED4"/>
    <w:rsid w:val="00FE1B43"/>
    <w:rsid w:val="00FE2568"/>
    <w:rsid w:val="00FE2692"/>
    <w:rsid w:val="00FE4B03"/>
    <w:rsid w:val="00FE6CEF"/>
    <w:rsid w:val="00FF20FF"/>
    <w:rsid w:val="00FF23C4"/>
    <w:rsid w:val="00FF25AF"/>
    <w:rsid w:val="00FF500A"/>
    <w:rsid w:val="00FF60AD"/>
    <w:rsid w:val="00FF6435"/>
    <w:rsid w:val="01DF27A1"/>
    <w:rsid w:val="01F63B31"/>
    <w:rsid w:val="029A742D"/>
    <w:rsid w:val="033F20BD"/>
    <w:rsid w:val="06E5FA60"/>
    <w:rsid w:val="07293178"/>
    <w:rsid w:val="09F64F97"/>
    <w:rsid w:val="0A0D460E"/>
    <w:rsid w:val="0AEF46DA"/>
    <w:rsid w:val="0B9F92F6"/>
    <w:rsid w:val="0BF216FD"/>
    <w:rsid w:val="0BFBDC50"/>
    <w:rsid w:val="0C14055E"/>
    <w:rsid w:val="0DB203EF"/>
    <w:rsid w:val="0DD71C24"/>
    <w:rsid w:val="0EA6FEA5"/>
    <w:rsid w:val="0EC7610D"/>
    <w:rsid w:val="0EEE2A65"/>
    <w:rsid w:val="0F260DF9"/>
    <w:rsid w:val="0F2B5C68"/>
    <w:rsid w:val="0FBFF7C9"/>
    <w:rsid w:val="0FC138D0"/>
    <w:rsid w:val="0FD550EB"/>
    <w:rsid w:val="0FEFC186"/>
    <w:rsid w:val="1126007C"/>
    <w:rsid w:val="11443462"/>
    <w:rsid w:val="11AE7893"/>
    <w:rsid w:val="11BB0CCA"/>
    <w:rsid w:val="11D41B63"/>
    <w:rsid w:val="12EF1C78"/>
    <w:rsid w:val="13391315"/>
    <w:rsid w:val="139F60FB"/>
    <w:rsid w:val="13EE4AF4"/>
    <w:rsid w:val="142313E0"/>
    <w:rsid w:val="15BFBDD0"/>
    <w:rsid w:val="15D74C1C"/>
    <w:rsid w:val="15F589D8"/>
    <w:rsid w:val="15FBD6F7"/>
    <w:rsid w:val="15FEFF7A"/>
    <w:rsid w:val="15FF6BF6"/>
    <w:rsid w:val="16AFC733"/>
    <w:rsid w:val="16BC7E7D"/>
    <w:rsid w:val="1713717D"/>
    <w:rsid w:val="17515270"/>
    <w:rsid w:val="17746151"/>
    <w:rsid w:val="17893B6A"/>
    <w:rsid w:val="178B26DA"/>
    <w:rsid w:val="17CEEBA9"/>
    <w:rsid w:val="17FEE426"/>
    <w:rsid w:val="17FFDA05"/>
    <w:rsid w:val="19376D81"/>
    <w:rsid w:val="1ADCBA5F"/>
    <w:rsid w:val="1AFF4782"/>
    <w:rsid w:val="1B0BDA71"/>
    <w:rsid w:val="1B644773"/>
    <w:rsid w:val="1B7D324B"/>
    <w:rsid w:val="1BEF7657"/>
    <w:rsid w:val="1BF35E59"/>
    <w:rsid w:val="1BFE9E91"/>
    <w:rsid w:val="1C0F2D2D"/>
    <w:rsid w:val="1C4C4F36"/>
    <w:rsid w:val="1CDEA6F5"/>
    <w:rsid w:val="1CEDBEA8"/>
    <w:rsid w:val="1D56F24F"/>
    <w:rsid w:val="1D916302"/>
    <w:rsid w:val="1DF7C2DA"/>
    <w:rsid w:val="1E3C30A0"/>
    <w:rsid w:val="1E3DAADE"/>
    <w:rsid w:val="1E3F93AF"/>
    <w:rsid w:val="1E7236B6"/>
    <w:rsid w:val="1E973E8F"/>
    <w:rsid w:val="1EC60A0F"/>
    <w:rsid w:val="1EC77D42"/>
    <w:rsid w:val="1ECB3ED3"/>
    <w:rsid w:val="1ECEB824"/>
    <w:rsid w:val="1ED33082"/>
    <w:rsid w:val="1EFD25F9"/>
    <w:rsid w:val="1F08609C"/>
    <w:rsid w:val="1F56FFA1"/>
    <w:rsid w:val="1FA61EEB"/>
    <w:rsid w:val="1FAF9374"/>
    <w:rsid w:val="1FBD9899"/>
    <w:rsid w:val="1FD9E9C8"/>
    <w:rsid w:val="1FDF0654"/>
    <w:rsid w:val="1FE716A2"/>
    <w:rsid w:val="1FEC0A29"/>
    <w:rsid w:val="1FEF8B73"/>
    <w:rsid w:val="220B32AF"/>
    <w:rsid w:val="22C62F3A"/>
    <w:rsid w:val="23415B68"/>
    <w:rsid w:val="23F10D53"/>
    <w:rsid w:val="23F6AEF3"/>
    <w:rsid w:val="23FFEB2E"/>
    <w:rsid w:val="245E2EB0"/>
    <w:rsid w:val="24D3A756"/>
    <w:rsid w:val="24E81237"/>
    <w:rsid w:val="261563B9"/>
    <w:rsid w:val="26E75257"/>
    <w:rsid w:val="271E9C29"/>
    <w:rsid w:val="272E548B"/>
    <w:rsid w:val="273F7E17"/>
    <w:rsid w:val="27532774"/>
    <w:rsid w:val="27720C4C"/>
    <w:rsid w:val="27B6DF63"/>
    <w:rsid w:val="27C70235"/>
    <w:rsid w:val="27D30408"/>
    <w:rsid w:val="27DEC9A5"/>
    <w:rsid w:val="27EE77CF"/>
    <w:rsid w:val="27FAFE75"/>
    <w:rsid w:val="284B6909"/>
    <w:rsid w:val="286379F8"/>
    <w:rsid w:val="28CD0111"/>
    <w:rsid w:val="2959155B"/>
    <w:rsid w:val="29CE0AFE"/>
    <w:rsid w:val="2A050A46"/>
    <w:rsid w:val="2A6D712E"/>
    <w:rsid w:val="2AFDAF60"/>
    <w:rsid w:val="2B9EE5ED"/>
    <w:rsid w:val="2BD27518"/>
    <w:rsid w:val="2BFD14DB"/>
    <w:rsid w:val="2BFEB9B3"/>
    <w:rsid w:val="2BFFA8A5"/>
    <w:rsid w:val="2C555706"/>
    <w:rsid w:val="2D860E5E"/>
    <w:rsid w:val="2D88708D"/>
    <w:rsid w:val="2D9E7B63"/>
    <w:rsid w:val="2DA489B3"/>
    <w:rsid w:val="2DB91642"/>
    <w:rsid w:val="2DDBB70C"/>
    <w:rsid w:val="2E04154E"/>
    <w:rsid w:val="2E39630E"/>
    <w:rsid w:val="2E6DCBCF"/>
    <w:rsid w:val="2E6F47F6"/>
    <w:rsid w:val="2E9B49AF"/>
    <w:rsid w:val="2EEE6647"/>
    <w:rsid w:val="2F54530E"/>
    <w:rsid w:val="2F776DEB"/>
    <w:rsid w:val="2F8215FD"/>
    <w:rsid w:val="2F8D0557"/>
    <w:rsid w:val="2FB7E173"/>
    <w:rsid w:val="2FBD08A7"/>
    <w:rsid w:val="2FBD937F"/>
    <w:rsid w:val="2FBF6FB8"/>
    <w:rsid w:val="2FD88657"/>
    <w:rsid w:val="2FE1EA2D"/>
    <w:rsid w:val="2FF78CBA"/>
    <w:rsid w:val="2FFD1DA2"/>
    <w:rsid w:val="30921B85"/>
    <w:rsid w:val="32D103B5"/>
    <w:rsid w:val="335F5F1A"/>
    <w:rsid w:val="335FA238"/>
    <w:rsid w:val="3377848B"/>
    <w:rsid w:val="337FEAF9"/>
    <w:rsid w:val="33AD165B"/>
    <w:rsid w:val="33BE9CD5"/>
    <w:rsid w:val="33C02300"/>
    <w:rsid w:val="33E7DEB3"/>
    <w:rsid w:val="33EFA73C"/>
    <w:rsid w:val="33F5E36A"/>
    <w:rsid w:val="33FF701F"/>
    <w:rsid w:val="3475285E"/>
    <w:rsid w:val="34790FFC"/>
    <w:rsid w:val="34DFCC51"/>
    <w:rsid w:val="35913FBB"/>
    <w:rsid w:val="362B56C3"/>
    <w:rsid w:val="363FA653"/>
    <w:rsid w:val="36EDADB4"/>
    <w:rsid w:val="373F77D0"/>
    <w:rsid w:val="375EA094"/>
    <w:rsid w:val="379234A4"/>
    <w:rsid w:val="379E6A40"/>
    <w:rsid w:val="37BFE79D"/>
    <w:rsid w:val="37DF2DD6"/>
    <w:rsid w:val="37DF700B"/>
    <w:rsid w:val="37EE409E"/>
    <w:rsid w:val="37F2F170"/>
    <w:rsid w:val="37F31E21"/>
    <w:rsid w:val="37F46EF3"/>
    <w:rsid w:val="39A91B73"/>
    <w:rsid w:val="39B23F7D"/>
    <w:rsid w:val="39D7FC96"/>
    <w:rsid w:val="39FF8104"/>
    <w:rsid w:val="3AB7A37F"/>
    <w:rsid w:val="3AB89792"/>
    <w:rsid w:val="3AEDF30C"/>
    <w:rsid w:val="3AEF7D57"/>
    <w:rsid w:val="3AFB607E"/>
    <w:rsid w:val="3AFF2AC7"/>
    <w:rsid w:val="3B2F6A62"/>
    <w:rsid w:val="3B2FF963"/>
    <w:rsid w:val="3B4448CF"/>
    <w:rsid w:val="3B4CE5B0"/>
    <w:rsid w:val="3B75BF38"/>
    <w:rsid w:val="3B7B2E0D"/>
    <w:rsid w:val="3B7F89B9"/>
    <w:rsid w:val="3B8A0DC3"/>
    <w:rsid w:val="3BA443B8"/>
    <w:rsid w:val="3BB1D3AC"/>
    <w:rsid w:val="3BB9F82F"/>
    <w:rsid w:val="3BCF19F8"/>
    <w:rsid w:val="3BD3A284"/>
    <w:rsid w:val="3BDF39C1"/>
    <w:rsid w:val="3BDF8995"/>
    <w:rsid w:val="3BE7BB5B"/>
    <w:rsid w:val="3BE9ECFC"/>
    <w:rsid w:val="3BEC33D1"/>
    <w:rsid w:val="3BF96EE7"/>
    <w:rsid w:val="3BFA26FF"/>
    <w:rsid w:val="3BFBF558"/>
    <w:rsid w:val="3BFD2A30"/>
    <w:rsid w:val="3BFE3B7E"/>
    <w:rsid w:val="3BFF979F"/>
    <w:rsid w:val="3C9EB686"/>
    <w:rsid w:val="3CEF330A"/>
    <w:rsid w:val="3D1D3248"/>
    <w:rsid w:val="3D323C74"/>
    <w:rsid w:val="3D6D1F84"/>
    <w:rsid w:val="3D7E3DA3"/>
    <w:rsid w:val="3D7F81D5"/>
    <w:rsid w:val="3DEFACC2"/>
    <w:rsid w:val="3E1FAF72"/>
    <w:rsid w:val="3E4A84CF"/>
    <w:rsid w:val="3E6C5DD9"/>
    <w:rsid w:val="3E7CD3F2"/>
    <w:rsid w:val="3E7F1755"/>
    <w:rsid w:val="3E8F2131"/>
    <w:rsid w:val="3EAE9719"/>
    <w:rsid w:val="3EAF6F38"/>
    <w:rsid w:val="3EB0A816"/>
    <w:rsid w:val="3EB542D6"/>
    <w:rsid w:val="3ED728FC"/>
    <w:rsid w:val="3EE37829"/>
    <w:rsid w:val="3EEB4BED"/>
    <w:rsid w:val="3EEC4AB3"/>
    <w:rsid w:val="3EF11695"/>
    <w:rsid w:val="3EF7BD61"/>
    <w:rsid w:val="3EF968EE"/>
    <w:rsid w:val="3EFC0F1E"/>
    <w:rsid w:val="3EFF20E1"/>
    <w:rsid w:val="3EFFD3E1"/>
    <w:rsid w:val="3F1EA5F2"/>
    <w:rsid w:val="3F36279F"/>
    <w:rsid w:val="3F4F4430"/>
    <w:rsid w:val="3F4F5A12"/>
    <w:rsid w:val="3F65688F"/>
    <w:rsid w:val="3F7492D0"/>
    <w:rsid w:val="3F7B1D7D"/>
    <w:rsid w:val="3F7F7C26"/>
    <w:rsid w:val="3F7FA6F9"/>
    <w:rsid w:val="3F800E58"/>
    <w:rsid w:val="3F8CBFBD"/>
    <w:rsid w:val="3F9BE200"/>
    <w:rsid w:val="3FAD292E"/>
    <w:rsid w:val="3FBBDC6F"/>
    <w:rsid w:val="3FDA01DD"/>
    <w:rsid w:val="3FDDEA02"/>
    <w:rsid w:val="3FDF16C2"/>
    <w:rsid w:val="3FDFBFB3"/>
    <w:rsid w:val="3FE64F5F"/>
    <w:rsid w:val="3FE9E51A"/>
    <w:rsid w:val="3FEA575E"/>
    <w:rsid w:val="3FEB33DD"/>
    <w:rsid w:val="3FEF1047"/>
    <w:rsid w:val="3FEF1726"/>
    <w:rsid w:val="3FEF3A59"/>
    <w:rsid w:val="3FEF617D"/>
    <w:rsid w:val="3FF200B2"/>
    <w:rsid w:val="3FF7FB14"/>
    <w:rsid w:val="3FF91D4E"/>
    <w:rsid w:val="3FFABA1D"/>
    <w:rsid w:val="3FFE6B5A"/>
    <w:rsid w:val="3FFFA0C9"/>
    <w:rsid w:val="40286339"/>
    <w:rsid w:val="40A34EF9"/>
    <w:rsid w:val="41094798"/>
    <w:rsid w:val="42AC37D8"/>
    <w:rsid w:val="42B2E90B"/>
    <w:rsid w:val="43EFAB43"/>
    <w:rsid w:val="43FE609C"/>
    <w:rsid w:val="44DC6497"/>
    <w:rsid w:val="44DE5A4E"/>
    <w:rsid w:val="454D2DE0"/>
    <w:rsid w:val="45D16686"/>
    <w:rsid w:val="462F5951"/>
    <w:rsid w:val="4697B0EC"/>
    <w:rsid w:val="46A5E501"/>
    <w:rsid w:val="479F083A"/>
    <w:rsid w:val="47BA6DDE"/>
    <w:rsid w:val="47BE0AB6"/>
    <w:rsid w:val="47E5BD3C"/>
    <w:rsid w:val="47FEB713"/>
    <w:rsid w:val="47FEEA0C"/>
    <w:rsid w:val="47FFB319"/>
    <w:rsid w:val="49FF1354"/>
    <w:rsid w:val="4A0B2A82"/>
    <w:rsid w:val="4B240373"/>
    <w:rsid w:val="4B5C669F"/>
    <w:rsid w:val="4B5FD1C2"/>
    <w:rsid w:val="4B7E4857"/>
    <w:rsid w:val="4C9630E6"/>
    <w:rsid w:val="4D796D4B"/>
    <w:rsid w:val="4DA78014"/>
    <w:rsid w:val="4DD29871"/>
    <w:rsid w:val="4DEF0CAE"/>
    <w:rsid w:val="4DEFFB07"/>
    <w:rsid w:val="4E7FD645"/>
    <w:rsid w:val="4E9D1594"/>
    <w:rsid w:val="4ED5FB2D"/>
    <w:rsid w:val="4EE40807"/>
    <w:rsid w:val="4EFEE3CF"/>
    <w:rsid w:val="4EFFCC04"/>
    <w:rsid w:val="4F035B5E"/>
    <w:rsid w:val="4F4DC02C"/>
    <w:rsid w:val="4F4E3BCE"/>
    <w:rsid w:val="4F4F56C9"/>
    <w:rsid w:val="4F6715EE"/>
    <w:rsid w:val="4F7FAC37"/>
    <w:rsid w:val="4FA32AE8"/>
    <w:rsid w:val="4FA6572E"/>
    <w:rsid w:val="4FAB1773"/>
    <w:rsid w:val="4FB77DE6"/>
    <w:rsid w:val="4FBBE42B"/>
    <w:rsid w:val="4FBF8279"/>
    <w:rsid w:val="4FFB8451"/>
    <w:rsid w:val="4FFB8E16"/>
    <w:rsid w:val="4FFFB35D"/>
    <w:rsid w:val="50450572"/>
    <w:rsid w:val="51624E8A"/>
    <w:rsid w:val="51DF7224"/>
    <w:rsid w:val="521F3E4B"/>
    <w:rsid w:val="52EFBDB1"/>
    <w:rsid w:val="53DE26C8"/>
    <w:rsid w:val="53E7DABE"/>
    <w:rsid w:val="53EE158E"/>
    <w:rsid w:val="53FDFCAE"/>
    <w:rsid w:val="548B2661"/>
    <w:rsid w:val="54CA1FCA"/>
    <w:rsid w:val="54F115E0"/>
    <w:rsid w:val="55447A06"/>
    <w:rsid w:val="555BA0AF"/>
    <w:rsid w:val="557F36C1"/>
    <w:rsid w:val="55DF30E4"/>
    <w:rsid w:val="55FA15B7"/>
    <w:rsid w:val="562D8241"/>
    <w:rsid w:val="567F53D9"/>
    <w:rsid w:val="56B5692E"/>
    <w:rsid w:val="56BEE398"/>
    <w:rsid w:val="57014352"/>
    <w:rsid w:val="5707333B"/>
    <w:rsid w:val="573D63DA"/>
    <w:rsid w:val="576E940A"/>
    <w:rsid w:val="57AFC138"/>
    <w:rsid w:val="57BFE285"/>
    <w:rsid w:val="57D5B179"/>
    <w:rsid w:val="57DBE7AC"/>
    <w:rsid w:val="57DD41C0"/>
    <w:rsid w:val="57E70F57"/>
    <w:rsid w:val="57EF46D5"/>
    <w:rsid w:val="57FBCD8A"/>
    <w:rsid w:val="57FDC686"/>
    <w:rsid w:val="57FFE8DD"/>
    <w:rsid w:val="582A60AC"/>
    <w:rsid w:val="58841836"/>
    <w:rsid w:val="58BFC293"/>
    <w:rsid w:val="58D96099"/>
    <w:rsid w:val="594F9F96"/>
    <w:rsid w:val="598F29B3"/>
    <w:rsid w:val="599FD232"/>
    <w:rsid w:val="59CD9A52"/>
    <w:rsid w:val="59EF0511"/>
    <w:rsid w:val="59FF62C8"/>
    <w:rsid w:val="5A7F463C"/>
    <w:rsid w:val="5ABBDF2B"/>
    <w:rsid w:val="5AEC2D3D"/>
    <w:rsid w:val="5B3336B2"/>
    <w:rsid w:val="5B3E2C04"/>
    <w:rsid w:val="5B5642E6"/>
    <w:rsid w:val="5B7E9F71"/>
    <w:rsid w:val="5B9467C0"/>
    <w:rsid w:val="5B9A48BE"/>
    <w:rsid w:val="5BAFF1B8"/>
    <w:rsid w:val="5BBBAF0A"/>
    <w:rsid w:val="5BD7D220"/>
    <w:rsid w:val="5BDDF1F8"/>
    <w:rsid w:val="5BF3A74E"/>
    <w:rsid w:val="5BF68CF6"/>
    <w:rsid w:val="5BF8AA04"/>
    <w:rsid w:val="5BFC5027"/>
    <w:rsid w:val="5BFD1224"/>
    <w:rsid w:val="5BFD3CB7"/>
    <w:rsid w:val="5BFDB7EC"/>
    <w:rsid w:val="5C6FBA19"/>
    <w:rsid w:val="5C7EB9DA"/>
    <w:rsid w:val="5C9B734C"/>
    <w:rsid w:val="5CD78333"/>
    <w:rsid w:val="5CEBCAD6"/>
    <w:rsid w:val="5CF3E376"/>
    <w:rsid w:val="5CFF2307"/>
    <w:rsid w:val="5D177A7A"/>
    <w:rsid w:val="5D7F530F"/>
    <w:rsid w:val="5D8CAEE6"/>
    <w:rsid w:val="5D953CD4"/>
    <w:rsid w:val="5DB3473A"/>
    <w:rsid w:val="5DBF23B5"/>
    <w:rsid w:val="5DC67B8B"/>
    <w:rsid w:val="5DDB479A"/>
    <w:rsid w:val="5DED387C"/>
    <w:rsid w:val="5DF5385C"/>
    <w:rsid w:val="5DF7A785"/>
    <w:rsid w:val="5DFDEB58"/>
    <w:rsid w:val="5DFE02C1"/>
    <w:rsid w:val="5E2FF403"/>
    <w:rsid w:val="5E336754"/>
    <w:rsid w:val="5E3B697E"/>
    <w:rsid w:val="5E60746C"/>
    <w:rsid w:val="5E7594B2"/>
    <w:rsid w:val="5E937489"/>
    <w:rsid w:val="5EBE7485"/>
    <w:rsid w:val="5EBFB65F"/>
    <w:rsid w:val="5ECB379A"/>
    <w:rsid w:val="5ED152C2"/>
    <w:rsid w:val="5EEA59D5"/>
    <w:rsid w:val="5EF7A60A"/>
    <w:rsid w:val="5EFAFDD7"/>
    <w:rsid w:val="5EFD709E"/>
    <w:rsid w:val="5EFEADE1"/>
    <w:rsid w:val="5F1F1CEB"/>
    <w:rsid w:val="5F1F70DF"/>
    <w:rsid w:val="5F3EB388"/>
    <w:rsid w:val="5F3F32A1"/>
    <w:rsid w:val="5F3F4069"/>
    <w:rsid w:val="5F585F83"/>
    <w:rsid w:val="5F7D9EDD"/>
    <w:rsid w:val="5F7E2721"/>
    <w:rsid w:val="5F7E5599"/>
    <w:rsid w:val="5FAA78F5"/>
    <w:rsid w:val="5FD9895F"/>
    <w:rsid w:val="5FDB01DB"/>
    <w:rsid w:val="5FDC4B56"/>
    <w:rsid w:val="5FE744AA"/>
    <w:rsid w:val="5FEB83AD"/>
    <w:rsid w:val="5FEEFD8E"/>
    <w:rsid w:val="5FEF519A"/>
    <w:rsid w:val="5FEF96F0"/>
    <w:rsid w:val="5FEFD330"/>
    <w:rsid w:val="5FF33712"/>
    <w:rsid w:val="5FF79CF0"/>
    <w:rsid w:val="5FF980EC"/>
    <w:rsid w:val="5FF98146"/>
    <w:rsid w:val="5FF999D4"/>
    <w:rsid w:val="5FFA2044"/>
    <w:rsid w:val="5FFA3473"/>
    <w:rsid w:val="5FFBE073"/>
    <w:rsid w:val="5FFC2FA4"/>
    <w:rsid w:val="5FFDD2DA"/>
    <w:rsid w:val="5FFF5029"/>
    <w:rsid w:val="5FFFFC6E"/>
    <w:rsid w:val="617D4A6A"/>
    <w:rsid w:val="61B31169"/>
    <w:rsid w:val="61D35B82"/>
    <w:rsid w:val="61D96C3B"/>
    <w:rsid w:val="62C73DF1"/>
    <w:rsid w:val="62CF0EFF"/>
    <w:rsid w:val="62D06F7C"/>
    <w:rsid w:val="62FFDDCB"/>
    <w:rsid w:val="638377A8"/>
    <w:rsid w:val="63EB71E8"/>
    <w:rsid w:val="63FC607C"/>
    <w:rsid w:val="63FF7A03"/>
    <w:rsid w:val="6417516A"/>
    <w:rsid w:val="645D6ED9"/>
    <w:rsid w:val="648835C7"/>
    <w:rsid w:val="653B7765"/>
    <w:rsid w:val="655B3FD7"/>
    <w:rsid w:val="65C37738"/>
    <w:rsid w:val="65E46921"/>
    <w:rsid w:val="670C1F82"/>
    <w:rsid w:val="671E9133"/>
    <w:rsid w:val="67475541"/>
    <w:rsid w:val="677DC604"/>
    <w:rsid w:val="677DF9AF"/>
    <w:rsid w:val="678E41F3"/>
    <w:rsid w:val="67AFF102"/>
    <w:rsid w:val="67B7B560"/>
    <w:rsid w:val="67CE9F02"/>
    <w:rsid w:val="67DD8961"/>
    <w:rsid w:val="67DE850A"/>
    <w:rsid w:val="67EAE887"/>
    <w:rsid w:val="694D1DDC"/>
    <w:rsid w:val="69774823"/>
    <w:rsid w:val="697E3C46"/>
    <w:rsid w:val="69BC06BD"/>
    <w:rsid w:val="69FE0A5F"/>
    <w:rsid w:val="6A3D2095"/>
    <w:rsid w:val="6A4515FF"/>
    <w:rsid w:val="6A723F09"/>
    <w:rsid w:val="6A7D6FBC"/>
    <w:rsid w:val="6A860352"/>
    <w:rsid w:val="6A8B0F56"/>
    <w:rsid w:val="6ABF683F"/>
    <w:rsid w:val="6ABFCBE9"/>
    <w:rsid w:val="6AEC4A2D"/>
    <w:rsid w:val="6AF57D44"/>
    <w:rsid w:val="6B7BBC6F"/>
    <w:rsid w:val="6BBE8DC3"/>
    <w:rsid w:val="6BDB9361"/>
    <w:rsid w:val="6BDC5CA0"/>
    <w:rsid w:val="6BDCF144"/>
    <w:rsid w:val="6BE73003"/>
    <w:rsid w:val="6BEFAF24"/>
    <w:rsid w:val="6BEFFBC2"/>
    <w:rsid w:val="6BF3BB87"/>
    <w:rsid w:val="6BFD7552"/>
    <w:rsid w:val="6BFE00A3"/>
    <w:rsid w:val="6BFF6CCC"/>
    <w:rsid w:val="6CBB95F6"/>
    <w:rsid w:val="6CBCFB11"/>
    <w:rsid w:val="6CF6948C"/>
    <w:rsid w:val="6CF7D0E3"/>
    <w:rsid w:val="6CFEDE13"/>
    <w:rsid w:val="6D57DC9A"/>
    <w:rsid w:val="6D5D17A2"/>
    <w:rsid w:val="6D6B4986"/>
    <w:rsid w:val="6D6E17C5"/>
    <w:rsid w:val="6D7FA425"/>
    <w:rsid w:val="6DFB684D"/>
    <w:rsid w:val="6DFCE492"/>
    <w:rsid w:val="6DFD965B"/>
    <w:rsid w:val="6DFF3DA8"/>
    <w:rsid w:val="6DFF8FE4"/>
    <w:rsid w:val="6DFF93EE"/>
    <w:rsid w:val="6E182A45"/>
    <w:rsid w:val="6E4E3658"/>
    <w:rsid w:val="6E5969EA"/>
    <w:rsid w:val="6E65A335"/>
    <w:rsid w:val="6E72127E"/>
    <w:rsid w:val="6EB56785"/>
    <w:rsid w:val="6EBBEFC4"/>
    <w:rsid w:val="6EDF3A8D"/>
    <w:rsid w:val="6EEEA5EE"/>
    <w:rsid w:val="6EEF3DBB"/>
    <w:rsid w:val="6EEF5774"/>
    <w:rsid w:val="6EF1815E"/>
    <w:rsid w:val="6EF7BA2F"/>
    <w:rsid w:val="6EFEF699"/>
    <w:rsid w:val="6F2F60A1"/>
    <w:rsid w:val="6F5BAD55"/>
    <w:rsid w:val="6F5E201F"/>
    <w:rsid w:val="6F5ECC87"/>
    <w:rsid w:val="6F7723CE"/>
    <w:rsid w:val="6F7E0090"/>
    <w:rsid w:val="6F7FF651"/>
    <w:rsid w:val="6F9A6F50"/>
    <w:rsid w:val="6F9B5ADC"/>
    <w:rsid w:val="6F9BDB6C"/>
    <w:rsid w:val="6F9D25AC"/>
    <w:rsid w:val="6F9FCFB9"/>
    <w:rsid w:val="6FA58BCC"/>
    <w:rsid w:val="6FAF19E1"/>
    <w:rsid w:val="6FBF8E07"/>
    <w:rsid w:val="6FBF955A"/>
    <w:rsid w:val="6FC7935B"/>
    <w:rsid w:val="6FCF9412"/>
    <w:rsid w:val="6FD788F5"/>
    <w:rsid w:val="6FDEFEF9"/>
    <w:rsid w:val="6FDF767E"/>
    <w:rsid w:val="6FE644E1"/>
    <w:rsid w:val="6FEB7021"/>
    <w:rsid w:val="6FEB91EC"/>
    <w:rsid w:val="6FF4CBE6"/>
    <w:rsid w:val="6FFB0603"/>
    <w:rsid w:val="6FFB67C7"/>
    <w:rsid w:val="6FFDC0A3"/>
    <w:rsid w:val="6FFF3CE2"/>
    <w:rsid w:val="6FFFF469"/>
    <w:rsid w:val="7077A43F"/>
    <w:rsid w:val="708B3515"/>
    <w:rsid w:val="70DE537D"/>
    <w:rsid w:val="70F9B025"/>
    <w:rsid w:val="70FBCB2C"/>
    <w:rsid w:val="712B3822"/>
    <w:rsid w:val="715FC76C"/>
    <w:rsid w:val="71660D31"/>
    <w:rsid w:val="71692C8E"/>
    <w:rsid w:val="717DD7B3"/>
    <w:rsid w:val="71844044"/>
    <w:rsid w:val="71884B08"/>
    <w:rsid w:val="719DC92F"/>
    <w:rsid w:val="71EF1ABB"/>
    <w:rsid w:val="71FB4449"/>
    <w:rsid w:val="7273247D"/>
    <w:rsid w:val="72C07827"/>
    <w:rsid w:val="72ED450B"/>
    <w:rsid w:val="72F87E26"/>
    <w:rsid w:val="72FFCF7B"/>
    <w:rsid w:val="73774FB1"/>
    <w:rsid w:val="737B0ED8"/>
    <w:rsid w:val="737EE920"/>
    <w:rsid w:val="73856FF8"/>
    <w:rsid w:val="73A7572A"/>
    <w:rsid w:val="73B51EF9"/>
    <w:rsid w:val="73BB12E0"/>
    <w:rsid w:val="73D01555"/>
    <w:rsid w:val="73D68846"/>
    <w:rsid w:val="73ED6581"/>
    <w:rsid w:val="73EFF68F"/>
    <w:rsid w:val="73F31CE6"/>
    <w:rsid w:val="73F67713"/>
    <w:rsid w:val="73FEF627"/>
    <w:rsid w:val="7474F750"/>
    <w:rsid w:val="74D487E0"/>
    <w:rsid w:val="75150BCE"/>
    <w:rsid w:val="754D1B9A"/>
    <w:rsid w:val="757D7A13"/>
    <w:rsid w:val="757DC1AF"/>
    <w:rsid w:val="758BCED1"/>
    <w:rsid w:val="75AC1E99"/>
    <w:rsid w:val="75BBBC97"/>
    <w:rsid w:val="75BFA760"/>
    <w:rsid w:val="75C441C0"/>
    <w:rsid w:val="75F16A70"/>
    <w:rsid w:val="75F6C1F4"/>
    <w:rsid w:val="75FAB8AE"/>
    <w:rsid w:val="75FE53C8"/>
    <w:rsid w:val="75FF384B"/>
    <w:rsid w:val="76206228"/>
    <w:rsid w:val="7639CDBB"/>
    <w:rsid w:val="763C6BA9"/>
    <w:rsid w:val="767D9B7C"/>
    <w:rsid w:val="767FD516"/>
    <w:rsid w:val="76BB9CA5"/>
    <w:rsid w:val="76EFB9C9"/>
    <w:rsid w:val="76FBD766"/>
    <w:rsid w:val="76FEFD5E"/>
    <w:rsid w:val="76FF95AE"/>
    <w:rsid w:val="7729B9CA"/>
    <w:rsid w:val="775F8ADC"/>
    <w:rsid w:val="776B273C"/>
    <w:rsid w:val="776EFD4D"/>
    <w:rsid w:val="777ED7C6"/>
    <w:rsid w:val="777F8A55"/>
    <w:rsid w:val="7789629F"/>
    <w:rsid w:val="7797CA11"/>
    <w:rsid w:val="779F6AA7"/>
    <w:rsid w:val="77B2FF19"/>
    <w:rsid w:val="77BF26A7"/>
    <w:rsid w:val="77C7E874"/>
    <w:rsid w:val="77CB89BE"/>
    <w:rsid w:val="77D0BF8E"/>
    <w:rsid w:val="77DB4BD1"/>
    <w:rsid w:val="77DE42AA"/>
    <w:rsid w:val="77DFA61D"/>
    <w:rsid w:val="77EDB1F1"/>
    <w:rsid w:val="77F26746"/>
    <w:rsid w:val="77F58A90"/>
    <w:rsid w:val="77F775FB"/>
    <w:rsid w:val="77F7AFA9"/>
    <w:rsid w:val="77F7F1BE"/>
    <w:rsid w:val="77F95BD2"/>
    <w:rsid w:val="77FB3E98"/>
    <w:rsid w:val="77FCA16E"/>
    <w:rsid w:val="77FE7B4F"/>
    <w:rsid w:val="77FF0D06"/>
    <w:rsid w:val="77FF5B7A"/>
    <w:rsid w:val="786C74ED"/>
    <w:rsid w:val="78AA05C8"/>
    <w:rsid w:val="78BFC3B0"/>
    <w:rsid w:val="78DF136F"/>
    <w:rsid w:val="78F74BF5"/>
    <w:rsid w:val="78FB78D2"/>
    <w:rsid w:val="78FBA2ED"/>
    <w:rsid w:val="78FD27C7"/>
    <w:rsid w:val="78FE5A63"/>
    <w:rsid w:val="791668EE"/>
    <w:rsid w:val="79516EBF"/>
    <w:rsid w:val="795E8D68"/>
    <w:rsid w:val="795F75BD"/>
    <w:rsid w:val="798FDD30"/>
    <w:rsid w:val="79AF349B"/>
    <w:rsid w:val="79BB5570"/>
    <w:rsid w:val="79BB5D66"/>
    <w:rsid w:val="79BE15F1"/>
    <w:rsid w:val="79D945A5"/>
    <w:rsid w:val="79DF37F9"/>
    <w:rsid w:val="79E99839"/>
    <w:rsid w:val="79F11DD0"/>
    <w:rsid w:val="79F346E7"/>
    <w:rsid w:val="79FBE1F7"/>
    <w:rsid w:val="79FF3494"/>
    <w:rsid w:val="7A9F2409"/>
    <w:rsid w:val="7AB7FBA4"/>
    <w:rsid w:val="7ABD431C"/>
    <w:rsid w:val="7ACFF7E7"/>
    <w:rsid w:val="7ADF8D06"/>
    <w:rsid w:val="7AF1E608"/>
    <w:rsid w:val="7AF49052"/>
    <w:rsid w:val="7AF5429E"/>
    <w:rsid w:val="7B15E767"/>
    <w:rsid w:val="7B1E9879"/>
    <w:rsid w:val="7B3BAE17"/>
    <w:rsid w:val="7B3FD99F"/>
    <w:rsid w:val="7B5E6D67"/>
    <w:rsid w:val="7B757168"/>
    <w:rsid w:val="7B776EEE"/>
    <w:rsid w:val="7B7B0273"/>
    <w:rsid w:val="7B7D0951"/>
    <w:rsid w:val="7B7F93E2"/>
    <w:rsid w:val="7B7FBFEB"/>
    <w:rsid w:val="7BB411C3"/>
    <w:rsid w:val="7BB59F4D"/>
    <w:rsid w:val="7BBA1DF7"/>
    <w:rsid w:val="7BBB13C9"/>
    <w:rsid w:val="7BBF08EE"/>
    <w:rsid w:val="7BBF1625"/>
    <w:rsid w:val="7BBFFAA8"/>
    <w:rsid w:val="7BC3E1CB"/>
    <w:rsid w:val="7BD734A3"/>
    <w:rsid w:val="7BDD7B37"/>
    <w:rsid w:val="7BDDA73C"/>
    <w:rsid w:val="7BE44CF8"/>
    <w:rsid w:val="7BEA6A05"/>
    <w:rsid w:val="7BEB247B"/>
    <w:rsid w:val="7BEFE6DA"/>
    <w:rsid w:val="7BF3BF39"/>
    <w:rsid w:val="7BF5B9F7"/>
    <w:rsid w:val="7BF70AB0"/>
    <w:rsid w:val="7BF767AD"/>
    <w:rsid w:val="7BFA25E7"/>
    <w:rsid w:val="7BFC3C65"/>
    <w:rsid w:val="7BFE72B7"/>
    <w:rsid w:val="7BFEEFEC"/>
    <w:rsid w:val="7BFF41CF"/>
    <w:rsid w:val="7C1FED41"/>
    <w:rsid w:val="7C67BD8A"/>
    <w:rsid w:val="7C9E0C08"/>
    <w:rsid w:val="7CD098CE"/>
    <w:rsid w:val="7CDFF093"/>
    <w:rsid w:val="7CE42760"/>
    <w:rsid w:val="7CF5A78E"/>
    <w:rsid w:val="7CFEE297"/>
    <w:rsid w:val="7CFF5F62"/>
    <w:rsid w:val="7D1F3A6B"/>
    <w:rsid w:val="7D3B2FB6"/>
    <w:rsid w:val="7D57E2C2"/>
    <w:rsid w:val="7D75143C"/>
    <w:rsid w:val="7D7C255C"/>
    <w:rsid w:val="7D7F7F4D"/>
    <w:rsid w:val="7DA39A1C"/>
    <w:rsid w:val="7DBBB1D2"/>
    <w:rsid w:val="7DBDC376"/>
    <w:rsid w:val="7DBFBEF4"/>
    <w:rsid w:val="7DCCA112"/>
    <w:rsid w:val="7DDF7960"/>
    <w:rsid w:val="7DDF9BC5"/>
    <w:rsid w:val="7DDFF113"/>
    <w:rsid w:val="7DE5B451"/>
    <w:rsid w:val="7DEB9A91"/>
    <w:rsid w:val="7DF4A9F5"/>
    <w:rsid w:val="7DF5F05D"/>
    <w:rsid w:val="7DF74725"/>
    <w:rsid w:val="7DF790F9"/>
    <w:rsid w:val="7DF84455"/>
    <w:rsid w:val="7DF9B896"/>
    <w:rsid w:val="7DFA3791"/>
    <w:rsid w:val="7DFA7BD2"/>
    <w:rsid w:val="7DFB0C88"/>
    <w:rsid w:val="7DFB7837"/>
    <w:rsid w:val="7DFE5EBD"/>
    <w:rsid w:val="7DFEA849"/>
    <w:rsid w:val="7DFF289B"/>
    <w:rsid w:val="7DFF8CEA"/>
    <w:rsid w:val="7DFFB292"/>
    <w:rsid w:val="7DFFB7A9"/>
    <w:rsid w:val="7DFFE009"/>
    <w:rsid w:val="7DFFE626"/>
    <w:rsid w:val="7DFFEF6C"/>
    <w:rsid w:val="7E07355D"/>
    <w:rsid w:val="7E131720"/>
    <w:rsid w:val="7E220D10"/>
    <w:rsid w:val="7E5F4FAD"/>
    <w:rsid w:val="7E5F86EE"/>
    <w:rsid w:val="7E5FDE9C"/>
    <w:rsid w:val="7E5FE693"/>
    <w:rsid w:val="7E652F5C"/>
    <w:rsid w:val="7E6DB550"/>
    <w:rsid w:val="7E7B84EB"/>
    <w:rsid w:val="7E7BA5F5"/>
    <w:rsid w:val="7E884CE2"/>
    <w:rsid w:val="7E8F5D39"/>
    <w:rsid w:val="7E8F6586"/>
    <w:rsid w:val="7EAD171A"/>
    <w:rsid w:val="7EB9FE92"/>
    <w:rsid w:val="7EBA6A5F"/>
    <w:rsid w:val="7EBD3167"/>
    <w:rsid w:val="7EC7E795"/>
    <w:rsid w:val="7EDB602D"/>
    <w:rsid w:val="7EDF0B49"/>
    <w:rsid w:val="7EED2D5B"/>
    <w:rsid w:val="7EEDC4AF"/>
    <w:rsid w:val="7EEE9E16"/>
    <w:rsid w:val="7EF2E440"/>
    <w:rsid w:val="7EF34A6F"/>
    <w:rsid w:val="7EF5BD95"/>
    <w:rsid w:val="7EF7E87F"/>
    <w:rsid w:val="7EFBDC7D"/>
    <w:rsid w:val="7EFDB6A1"/>
    <w:rsid w:val="7EFDE50D"/>
    <w:rsid w:val="7EFE2D74"/>
    <w:rsid w:val="7EFE5105"/>
    <w:rsid w:val="7EFF1433"/>
    <w:rsid w:val="7EFF16F6"/>
    <w:rsid w:val="7EFF7889"/>
    <w:rsid w:val="7EFF8A06"/>
    <w:rsid w:val="7EFFCE13"/>
    <w:rsid w:val="7F1FDF33"/>
    <w:rsid w:val="7F26DC41"/>
    <w:rsid w:val="7F2B508F"/>
    <w:rsid w:val="7F2C2F13"/>
    <w:rsid w:val="7F2DF10F"/>
    <w:rsid w:val="7F2E0F84"/>
    <w:rsid w:val="7F2E263F"/>
    <w:rsid w:val="7F37D14E"/>
    <w:rsid w:val="7F3BB3B8"/>
    <w:rsid w:val="7F3E124F"/>
    <w:rsid w:val="7F3E61DB"/>
    <w:rsid w:val="7F3FBDFD"/>
    <w:rsid w:val="7F532DA4"/>
    <w:rsid w:val="7F59FBAD"/>
    <w:rsid w:val="7F5A1869"/>
    <w:rsid w:val="7F5D4CA1"/>
    <w:rsid w:val="7F66564B"/>
    <w:rsid w:val="7F736BB3"/>
    <w:rsid w:val="7F759B80"/>
    <w:rsid w:val="7F7A0D5A"/>
    <w:rsid w:val="7F7D72E0"/>
    <w:rsid w:val="7F7E62FE"/>
    <w:rsid w:val="7F7F4081"/>
    <w:rsid w:val="7F7F8BA7"/>
    <w:rsid w:val="7F7FE757"/>
    <w:rsid w:val="7F7FEA65"/>
    <w:rsid w:val="7F8DE414"/>
    <w:rsid w:val="7F9509F6"/>
    <w:rsid w:val="7F979FD3"/>
    <w:rsid w:val="7F9A9519"/>
    <w:rsid w:val="7F9BBFCF"/>
    <w:rsid w:val="7FA73241"/>
    <w:rsid w:val="7FA7E5AA"/>
    <w:rsid w:val="7FA906A8"/>
    <w:rsid w:val="7FADB99B"/>
    <w:rsid w:val="7FAF0973"/>
    <w:rsid w:val="7FB7DD35"/>
    <w:rsid w:val="7FBC285B"/>
    <w:rsid w:val="7FBE3F1A"/>
    <w:rsid w:val="7FBF0F57"/>
    <w:rsid w:val="7FBF1CE7"/>
    <w:rsid w:val="7FBFE2FD"/>
    <w:rsid w:val="7FD232CF"/>
    <w:rsid w:val="7FD39406"/>
    <w:rsid w:val="7FD500EF"/>
    <w:rsid w:val="7FD5DB77"/>
    <w:rsid w:val="7FD71EF4"/>
    <w:rsid w:val="7FD7DCD4"/>
    <w:rsid w:val="7FDD30B5"/>
    <w:rsid w:val="7FDDDA05"/>
    <w:rsid w:val="7FDF0374"/>
    <w:rsid w:val="7FDF62F6"/>
    <w:rsid w:val="7FDF6EEC"/>
    <w:rsid w:val="7FDFF71C"/>
    <w:rsid w:val="7FE1423F"/>
    <w:rsid w:val="7FE7D156"/>
    <w:rsid w:val="7FEA437C"/>
    <w:rsid w:val="7FEAB617"/>
    <w:rsid w:val="7FEB9FD7"/>
    <w:rsid w:val="7FEBC153"/>
    <w:rsid w:val="7FECD89D"/>
    <w:rsid w:val="7FED05D8"/>
    <w:rsid w:val="7FEEA687"/>
    <w:rsid w:val="7FEF4DB0"/>
    <w:rsid w:val="7FEF5E61"/>
    <w:rsid w:val="7FEF779A"/>
    <w:rsid w:val="7FEF8320"/>
    <w:rsid w:val="7FEFE316"/>
    <w:rsid w:val="7FEFF3CE"/>
    <w:rsid w:val="7FF3054E"/>
    <w:rsid w:val="7FF3C790"/>
    <w:rsid w:val="7FF49BA0"/>
    <w:rsid w:val="7FF6014E"/>
    <w:rsid w:val="7FF7841C"/>
    <w:rsid w:val="7FF79A2F"/>
    <w:rsid w:val="7FF7AD73"/>
    <w:rsid w:val="7FF7AE27"/>
    <w:rsid w:val="7FF95C95"/>
    <w:rsid w:val="7FFB0B36"/>
    <w:rsid w:val="7FFBB955"/>
    <w:rsid w:val="7FFBC8F2"/>
    <w:rsid w:val="7FFBE6EF"/>
    <w:rsid w:val="7FFD647B"/>
    <w:rsid w:val="7FFE2D43"/>
    <w:rsid w:val="7FFE6059"/>
    <w:rsid w:val="7FFE6B32"/>
    <w:rsid w:val="7FFEDEBC"/>
    <w:rsid w:val="7FFF38E2"/>
    <w:rsid w:val="7FFF4344"/>
    <w:rsid w:val="7FFF4553"/>
    <w:rsid w:val="7FFF7D41"/>
    <w:rsid w:val="7FFFB338"/>
    <w:rsid w:val="7FFFB69F"/>
    <w:rsid w:val="7FFFE0A9"/>
    <w:rsid w:val="7FFFEF51"/>
    <w:rsid w:val="878BBF5A"/>
    <w:rsid w:val="89CF1D98"/>
    <w:rsid w:val="8BBF9311"/>
    <w:rsid w:val="8ED7C19A"/>
    <w:rsid w:val="8EEEF1E8"/>
    <w:rsid w:val="8F738877"/>
    <w:rsid w:val="8F7E7D85"/>
    <w:rsid w:val="8FCFEC67"/>
    <w:rsid w:val="8FFB6887"/>
    <w:rsid w:val="8FFFEB91"/>
    <w:rsid w:val="93B96D56"/>
    <w:rsid w:val="93DE452D"/>
    <w:rsid w:val="95B9AA5C"/>
    <w:rsid w:val="96DF0BAC"/>
    <w:rsid w:val="97BBDB9E"/>
    <w:rsid w:val="97FDE061"/>
    <w:rsid w:val="9B6A78A1"/>
    <w:rsid w:val="9B7F74AA"/>
    <w:rsid w:val="9B9ECE6A"/>
    <w:rsid w:val="9BCF3212"/>
    <w:rsid w:val="9BD700FA"/>
    <w:rsid w:val="9BDAE751"/>
    <w:rsid w:val="9BFDA9B9"/>
    <w:rsid w:val="9CDD68BD"/>
    <w:rsid w:val="9CFDB1E6"/>
    <w:rsid w:val="9D1D3CE9"/>
    <w:rsid w:val="9DBE0C4A"/>
    <w:rsid w:val="9DED8F43"/>
    <w:rsid w:val="9DF9C5D1"/>
    <w:rsid w:val="9E993BF0"/>
    <w:rsid w:val="9EECD5E1"/>
    <w:rsid w:val="9EFF63D0"/>
    <w:rsid w:val="9F33322C"/>
    <w:rsid w:val="9F370502"/>
    <w:rsid w:val="9F5BFDD6"/>
    <w:rsid w:val="9FD5BB96"/>
    <w:rsid w:val="9FD7768C"/>
    <w:rsid w:val="9FEF9D75"/>
    <w:rsid w:val="9FF7D87B"/>
    <w:rsid w:val="9FF7F80E"/>
    <w:rsid w:val="9FFD6819"/>
    <w:rsid w:val="9FFF9EED"/>
    <w:rsid w:val="A38E863A"/>
    <w:rsid w:val="A57EDA5E"/>
    <w:rsid w:val="A5ADD129"/>
    <w:rsid w:val="A5FF95BE"/>
    <w:rsid w:val="A7ED053A"/>
    <w:rsid w:val="A7F7032C"/>
    <w:rsid w:val="A7FF35F6"/>
    <w:rsid w:val="A7FF913D"/>
    <w:rsid w:val="A9DBD770"/>
    <w:rsid w:val="A9F63E89"/>
    <w:rsid w:val="AAD7EF30"/>
    <w:rsid w:val="AAFD4DA8"/>
    <w:rsid w:val="AB1F4437"/>
    <w:rsid w:val="AB4FFB16"/>
    <w:rsid w:val="AB8B1C07"/>
    <w:rsid w:val="AB9F2C54"/>
    <w:rsid w:val="ABBFA497"/>
    <w:rsid w:val="ABC79617"/>
    <w:rsid w:val="ABE31758"/>
    <w:rsid w:val="ABF73216"/>
    <w:rsid w:val="ABFE4843"/>
    <w:rsid w:val="ABFF44BA"/>
    <w:rsid w:val="ACDF8080"/>
    <w:rsid w:val="AD7F38A2"/>
    <w:rsid w:val="AD7FBA59"/>
    <w:rsid w:val="AD970582"/>
    <w:rsid w:val="ADBB73F3"/>
    <w:rsid w:val="ADC358B8"/>
    <w:rsid w:val="ADFA229E"/>
    <w:rsid w:val="ADFBC9D7"/>
    <w:rsid w:val="AE066B85"/>
    <w:rsid w:val="AE752BEC"/>
    <w:rsid w:val="AEF50F84"/>
    <w:rsid w:val="AF6CC4AE"/>
    <w:rsid w:val="AF79B496"/>
    <w:rsid w:val="AFD7123F"/>
    <w:rsid w:val="AFEA9A4C"/>
    <w:rsid w:val="AFFD6E8F"/>
    <w:rsid w:val="AFFD6EFB"/>
    <w:rsid w:val="AFFED56E"/>
    <w:rsid w:val="AFFFED7B"/>
    <w:rsid w:val="B2DF8DD8"/>
    <w:rsid w:val="B2F47022"/>
    <w:rsid w:val="B33C0D29"/>
    <w:rsid w:val="B3C458EF"/>
    <w:rsid w:val="B3F148B5"/>
    <w:rsid w:val="B4FF9ACA"/>
    <w:rsid w:val="B5B576AC"/>
    <w:rsid w:val="B69BA5DD"/>
    <w:rsid w:val="B6F7CE56"/>
    <w:rsid w:val="B6FEDD84"/>
    <w:rsid w:val="B763EBBC"/>
    <w:rsid w:val="B76EFA11"/>
    <w:rsid w:val="B77FC831"/>
    <w:rsid w:val="B78F7E39"/>
    <w:rsid w:val="B797D9A9"/>
    <w:rsid w:val="B79FF465"/>
    <w:rsid w:val="B7DFD8DF"/>
    <w:rsid w:val="B7EDC966"/>
    <w:rsid w:val="B7F386E3"/>
    <w:rsid w:val="B7FB4C34"/>
    <w:rsid w:val="B7FC70DB"/>
    <w:rsid w:val="B7FF314F"/>
    <w:rsid w:val="B7FFB16E"/>
    <w:rsid w:val="B7FFD648"/>
    <w:rsid w:val="B9DE29B9"/>
    <w:rsid w:val="B9FA9178"/>
    <w:rsid w:val="B9FCE0B5"/>
    <w:rsid w:val="B9FF7F8E"/>
    <w:rsid w:val="BAD603D9"/>
    <w:rsid w:val="BAEE8A21"/>
    <w:rsid w:val="BAEF907E"/>
    <w:rsid w:val="BAF9BF7C"/>
    <w:rsid w:val="BB7BF0F9"/>
    <w:rsid w:val="BB7D94EC"/>
    <w:rsid w:val="BBBC522F"/>
    <w:rsid w:val="BBDA4C2A"/>
    <w:rsid w:val="BBDE722F"/>
    <w:rsid w:val="BBEF346B"/>
    <w:rsid w:val="BBEFF16C"/>
    <w:rsid w:val="BBF74192"/>
    <w:rsid w:val="BCF70CED"/>
    <w:rsid w:val="BCFFFB96"/>
    <w:rsid w:val="BD3F42D7"/>
    <w:rsid w:val="BD4F02D5"/>
    <w:rsid w:val="BD7F915C"/>
    <w:rsid w:val="BDB98D7B"/>
    <w:rsid w:val="BDBD2207"/>
    <w:rsid w:val="BDBF922D"/>
    <w:rsid w:val="BDBFD108"/>
    <w:rsid w:val="BDD09CDB"/>
    <w:rsid w:val="BDD3C732"/>
    <w:rsid w:val="BDED2E20"/>
    <w:rsid w:val="BDF278CE"/>
    <w:rsid w:val="BDF62023"/>
    <w:rsid w:val="BDFBC3F4"/>
    <w:rsid w:val="BDFFAC50"/>
    <w:rsid w:val="BE0F68B4"/>
    <w:rsid w:val="BE16CC4E"/>
    <w:rsid w:val="BE3BE464"/>
    <w:rsid w:val="BE5F612F"/>
    <w:rsid w:val="BE7F5975"/>
    <w:rsid w:val="BE9A7990"/>
    <w:rsid w:val="BEB746B8"/>
    <w:rsid w:val="BEBB3B93"/>
    <w:rsid w:val="BEC63099"/>
    <w:rsid w:val="BEDE62FB"/>
    <w:rsid w:val="BEEFA20C"/>
    <w:rsid w:val="BEEFB08B"/>
    <w:rsid w:val="BEF89F54"/>
    <w:rsid w:val="BEFD774F"/>
    <w:rsid w:val="BEFD8481"/>
    <w:rsid w:val="BF675C6D"/>
    <w:rsid w:val="BF7F3043"/>
    <w:rsid w:val="BFAF6BEA"/>
    <w:rsid w:val="BFB3220D"/>
    <w:rsid w:val="BFB71D93"/>
    <w:rsid w:val="BFB7BE07"/>
    <w:rsid w:val="BFBBE20F"/>
    <w:rsid w:val="BFBE9210"/>
    <w:rsid w:val="BFBE9B55"/>
    <w:rsid w:val="BFBED6FD"/>
    <w:rsid w:val="BFC5A207"/>
    <w:rsid w:val="BFC70874"/>
    <w:rsid w:val="BFD64240"/>
    <w:rsid w:val="BFD7EC7E"/>
    <w:rsid w:val="BFED66DB"/>
    <w:rsid w:val="BFEF1CF0"/>
    <w:rsid w:val="BFEFCAFA"/>
    <w:rsid w:val="BFF211F5"/>
    <w:rsid w:val="BFFA9525"/>
    <w:rsid w:val="BFFE9173"/>
    <w:rsid w:val="BFFF05AA"/>
    <w:rsid w:val="BFFF2794"/>
    <w:rsid w:val="BFFFD7C6"/>
    <w:rsid w:val="BFFFDD6C"/>
    <w:rsid w:val="C175FC02"/>
    <w:rsid w:val="C22D1432"/>
    <w:rsid w:val="C377D33E"/>
    <w:rsid w:val="C3817AF8"/>
    <w:rsid w:val="C6F79AA3"/>
    <w:rsid w:val="C6FF5552"/>
    <w:rsid w:val="C74F1025"/>
    <w:rsid w:val="C7A6E0C6"/>
    <w:rsid w:val="C7D5E229"/>
    <w:rsid w:val="C97B931B"/>
    <w:rsid w:val="C9F79D00"/>
    <w:rsid w:val="CADC6933"/>
    <w:rsid w:val="CAFAA37E"/>
    <w:rsid w:val="CB75B92C"/>
    <w:rsid w:val="CBB7F621"/>
    <w:rsid w:val="CBD7FC94"/>
    <w:rsid w:val="CC4EC24D"/>
    <w:rsid w:val="CCDEA039"/>
    <w:rsid w:val="CD2F8F6B"/>
    <w:rsid w:val="CD3FEDD1"/>
    <w:rsid w:val="CD43FCA8"/>
    <w:rsid w:val="CDD794E5"/>
    <w:rsid w:val="CDE3ACC7"/>
    <w:rsid w:val="CE59865A"/>
    <w:rsid w:val="CEE3C93B"/>
    <w:rsid w:val="CEEF2283"/>
    <w:rsid w:val="CEEF9173"/>
    <w:rsid w:val="CEF962AC"/>
    <w:rsid w:val="CF9FE00B"/>
    <w:rsid w:val="CFB3E3C7"/>
    <w:rsid w:val="CFB62C4F"/>
    <w:rsid w:val="CFB765EE"/>
    <w:rsid w:val="CFD4E29C"/>
    <w:rsid w:val="CFFD05AF"/>
    <w:rsid w:val="CFFF87B9"/>
    <w:rsid w:val="CFFFD98E"/>
    <w:rsid w:val="D0F8E025"/>
    <w:rsid w:val="D1AC3D17"/>
    <w:rsid w:val="D36F8E10"/>
    <w:rsid w:val="D3AF74CA"/>
    <w:rsid w:val="D3B189C1"/>
    <w:rsid w:val="D3F76A6F"/>
    <w:rsid w:val="D427A4B1"/>
    <w:rsid w:val="D4BF6AC9"/>
    <w:rsid w:val="D5080E33"/>
    <w:rsid w:val="D5E8B31C"/>
    <w:rsid w:val="D5E8D377"/>
    <w:rsid w:val="D657661F"/>
    <w:rsid w:val="D67F4E7E"/>
    <w:rsid w:val="D6DF4AEF"/>
    <w:rsid w:val="D6EB6563"/>
    <w:rsid w:val="D75F352F"/>
    <w:rsid w:val="D77D4576"/>
    <w:rsid w:val="D787430D"/>
    <w:rsid w:val="D79D7F56"/>
    <w:rsid w:val="D7A7460B"/>
    <w:rsid w:val="D7DF94DA"/>
    <w:rsid w:val="D7E7FDB1"/>
    <w:rsid w:val="D7EB2526"/>
    <w:rsid w:val="D7EBD1A5"/>
    <w:rsid w:val="D7F62A5C"/>
    <w:rsid w:val="D7FDE049"/>
    <w:rsid w:val="D7FF623E"/>
    <w:rsid w:val="D8FD8BAE"/>
    <w:rsid w:val="D9EFD876"/>
    <w:rsid w:val="D9F6D5BA"/>
    <w:rsid w:val="DA9DC0C0"/>
    <w:rsid w:val="DA9FB462"/>
    <w:rsid w:val="DADB344B"/>
    <w:rsid w:val="DB370689"/>
    <w:rsid w:val="DB3F8FB7"/>
    <w:rsid w:val="DB5D723C"/>
    <w:rsid w:val="DB6FB61A"/>
    <w:rsid w:val="DB73D7DF"/>
    <w:rsid w:val="DB7920D3"/>
    <w:rsid w:val="DB7DAEAA"/>
    <w:rsid w:val="DBD34663"/>
    <w:rsid w:val="DBEAF5C3"/>
    <w:rsid w:val="DBEAFEFE"/>
    <w:rsid w:val="DBEB7774"/>
    <w:rsid w:val="DBFBF72A"/>
    <w:rsid w:val="DBFFA3A0"/>
    <w:rsid w:val="DBFFE62A"/>
    <w:rsid w:val="DCA61F6F"/>
    <w:rsid w:val="DCBE0BF0"/>
    <w:rsid w:val="DCEFDE86"/>
    <w:rsid w:val="DD36A020"/>
    <w:rsid w:val="DD7DD9E1"/>
    <w:rsid w:val="DD7F06CB"/>
    <w:rsid w:val="DD7F2E4B"/>
    <w:rsid w:val="DDDDC088"/>
    <w:rsid w:val="DDEBBDBE"/>
    <w:rsid w:val="DDEF4DF2"/>
    <w:rsid w:val="DDFCBE8A"/>
    <w:rsid w:val="DDFF957E"/>
    <w:rsid w:val="DE6F166E"/>
    <w:rsid w:val="DE7EE9F8"/>
    <w:rsid w:val="DE9B9269"/>
    <w:rsid w:val="DEED798E"/>
    <w:rsid w:val="DEF5439C"/>
    <w:rsid w:val="DEF773E0"/>
    <w:rsid w:val="DEFBAEFB"/>
    <w:rsid w:val="DEFD88FB"/>
    <w:rsid w:val="DEFD9079"/>
    <w:rsid w:val="DEFFC765"/>
    <w:rsid w:val="DEFFF55F"/>
    <w:rsid w:val="DF1E23E0"/>
    <w:rsid w:val="DF1FFAD4"/>
    <w:rsid w:val="DF2C3AB6"/>
    <w:rsid w:val="DF55E0BC"/>
    <w:rsid w:val="DF5758BD"/>
    <w:rsid w:val="DF758D7C"/>
    <w:rsid w:val="DF7D6912"/>
    <w:rsid w:val="DF7DECCB"/>
    <w:rsid w:val="DF7E224E"/>
    <w:rsid w:val="DF7F5067"/>
    <w:rsid w:val="DF7FB3AB"/>
    <w:rsid w:val="DF9EA8A9"/>
    <w:rsid w:val="DFADB1E4"/>
    <w:rsid w:val="DFB7D4DA"/>
    <w:rsid w:val="DFBF3DB0"/>
    <w:rsid w:val="DFBFB69D"/>
    <w:rsid w:val="DFD5D6FB"/>
    <w:rsid w:val="DFDB6BDD"/>
    <w:rsid w:val="DFDCBDA7"/>
    <w:rsid w:val="DFDF25CB"/>
    <w:rsid w:val="DFE71C10"/>
    <w:rsid w:val="DFE734D9"/>
    <w:rsid w:val="DFEAD540"/>
    <w:rsid w:val="DFF51B9C"/>
    <w:rsid w:val="DFF57B4B"/>
    <w:rsid w:val="DFF7BB33"/>
    <w:rsid w:val="DFF7D1B1"/>
    <w:rsid w:val="DFFA2D74"/>
    <w:rsid w:val="DFFBDD6E"/>
    <w:rsid w:val="DFFD987D"/>
    <w:rsid w:val="DFFDA77F"/>
    <w:rsid w:val="DFFDB25B"/>
    <w:rsid w:val="DFFF1FED"/>
    <w:rsid w:val="E1BE4097"/>
    <w:rsid w:val="E1F7CD63"/>
    <w:rsid w:val="E22E61CF"/>
    <w:rsid w:val="E297809D"/>
    <w:rsid w:val="E2F57C1B"/>
    <w:rsid w:val="E2FF1653"/>
    <w:rsid w:val="E37FE289"/>
    <w:rsid w:val="E385F030"/>
    <w:rsid w:val="E3EBB47D"/>
    <w:rsid w:val="E3EE2D82"/>
    <w:rsid w:val="E5B5433D"/>
    <w:rsid w:val="E5D8E41E"/>
    <w:rsid w:val="E5DBD33F"/>
    <w:rsid w:val="E5F7D947"/>
    <w:rsid w:val="E66BF51E"/>
    <w:rsid w:val="E6E3C5F0"/>
    <w:rsid w:val="E6EFE6BD"/>
    <w:rsid w:val="E6F30116"/>
    <w:rsid w:val="E6FF1BD9"/>
    <w:rsid w:val="E72B99B6"/>
    <w:rsid w:val="E7785746"/>
    <w:rsid w:val="E779E75A"/>
    <w:rsid w:val="E78FF6AA"/>
    <w:rsid w:val="E7CFD029"/>
    <w:rsid w:val="E7EF5D44"/>
    <w:rsid w:val="E7F1DFBF"/>
    <w:rsid w:val="E7F47F0E"/>
    <w:rsid w:val="E7FD447C"/>
    <w:rsid w:val="E7FE694C"/>
    <w:rsid w:val="E7FF9A1A"/>
    <w:rsid w:val="E7FFC760"/>
    <w:rsid w:val="E7FFCEF3"/>
    <w:rsid w:val="E8EF498B"/>
    <w:rsid w:val="E97B7F01"/>
    <w:rsid w:val="E9B838B1"/>
    <w:rsid w:val="E9D36EAE"/>
    <w:rsid w:val="E9D78029"/>
    <w:rsid w:val="E9E62B3C"/>
    <w:rsid w:val="E9F410F8"/>
    <w:rsid w:val="E9FCF86D"/>
    <w:rsid w:val="E9FD3D14"/>
    <w:rsid w:val="E9FEB65B"/>
    <w:rsid w:val="EA7A1829"/>
    <w:rsid w:val="EAAEE141"/>
    <w:rsid w:val="EAB7969D"/>
    <w:rsid w:val="EABFA8D8"/>
    <w:rsid w:val="EAE6EC88"/>
    <w:rsid w:val="EAF627E0"/>
    <w:rsid w:val="EAF66968"/>
    <w:rsid w:val="EAF74962"/>
    <w:rsid w:val="EAFDA722"/>
    <w:rsid w:val="EAFF4BEE"/>
    <w:rsid w:val="EB3937BB"/>
    <w:rsid w:val="EB3DA1F8"/>
    <w:rsid w:val="EB560F3D"/>
    <w:rsid w:val="EB6EB4A9"/>
    <w:rsid w:val="EB7781B6"/>
    <w:rsid w:val="EB7A728C"/>
    <w:rsid w:val="EBABBC6B"/>
    <w:rsid w:val="EBD7AB46"/>
    <w:rsid w:val="EBF5DABD"/>
    <w:rsid w:val="EBFF99F0"/>
    <w:rsid w:val="EC3F4107"/>
    <w:rsid w:val="ECBE870D"/>
    <w:rsid w:val="ECCFCABF"/>
    <w:rsid w:val="ED3AF84A"/>
    <w:rsid w:val="ED3E8DCE"/>
    <w:rsid w:val="ED457A82"/>
    <w:rsid w:val="ED5E20C3"/>
    <w:rsid w:val="ED5E5821"/>
    <w:rsid w:val="ED77F700"/>
    <w:rsid w:val="ED7D5FB0"/>
    <w:rsid w:val="ED7EBBBE"/>
    <w:rsid w:val="ED7F9B2E"/>
    <w:rsid w:val="ED994E17"/>
    <w:rsid w:val="EDFB7A63"/>
    <w:rsid w:val="EDFB834E"/>
    <w:rsid w:val="EDFBC016"/>
    <w:rsid w:val="EDFBF0DA"/>
    <w:rsid w:val="EDFF379D"/>
    <w:rsid w:val="EDFFAE75"/>
    <w:rsid w:val="EE1E7BE7"/>
    <w:rsid w:val="EE579B44"/>
    <w:rsid w:val="EE758774"/>
    <w:rsid w:val="EE8E1C73"/>
    <w:rsid w:val="EEC79FA8"/>
    <w:rsid w:val="EEE7829C"/>
    <w:rsid w:val="EEF3B7B9"/>
    <w:rsid w:val="EEFB9D6E"/>
    <w:rsid w:val="EEFCD448"/>
    <w:rsid w:val="EEFD4566"/>
    <w:rsid w:val="EF5BBB3E"/>
    <w:rsid w:val="EF5C3C20"/>
    <w:rsid w:val="EF675FF1"/>
    <w:rsid w:val="EF76C74D"/>
    <w:rsid w:val="EF780C29"/>
    <w:rsid w:val="EF7EF8DA"/>
    <w:rsid w:val="EFA59F96"/>
    <w:rsid w:val="EFABE406"/>
    <w:rsid w:val="EFAF001D"/>
    <w:rsid w:val="EFB747A0"/>
    <w:rsid w:val="EFBBA7C0"/>
    <w:rsid w:val="EFBF197E"/>
    <w:rsid w:val="EFBFA87B"/>
    <w:rsid w:val="EFBFE406"/>
    <w:rsid w:val="EFC924B6"/>
    <w:rsid w:val="EFDA80BF"/>
    <w:rsid w:val="EFDDE47A"/>
    <w:rsid w:val="EFDE9B51"/>
    <w:rsid w:val="EFDEB539"/>
    <w:rsid w:val="EFE6ECB7"/>
    <w:rsid w:val="EFE7B998"/>
    <w:rsid w:val="EFE7E5EC"/>
    <w:rsid w:val="EFEA7D5B"/>
    <w:rsid w:val="EFED498C"/>
    <w:rsid w:val="EFED99BF"/>
    <w:rsid w:val="EFEF2906"/>
    <w:rsid w:val="EFEF72BD"/>
    <w:rsid w:val="EFF934BE"/>
    <w:rsid w:val="EFFD145C"/>
    <w:rsid w:val="EFFDB996"/>
    <w:rsid w:val="EFFF2C9B"/>
    <w:rsid w:val="EFFF3F43"/>
    <w:rsid w:val="EFFF6748"/>
    <w:rsid w:val="EFFF9B30"/>
    <w:rsid w:val="F0F94EE3"/>
    <w:rsid w:val="F0FB4779"/>
    <w:rsid w:val="F14E68EB"/>
    <w:rsid w:val="F17F8C07"/>
    <w:rsid w:val="F18C82C3"/>
    <w:rsid w:val="F1BF1234"/>
    <w:rsid w:val="F1BFDF14"/>
    <w:rsid w:val="F1DFCCE8"/>
    <w:rsid w:val="F1EAAB38"/>
    <w:rsid w:val="F1FFB93C"/>
    <w:rsid w:val="F27B7141"/>
    <w:rsid w:val="F27FA38A"/>
    <w:rsid w:val="F2BB2614"/>
    <w:rsid w:val="F2CFD35C"/>
    <w:rsid w:val="F2DF6F80"/>
    <w:rsid w:val="F2F83809"/>
    <w:rsid w:val="F2FD2B9E"/>
    <w:rsid w:val="F2FF12B4"/>
    <w:rsid w:val="F2FF721A"/>
    <w:rsid w:val="F36F20A8"/>
    <w:rsid w:val="F3724F2C"/>
    <w:rsid w:val="F37F4A1B"/>
    <w:rsid w:val="F37F60F1"/>
    <w:rsid w:val="F3B57471"/>
    <w:rsid w:val="F3BE45FB"/>
    <w:rsid w:val="F3C7602B"/>
    <w:rsid w:val="F3CEB86F"/>
    <w:rsid w:val="F3D294D4"/>
    <w:rsid w:val="F3DB2C35"/>
    <w:rsid w:val="F3EB7093"/>
    <w:rsid w:val="F3F7F6B9"/>
    <w:rsid w:val="F3FE868E"/>
    <w:rsid w:val="F46DC9F9"/>
    <w:rsid w:val="F49B07CE"/>
    <w:rsid w:val="F4B95111"/>
    <w:rsid w:val="F4FDB1E4"/>
    <w:rsid w:val="F56B5BAD"/>
    <w:rsid w:val="F5729ABB"/>
    <w:rsid w:val="F57F4DA8"/>
    <w:rsid w:val="F58FFD66"/>
    <w:rsid w:val="F5B9D0C9"/>
    <w:rsid w:val="F5BDD1EE"/>
    <w:rsid w:val="F5CF8F43"/>
    <w:rsid w:val="F5E7485D"/>
    <w:rsid w:val="F5E78F19"/>
    <w:rsid w:val="F5EBBEC7"/>
    <w:rsid w:val="F5F58577"/>
    <w:rsid w:val="F5F7717B"/>
    <w:rsid w:val="F5F7CC98"/>
    <w:rsid w:val="F5F908CE"/>
    <w:rsid w:val="F5F91F09"/>
    <w:rsid w:val="F5FE5C2F"/>
    <w:rsid w:val="F5FFBB49"/>
    <w:rsid w:val="F62D44B6"/>
    <w:rsid w:val="F6BF00C6"/>
    <w:rsid w:val="F6F5656B"/>
    <w:rsid w:val="F6FA9E45"/>
    <w:rsid w:val="F6FBD95B"/>
    <w:rsid w:val="F6FD14F3"/>
    <w:rsid w:val="F6FFD7B4"/>
    <w:rsid w:val="F71E64CF"/>
    <w:rsid w:val="F73D9369"/>
    <w:rsid w:val="F73FC669"/>
    <w:rsid w:val="F7751416"/>
    <w:rsid w:val="F77570B5"/>
    <w:rsid w:val="F7767906"/>
    <w:rsid w:val="F7792F0B"/>
    <w:rsid w:val="F78FE489"/>
    <w:rsid w:val="F79B70F7"/>
    <w:rsid w:val="F79F3EE3"/>
    <w:rsid w:val="F7A7BE7D"/>
    <w:rsid w:val="F7B63B30"/>
    <w:rsid w:val="F7B77A11"/>
    <w:rsid w:val="F7BBDB1B"/>
    <w:rsid w:val="F7BBF1CE"/>
    <w:rsid w:val="F7BD39CA"/>
    <w:rsid w:val="F7BEC53E"/>
    <w:rsid w:val="F7CB21F0"/>
    <w:rsid w:val="F7CFDD56"/>
    <w:rsid w:val="F7D72319"/>
    <w:rsid w:val="F7D9F7D4"/>
    <w:rsid w:val="F7E9353E"/>
    <w:rsid w:val="F7ED4F59"/>
    <w:rsid w:val="F7ED7240"/>
    <w:rsid w:val="F7EF7726"/>
    <w:rsid w:val="F7F32E55"/>
    <w:rsid w:val="F7F6422D"/>
    <w:rsid w:val="F7F696AC"/>
    <w:rsid w:val="F7FA51F0"/>
    <w:rsid w:val="F7FCA273"/>
    <w:rsid w:val="F7FEBB66"/>
    <w:rsid w:val="F7FED789"/>
    <w:rsid w:val="F7FF14E5"/>
    <w:rsid w:val="F7FF49A9"/>
    <w:rsid w:val="F7FF5CC8"/>
    <w:rsid w:val="F7FFEAAB"/>
    <w:rsid w:val="F83DD696"/>
    <w:rsid w:val="F86F379F"/>
    <w:rsid w:val="F8BB73F4"/>
    <w:rsid w:val="F8DB69EF"/>
    <w:rsid w:val="F8F4F377"/>
    <w:rsid w:val="F95B1791"/>
    <w:rsid w:val="F967DB1B"/>
    <w:rsid w:val="F9761257"/>
    <w:rsid w:val="F9AF55C0"/>
    <w:rsid w:val="F9D3BAC4"/>
    <w:rsid w:val="F9DE2760"/>
    <w:rsid w:val="F9ED89BC"/>
    <w:rsid w:val="F9F7BAA1"/>
    <w:rsid w:val="F9FB7534"/>
    <w:rsid w:val="F9FE25F2"/>
    <w:rsid w:val="F9FE8762"/>
    <w:rsid w:val="F9FEC024"/>
    <w:rsid w:val="FA3F6127"/>
    <w:rsid w:val="FA7AB7E2"/>
    <w:rsid w:val="FA7D18E6"/>
    <w:rsid w:val="FAAEE65C"/>
    <w:rsid w:val="FABDF389"/>
    <w:rsid w:val="FACF824A"/>
    <w:rsid w:val="FADCE38E"/>
    <w:rsid w:val="FADEF03B"/>
    <w:rsid w:val="FADF9EA9"/>
    <w:rsid w:val="FAF75CFA"/>
    <w:rsid w:val="FAF7D8F9"/>
    <w:rsid w:val="FAFB1238"/>
    <w:rsid w:val="FAFE9304"/>
    <w:rsid w:val="FB5DC626"/>
    <w:rsid w:val="FB5F08F2"/>
    <w:rsid w:val="FB7FAE68"/>
    <w:rsid w:val="FB9D1143"/>
    <w:rsid w:val="FBB7B68C"/>
    <w:rsid w:val="FBBB2238"/>
    <w:rsid w:val="FBBE0EEE"/>
    <w:rsid w:val="FBBEF27B"/>
    <w:rsid w:val="FBBF5514"/>
    <w:rsid w:val="FBC757C9"/>
    <w:rsid w:val="FBDD42D1"/>
    <w:rsid w:val="FBDFD357"/>
    <w:rsid w:val="FBE3A12F"/>
    <w:rsid w:val="FBEFB199"/>
    <w:rsid w:val="FBFB84EF"/>
    <w:rsid w:val="FBFBF83A"/>
    <w:rsid w:val="FBFD7869"/>
    <w:rsid w:val="FBFD8001"/>
    <w:rsid w:val="FBFF254B"/>
    <w:rsid w:val="FBFFFB25"/>
    <w:rsid w:val="FC5FD9DF"/>
    <w:rsid w:val="FC7F12AA"/>
    <w:rsid w:val="FC99B40C"/>
    <w:rsid w:val="FC9C2D2D"/>
    <w:rsid w:val="FC9FADAD"/>
    <w:rsid w:val="FCDC0783"/>
    <w:rsid w:val="FCFF8C19"/>
    <w:rsid w:val="FD1F5F13"/>
    <w:rsid w:val="FD2FA174"/>
    <w:rsid w:val="FD4FBB59"/>
    <w:rsid w:val="FD56352A"/>
    <w:rsid w:val="FD5800B2"/>
    <w:rsid w:val="FD5B514F"/>
    <w:rsid w:val="FD5C5889"/>
    <w:rsid w:val="FD6F0E90"/>
    <w:rsid w:val="FD764F83"/>
    <w:rsid w:val="FDBD8229"/>
    <w:rsid w:val="FDBF45EC"/>
    <w:rsid w:val="FDDE8FE3"/>
    <w:rsid w:val="FDF16CC7"/>
    <w:rsid w:val="FDF3BDC8"/>
    <w:rsid w:val="FDF7CEDC"/>
    <w:rsid w:val="FDFB1A6C"/>
    <w:rsid w:val="FDFC23C8"/>
    <w:rsid w:val="FDFE2CEC"/>
    <w:rsid w:val="FDFF3652"/>
    <w:rsid w:val="FE1E0770"/>
    <w:rsid w:val="FE3DA7DA"/>
    <w:rsid w:val="FE3FEC7B"/>
    <w:rsid w:val="FE51E2EF"/>
    <w:rsid w:val="FE59B8FC"/>
    <w:rsid w:val="FE5F61A1"/>
    <w:rsid w:val="FE5F66F2"/>
    <w:rsid w:val="FE6E154A"/>
    <w:rsid w:val="FE6EC4CD"/>
    <w:rsid w:val="FE7FD523"/>
    <w:rsid w:val="FE8358B1"/>
    <w:rsid w:val="FE8BA7E3"/>
    <w:rsid w:val="FE9EA054"/>
    <w:rsid w:val="FEAF6FD6"/>
    <w:rsid w:val="FEAFA5FE"/>
    <w:rsid w:val="FEBFBEB7"/>
    <w:rsid w:val="FED20F90"/>
    <w:rsid w:val="FED6F92A"/>
    <w:rsid w:val="FEE79552"/>
    <w:rsid w:val="FEEF1E6E"/>
    <w:rsid w:val="FEEF70A3"/>
    <w:rsid w:val="FEF36EFC"/>
    <w:rsid w:val="FEF6CEFE"/>
    <w:rsid w:val="FEF77092"/>
    <w:rsid w:val="FEFA9585"/>
    <w:rsid w:val="FEFB2EB6"/>
    <w:rsid w:val="FEFC242C"/>
    <w:rsid w:val="FEFD9E63"/>
    <w:rsid w:val="FEFDD817"/>
    <w:rsid w:val="FEFF3F8E"/>
    <w:rsid w:val="FEFF60B4"/>
    <w:rsid w:val="FEFF70A4"/>
    <w:rsid w:val="FEFF7496"/>
    <w:rsid w:val="FEFF7F8E"/>
    <w:rsid w:val="FEFFA731"/>
    <w:rsid w:val="FF0F806E"/>
    <w:rsid w:val="FF2F0176"/>
    <w:rsid w:val="FF3A9D83"/>
    <w:rsid w:val="FF3F446D"/>
    <w:rsid w:val="FF4D0274"/>
    <w:rsid w:val="FF577AD4"/>
    <w:rsid w:val="FF57BEB7"/>
    <w:rsid w:val="FF57BF75"/>
    <w:rsid w:val="FF5B3711"/>
    <w:rsid w:val="FF5D14AB"/>
    <w:rsid w:val="FF5D1C8A"/>
    <w:rsid w:val="FF5FC543"/>
    <w:rsid w:val="FF5FE587"/>
    <w:rsid w:val="FF67ABAB"/>
    <w:rsid w:val="FF7180DC"/>
    <w:rsid w:val="FF74F6A5"/>
    <w:rsid w:val="FF764CB7"/>
    <w:rsid w:val="FF776516"/>
    <w:rsid w:val="FF78B65F"/>
    <w:rsid w:val="FF7C54D9"/>
    <w:rsid w:val="FF7CDF6E"/>
    <w:rsid w:val="FF7D304A"/>
    <w:rsid w:val="FF7F32B3"/>
    <w:rsid w:val="FF7F32DD"/>
    <w:rsid w:val="FF7F3B0E"/>
    <w:rsid w:val="FF7F6CD1"/>
    <w:rsid w:val="FF7FE124"/>
    <w:rsid w:val="FF7FE4B1"/>
    <w:rsid w:val="FF7FFA15"/>
    <w:rsid w:val="FF854BC5"/>
    <w:rsid w:val="FF915A06"/>
    <w:rsid w:val="FF952D36"/>
    <w:rsid w:val="FF9F4B0B"/>
    <w:rsid w:val="FF9F5B82"/>
    <w:rsid w:val="FF9FC2BD"/>
    <w:rsid w:val="FFAB6C8F"/>
    <w:rsid w:val="FFAEDC16"/>
    <w:rsid w:val="FFB3B41D"/>
    <w:rsid w:val="FFB5F89A"/>
    <w:rsid w:val="FFB67D11"/>
    <w:rsid w:val="FFB72880"/>
    <w:rsid w:val="FFB73C73"/>
    <w:rsid w:val="FFB9B593"/>
    <w:rsid w:val="FFBCC6DB"/>
    <w:rsid w:val="FFBF6300"/>
    <w:rsid w:val="FFBF7266"/>
    <w:rsid w:val="FFBFE677"/>
    <w:rsid w:val="FFCEA80B"/>
    <w:rsid w:val="FFCFE9D8"/>
    <w:rsid w:val="FFD714EB"/>
    <w:rsid w:val="FFDAEFEA"/>
    <w:rsid w:val="FFDD0FCC"/>
    <w:rsid w:val="FFDEBB95"/>
    <w:rsid w:val="FFDF307B"/>
    <w:rsid w:val="FFDF5FF6"/>
    <w:rsid w:val="FFDFB76F"/>
    <w:rsid w:val="FFDFBB40"/>
    <w:rsid w:val="FFDFF75E"/>
    <w:rsid w:val="FFE3C880"/>
    <w:rsid w:val="FFE50DCE"/>
    <w:rsid w:val="FFE78811"/>
    <w:rsid w:val="FFED5E70"/>
    <w:rsid w:val="FFEDD336"/>
    <w:rsid w:val="FFEDD7C6"/>
    <w:rsid w:val="FFEE288D"/>
    <w:rsid w:val="FFEF91AF"/>
    <w:rsid w:val="FFEFC1C4"/>
    <w:rsid w:val="FFEFE133"/>
    <w:rsid w:val="FFF38FB5"/>
    <w:rsid w:val="FFF5E6CB"/>
    <w:rsid w:val="FFF7028F"/>
    <w:rsid w:val="FFF74287"/>
    <w:rsid w:val="FFF7A893"/>
    <w:rsid w:val="FFF7B4E9"/>
    <w:rsid w:val="FFF7B7CB"/>
    <w:rsid w:val="FFF7E317"/>
    <w:rsid w:val="FFF7F70D"/>
    <w:rsid w:val="FFF9A206"/>
    <w:rsid w:val="FFF9EC50"/>
    <w:rsid w:val="FFFA217D"/>
    <w:rsid w:val="FFFB013C"/>
    <w:rsid w:val="FFFB2860"/>
    <w:rsid w:val="FFFBB370"/>
    <w:rsid w:val="FFFC6607"/>
    <w:rsid w:val="FFFCC141"/>
    <w:rsid w:val="FFFD1C7D"/>
    <w:rsid w:val="FFFD7C05"/>
    <w:rsid w:val="FFFDDEAA"/>
    <w:rsid w:val="FFFE07AA"/>
    <w:rsid w:val="FFFE1151"/>
    <w:rsid w:val="FFFE9DAC"/>
    <w:rsid w:val="FFFEFA9C"/>
    <w:rsid w:val="FFFF24A9"/>
    <w:rsid w:val="FFFF601D"/>
    <w:rsid w:val="FFFF9FCE"/>
    <w:rsid w:val="FFFFA4D8"/>
    <w:rsid w:val="FFFFB5C8"/>
    <w:rsid w:val="FFFFCA51"/>
    <w:rsid w:val="FFFFE3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96"/>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0"/>
    <w:pPr>
      <w:keepNext/>
      <w:keepLines/>
      <w:jc w:val="center"/>
      <w:outlineLvl w:val="0"/>
    </w:pPr>
    <w:rPr>
      <w:rFonts w:eastAsia="方正小标宋简体"/>
      <w:b/>
      <w:bCs/>
      <w:kern w:val="44"/>
      <w:sz w:val="36"/>
      <w:szCs w:val="44"/>
    </w:rPr>
  </w:style>
  <w:style w:type="paragraph" w:styleId="3">
    <w:name w:val="heading 2"/>
    <w:basedOn w:val="1"/>
    <w:next w:val="1"/>
    <w:link w:val="32"/>
    <w:qFormat/>
    <w:uiPriority w:val="0"/>
    <w:pPr>
      <w:widowControl/>
      <w:spacing w:before="100" w:beforeAutospacing="1" w:after="100" w:afterAutospacing="1"/>
      <w:jc w:val="left"/>
      <w:outlineLvl w:val="1"/>
    </w:pPr>
    <w:rPr>
      <w:rFonts w:ascii="宋体" w:hAnsi="宋体" w:cs="宋体"/>
      <w:b/>
      <w:bCs/>
      <w:kern w:val="0"/>
      <w:sz w:val="30"/>
      <w:szCs w:val="36"/>
    </w:rPr>
  </w:style>
  <w:style w:type="paragraph" w:styleId="4">
    <w:name w:val="heading 9"/>
    <w:basedOn w:val="1"/>
    <w:next w:val="1"/>
    <w:link w:val="34"/>
    <w:qFormat/>
    <w:uiPriority w:val="0"/>
    <w:pPr>
      <w:keepNext/>
      <w:keepLines/>
      <w:spacing w:before="240" w:after="64" w:line="320" w:lineRule="auto"/>
      <w:outlineLvl w:val="8"/>
    </w:pPr>
    <w:rPr>
      <w:rFonts w:ascii="Calibri Light" w:hAnsi="Calibri Light"/>
      <w:szCs w:val="21"/>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spacing w:line="240" w:lineRule="atLeast"/>
      <w:ind w:firstLine="420" w:firstLineChars="200"/>
    </w:pPr>
    <w:rPr>
      <w:rFonts w:eastAsia="仿宋_GB2312"/>
      <w:spacing w:val="-6"/>
      <w:sz w:val="32"/>
      <w:szCs w:val="20"/>
    </w:rPr>
  </w:style>
  <w:style w:type="paragraph" w:styleId="6">
    <w:name w:val="Document Map"/>
    <w:basedOn w:val="1"/>
    <w:link w:val="58"/>
    <w:qFormat/>
    <w:uiPriority w:val="0"/>
    <w:pPr>
      <w:shd w:val="clear" w:color="auto" w:fill="000080"/>
    </w:pPr>
  </w:style>
  <w:style w:type="paragraph" w:styleId="7">
    <w:name w:val="annotation text"/>
    <w:basedOn w:val="1"/>
    <w:link w:val="33"/>
    <w:qFormat/>
    <w:uiPriority w:val="0"/>
    <w:pPr>
      <w:jc w:val="left"/>
    </w:pPr>
  </w:style>
  <w:style w:type="paragraph" w:styleId="8">
    <w:name w:val="Body Text"/>
    <w:basedOn w:val="1"/>
    <w:next w:val="9"/>
    <w:qFormat/>
    <w:uiPriority w:val="0"/>
    <w:rPr>
      <w:rFonts w:ascii="仿宋_GB2312" w:eastAsia="仿宋_GB2312"/>
      <w:sz w:val="30"/>
      <w:szCs w:val="20"/>
    </w:rPr>
  </w:style>
  <w:style w:type="paragraph" w:customStyle="1" w:styleId="9">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0">
    <w:name w:val="Body Text Indent"/>
    <w:basedOn w:val="1"/>
    <w:unhideWhenUsed/>
    <w:qFormat/>
    <w:uiPriority w:val="99"/>
    <w:pPr>
      <w:spacing w:after="120"/>
      <w:ind w:left="420" w:leftChars="200"/>
    </w:pPr>
  </w:style>
  <w:style w:type="paragraph" w:styleId="11">
    <w:name w:val="toc 3"/>
    <w:basedOn w:val="1"/>
    <w:next w:val="1"/>
    <w:qFormat/>
    <w:uiPriority w:val="0"/>
    <w:pPr>
      <w:widowControl/>
      <w:spacing w:after="100" w:line="259" w:lineRule="auto"/>
      <w:ind w:left="440"/>
      <w:jc w:val="left"/>
    </w:pPr>
    <w:rPr>
      <w:rFonts w:ascii="Calibri" w:hAnsi="Calibri"/>
      <w:kern w:val="0"/>
      <w:sz w:val="22"/>
      <w:szCs w:val="22"/>
    </w:rPr>
  </w:style>
  <w:style w:type="paragraph" w:styleId="12">
    <w:name w:val="Plain Text"/>
    <w:basedOn w:val="1"/>
    <w:qFormat/>
    <w:uiPriority w:val="0"/>
    <w:rPr>
      <w:rFonts w:ascii="宋体" w:hAnsi="Courier New" w:cs="Courier New"/>
      <w:szCs w:val="21"/>
    </w:rPr>
  </w:style>
  <w:style w:type="paragraph" w:styleId="13">
    <w:name w:val="Date"/>
    <w:basedOn w:val="1"/>
    <w:next w:val="1"/>
    <w:qFormat/>
    <w:uiPriority w:val="0"/>
    <w:rPr>
      <w:rFonts w:ascii="黑体" w:eastAsia="仿宋_GB2312"/>
      <w:sz w:val="32"/>
      <w:szCs w:val="20"/>
    </w:rPr>
  </w:style>
  <w:style w:type="paragraph" w:styleId="14">
    <w:name w:val="Balloon Text"/>
    <w:basedOn w:val="1"/>
    <w:link w:val="59"/>
    <w:qFormat/>
    <w:uiPriority w:val="0"/>
    <w:rPr>
      <w:sz w:val="18"/>
      <w:szCs w:val="18"/>
    </w:rPr>
  </w:style>
  <w:style w:type="paragraph" w:styleId="15">
    <w:name w:val="footer"/>
    <w:basedOn w:val="1"/>
    <w:link w:val="30"/>
    <w:qFormat/>
    <w:uiPriority w:val="0"/>
    <w:pPr>
      <w:tabs>
        <w:tab w:val="center" w:pos="4153"/>
        <w:tab w:val="right" w:pos="8306"/>
      </w:tabs>
      <w:snapToGrid w:val="0"/>
      <w:jc w:val="left"/>
    </w:pPr>
    <w:rPr>
      <w:sz w:val="18"/>
      <w:szCs w:val="18"/>
    </w:rPr>
  </w:style>
  <w:style w:type="paragraph" w:styleId="16">
    <w:name w:val="header"/>
    <w:basedOn w:val="1"/>
    <w:link w:val="56"/>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widowControl/>
      <w:spacing w:after="100" w:line="259" w:lineRule="auto"/>
      <w:jc w:val="left"/>
    </w:pPr>
    <w:rPr>
      <w:rFonts w:ascii="Calibri" w:hAnsi="Calibri"/>
      <w:kern w:val="0"/>
      <w:sz w:val="22"/>
      <w:szCs w:val="22"/>
    </w:rPr>
  </w:style>
  <w:style w:type="paragraph" w:styleId="18">
    <w:name w:val="Body Text Indent 3"/>
    <w:basedOn w:val="1"/>
    <w:qFormat/>
    <w:uiPriority w:val="0"/>
    <w:pPr>
      <w:spacing w:after="120"/>
      <w:ind w:left="420" w:leftChars="200"/>
    </w:pPr>
    <w:rPr>
      <w:sz w:val="16"/>
      <w:szCs w:val="16"/>
    </w:rPr>
  </w:style>
  <w:style w:type="paragraph" w:styleId="19">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20">
    <w:name w:val="Normal (Web)"/>
    <w:basedOn w:val="1"/>
    <w:qFormat/>
    <w:uiPriority w:val="0"/>
    <w:pPr>
      <w:widowControl/>
      <w:spacing w:before="100" w:beforeAutospacing="1" w:after="100" w:afterAutospacing="1" w:line="360" w:lineRule="auto"/>
      <w:jc w:val="left"/>
    </w:pPr>
    <w:rPr>
      <w:rFonts w:ascii="宋体" w:hAnsi="宋体" w:cs="宋体"/>
      <w:color w:val="000000"/>
      <w:kern w:val="0"/>
      <w:sz w:val="24"/>
    </w:rPr>
  </w:style>
  <w:style w:type="paragraph" w:styleId="21">
    <w:name w:val="annotation subject"/>
    <w:basedOn w:val="7"/>
    <w:next w:val="7"/>
    <w:link w:val="40"/>
    <w:qFormat/>
    <w:uiPriority w:val="0"/>
    <w:rPr>
      <w:b/>
      <w:bCs/>
    </w:rPr>
  </w:style>
  <w:style w:type="paragraph" w:styleId="22">
    <w:name w:val="Body Text First Indent 2"/>
    <w:basedOn w:val="10"/>
    <w:unhideWhenUsed/>
    <w:qFormat/>
    <w:uiPriority w:val="99"/>
    <w:pPr>
      <w:ind w:firstLine="420" w:firstLineChars="200"/>
    </w:pPr>
  </w:style>
  <w:style w:type="character" w:styleId="25">
    <w:name w:val="page number"/>
    <w:qFormat/>
    <w:uiPriority w:val="0"/>
    <w:rPr>
      <w:rFonts w:ascii="Times New Roman" w:hAnsi="Times New Roman" w:eastAsia="宋体" w:cs="Times New Roman"/>
    </w:rPr>
  </w:style>
  <w:style w:type="character" w:styleId="26">
    <w:name w:val="FollowedHyperlink"/>
    <w:qFormat/>
    <w:uiPriority w:val="0"/>
    <w:rPr>
      <w:rFonts w:ascii="Times New Roman" w:hAnsi="Times New Roman" w:eastAsia="宋体" w:cs="Times New Roman"/>
      <w:color w:val="954F72"/>
      <w:u w:val="single"/>
    </w:rPr>
  </w:style>
  <w:style w:type="character" w:styleId="27">
    <w:name w:val="Emphasis"/>
    <w:qFormat/>
    <w:uiPriority w:val="0"/>
    <w:rPr>
      <w:rFonts w:ascii="Times New Roman" w:hAnsi="Times New Roman" w:eastAsia="宋体" w:cs="Times New Roman"/>
      <w:i/>
      <w:iCs/>
    </w:rPr>
  </w:style>
  <w:style w:type="character" w:styleId="28">
    <w:name w:val="Hyperlink"/>
    <w:qFormat/>
    <w:uiPriority w:val="99"/>
    <w:rPr>
      <w:rFonts w:ascii="Times New Roman" w:hAnsi="Times New Roman" w:eastAsia="宋体" w:cs="Times New Roman"/>
      <w:color w:val="0563C1"/>
      <w:u w:val="single"/>
    </w:rPr>
  </w:style>
  <w:style w:type="character" w:styleId="29">
    <w:name w:val="annotation reference"/>
    <w:qFormat/>
    <w:uiPriority w:val="0"/>
    <w:rPr>
      <w:sz w:val="21"/>
    </w:rPr>
  </w:style>
  <w:style w:type="character" w:customStyle="1" w:styleId="30">
    <w:name w:val="页脚 字符"/>
    <w:link w:val="15"/>
    <w:qFormat/>
    <w:uiPriority w:val="0"/>
    <w:rPr>
      <w:rFonts w:ascii="Times New Roman" w:hAnsi="Times New Roman" w:eastAsia="宋体" w:cs="Times New Roman"/>
      <w:kern w:val="2"/>
      <w:sz w:val="18"/>
      <w:szCs w:val="18"/>
      <w:lang w:val="en-US" w:eastAsia="zh-CN" w:bidi="ar-SA"/>
    </w:rPr>
  </w:style>
  <w:style w:type="character" w:customStyle="1" w:styleId="31">
    <w:name w:val="标题 1 字符"/>
    <w:link w:val="2"/>
    <w:qFormat/>
    <w:uiPriority w:val="0"/>
    <w:rPr>
      <w:rFonts w:ascii="Times New Roman" w:hAnsi="Times New Roman" w:eastAsia="方正小标宋简体" w:cs="Times New Roman"/>
      <w:b/>
      <w:bCs/>
      <w:kern w:val="44"/>
      <w:sz w:val="36"/>
      <w:szCs w:val="44"/>
    </w:rPr>
  </w:style>
  <w:style w:type="character" w:customStyle="1" w:styleId="32">
    <w:name w:val="标题 2 字符"/>
    <w:link w:val="3"/>
    <w:qFormat/>
    <w:uiPriority w:val="0"/>
    <w:rPr>
      <w:rFonts w:ascii="宋体" w:hAnsi="宋体" w:eastAsia="宋体" w:cs="宋体"/>
      <w:b/>
      <w:bCs/>
      <w:sz w:val="30"/>
      <w:szCs w:val="36"/>
    </w:rPr>
  </w:style>
  <w:style w:type="character" w:customStyle="1" w:styleId="33">
    <w:name w:val="批注文字 字符"/>
    <w:link w:val="7"/>
    <w:qFormat/>
    <w:uiPriority w:val="0"/>
    <w:rPr>
      <w:rFonts w:ascii="Times New Roman" w:hAnsi="Times New Roman" w:eastAsia="宋体" w:cs="Times New Roman"/>
      <w:kern w:val="2"/>
      <w:sz w:val="21"/>
      <w:szCs w:val="24"/>
      <w:lang w:val="en-US" w:eastAsia="zh-CN" w:bidi="ar-SA"/>
    </w:rPr>
  </w:style>
  <w:style w:type="character" w:customStyle="1" w:styleId="34">
    <w:name w:val="标题 9 字符"/>
    <w:link w:val="4"/>
    <w:qFormat/>
    <w:uiPriority w:val="0"/>
    <w:rPr>
      <w:rFonts w:ascii="Calibri Light" w:hAnsi="Calibri Light" w:eastAsia="宋体" w:cs="Times New Roman"/>
      <w:kern w:val="2"/>
      <w:sz w:val="21"/>
      <w:szCs w:val="21"/>
    </w:rPr>
  </w:style>
  <w:style w:type="paragraph" w:customStyle="1" w:styleId="35">
    <w:name w:val="大标题"/>
    <w:basedOn w:val="1"/>
    <w:next w:val="1"/>
    <w:qFormat/>
    <w:uiPriority w:val="0"/>
    <w:pPr>
      <w:spacing w:line="560" w:lineRule="exact"/>
      <w:jc w:val="center"/>
      <w:outlineLvl w:val="0"/>
    </w:pPr>
    <w:rPr>
      <w:rFonts w:ascii="方正小标宋简体" w:hAnsi="宋体" w:eastAsia="方正小标宋简体" w:cs="宋体"/>
      <w:snapToGrid w:val="0"/>
      <w:kern w:val="0"/>
      <w:sz w:val="44"/>
      <w:szCs w:val="20"/>
    </w:rPr>
  </w:style>
  <w:style w:type="paragraph" w:customStyle="1" w:styleId="36">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7">
    <w:name w:val="默认段落字体 Para Char Char Char Char Char Char Char"/>
    <w:basedOn w:val="6"/>
    <w:qFormat/>
    <w:uiPriority w:val="0"/>
    <w:pPr>
      <w:adjustRightInd w:val="0"/>
      <w:spacing w:line="436" w:lineRule="exact"/>
      <w:ind w:left="357"/>
      <w:jc w:val="left"/>
      <w:outlineLvl w:val="3"/>
    </w:pPr>
    <w:rPr>
      <w:rFonts w:ascii="Tahoma" w:hAnsi="Tahoma"/>
      <w:b/>
      <w:sz w:val="24"/>
    </w:rPr>
  </w:style>
  <w:style w:type="character" w:customStyle="1" w:styleId="38">
    <w:name w:val="p121"/>
    <w:qFormat/>
    <w:uiPriority w:val="0"/>
    <w:rPr>
      <w:rFonts w:hint="default" w:eastAsia="宋体" w:cs="Times New Roman"/>
      <w:sz w:val="24"/>
      <w:szCs w:val="24"/>
    </w:rPr>
  </w:style>
  <w:style w:type="paragraph" w:customStyle="1" w:styleId="39">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40">
    <w:name w:val="批注主题 字符"/>
    <w:link w:val="21"/>
    <w:qFormat/>
    <w:uiPriority w:val="0"/>
    <w:rPr>
      <w:rFonts w:ascii="Times New Roman" w:hAnsi="Times New Roman" w:eastAsia="宋体" w:cs="Times New Roman"/>
      <w:b/>
      <w:bCs/>
      <w:kern w:val="2"/>
      <w:sz w:val="21"/>
      <w:szCs w:val="24"/>
      <w:lang w:val="en-US" w:eastAsia="zh-CN" w:bidi="ar-SA"/>
    </w:rPr>
  </w:style>
  <w:style w:type="paragraph" w:customStyle="1" w:styleId="4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2">
    <w:name w:val="Char1 Char Char Char"/>
    <w:basedOn w:val="1"/>
    <w:qFormat/>
    <w:uiPriority w:val="0"/>
    <w:rPr>
      <w:rFonts w:ascii="Tahoma" w:hAnsi="Tahoma"/>
      <w:sz w:val="24"/>
      <w:szCs w:val="20"/>
    </w:rPr>
  </w:style>
  <w:style w:type="paragraph" w:customStyle="1" w:styleId="43">
    <w:name w:val="Char1 Char Char Char1"/>
    <w:basedOn w:val="1"/>
    <w:qFormat/>
    <w:uiPriority w:val="0"/>
    <w:rPr>
      <w:rFonts w:ascii="Tahoma" w:hAnsi="Tahoma"/>
      <w:sz w:val="24"/>
      <w:szCs w:val="20"/>
    </w:rPr>
  </w:style>
  <w:style w:type="paragraph" w:customStyle="1" w:styleId="44">
    <w:name w:val="Char1"/>
    <w:basedOn w:val="1"/>
    <w:qFormat/>
    <w:uiPriority w:val="0"/>
    <w:rPr>
      <w:rFonts w:ascii="Tahoma" w:hAnsi="Tahoma"/>
      <w:sz w:val="24"/>
      <w:szCs w:val="20"/>
    </w:rPr>
  </w:style>
  <w:style w:type="paragraph" w:customStyle="1" w:styleId="45">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reader-word-layer reader-word-s2-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7">
    <w:name w:val="reader-word-layer reader-word-s3-5"/>
    <w:basedOn w:val="1"/>
    <w:qFormat/>
    <w:uiPriority w:val="0"/>
    <w:pPr>
      <w:widowControl/>
      <w:spacing w:before="100" w:beforeAutospacing="1" w:after="100" w:afterAutospacing="1"/>
      <w:jc w:val="left"/>
    </w:pPr>
    <w:rPr>
      <w:rFonts w:ascii="宋体" w:hAnsi="宋体" w:cs="宋体"/>
      <w:kern w:val="0"/>
      <w:sz w:val="24"/>
    </w:rPr>
  </w:style>
  <w:style w:type="paragraph" w:customStyle="1" w:styleId="48">
    <w:name w:val="reader-word-layer reader-word-s3-4"/>
    <w:basedOn w:val="1"/>
    <w:qFormat/>
    <w:uiPriority w:val="0"/>
    <w:pPr>
      <w:widowControl/>
      <w:spacing w:before="100" w:beforeAutospacing="1" w:after="100" w:afterAutospacing="1"/>
      <w:jc w:val="left"/>
    </w:pPr>
    <w:rPr>
      <w:rFonts w:ascii="宋体" w:hAnsi="宋体" w:cs="宋体"/>
      <w:kern w:val="0"/>
      <w:sz w:val="24"/>
    </w:rPr>
  </w:style>
  <w:style w:type="paragraph" w:customStyle="1" w:styleId="49">
    <w:name w:val="reader-word-layer reader-word-s3-6"/>
    <w:basedOn w:val="1"/>
    <w:qFormat/>
    <w:uiPriority w:val="0"/>
    <w:pPr>
      <w:widowControl/>
      <w:spacing w:before="100" w:beforeAutospacing="1" w:after="100" w:afterAutospacing="1"/>
      <w:jc w:val="left"/>
    </w:pPr>
    <w:rPr>
      <w:rFonts w:ascii="宋体" w:hAnsi="宋体" w:cs="宋体"/>
      <w:kern w:val="0"/>
      <w:sz w:val="24"/>
    </w:rPr>
  </w:style>
  <w:style w:type="paragraph" w:customStyle="1" w:styleId="50">
    <w:name w:val="reader-word-layer reader-word-s2-9"/>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reader-word-layer reader-word-s2-18"/>
    <w:basedOn w:val="1"/>
    <w:qFormat/>
    <w:uiPriority w:val="0"/>
    <w:pPr>
      <w:widowControl/>
      <w:spacing w:before="100" w:beforeAutospacing="1" w:after="100" w:afterAutospacing="1"/>
      <w:jc w:val="left"/>
    </w:pPr>
    <w:rPr>
      <w:rFonts w:ascii="宋体" w:hAnsi="宋体" w:cs="宋体"/>
      <w:kern w:val="0"/>
      <w:sz w:val="24"/>
    </w:rPr>
  </w:style>
  <w:style w:type="paragraph" w:customStyle="1" w:styleId="52">
    <w:name w:val="reader-word-layer reader-word-s2-2"/>
    <w:basedOn w:val="1"/>
    <w:qFormat/>
    <w:uiPriority w:val="0"/>
    <w:pPr>
      <w:widowControl/>
      <w:spacing w:before="100" w:beforeAutospacing="1" w:after="100" w:afterAutospacing="1"/>
      <w:jc w:val="left"/>
    </w:pPr>
    <w:rPr>
      <w:rFonts w:ascii="宋体" w:hAnsi="宋体" w:cs="宋体"/>
      <w:kern w:val="0"/>
      <w:sz w:val="24"/>
    </w:rPr>
  </w:style>
  <w:style w:type="paragraph" w:customStyle="1" w:styleId="53">
    <w:name w:val="reader-word-layer reader-word-s2-8"/>
    <w:basedOn w:val="1"/>
    <w:qFormat/>
    <w:uiPriority w:val="0"/>
    <w:pPr>
      <w:widowControl/>
      <w:spacing w:before="100" w:beforeAutospacing="1" w:after="100" w:afterAutospacing="1"/>
      <w:jc w:val="left"/>
    </w:pPr>
    <w:rPr>
      <w:rFonts w:ascii="宋体" w:hAnsi="宋体" w:cs="宋体"/>
      <w:kern w:val="0"/>
      <w:sz w:val="24"/>
    </w:rPr>
  </w:style>
  <w:style w:type="paragraph" w:customStyle="1" w:styleId="54">
    <w:name w:val="TOC 标题1"/>
    <w:basedOn w:val="2"/>
    <w:next w:val="1"/>
    <w:qFormat/>
    <w:uiPriority w:val="0"/>
    <w:pPr>
      <w:widowControl/>
      <w:spacing w:before="240" w:line="259" w:lineRule="auto"/>
      <w:jc w:val="left"/>
      <w:outlineLvl w:val="9"/>
    </w:pPr>
    <w:rPr>
      <w:rFonts w:ascii="Calibri Light" w:hAnsi="Calibri Light" w:eastAsia="宋体"/>
      <w:b w:val="0"/>
      <w:bCs w:val="0"/>
      <w:color w:val="2E74B5"/>
      <w:kern w:val="0"/>
      <w:sz w:val="32"/>
      <w:szCs w:val="32"/>
    </w:rPr>
  </w:style>
  <w:style w:type="paragraph" w:customStyle="1" w:styleId="55">
    <w:name w:val="列表段落1"/>
    <w:basedOn w:val="1"/>
    <w:qFormat/>
    <w:uiPriority w:val="34"/>
    <w:pPr>
      <w:ind w:firstLine="420" w:firstLineChars="200"/>
    </w:pPr>
  </w:style>
  <w:style w:type="character" w:customStyle="1" w:styleId="56">
    <w:name w:val="页眉 字符"/>
    <w:basedOn w:val="24"/>
    <w:link w:val="16"/>
    <w:qFormat/>
    <w:uiPriority w:val="0"/>
    <w:rPr>
      <w:kern w:val="2"/>
      <w:sz w:val="18"/>
      <w:szCs w:val="18"/>
    </w:rPr>
  </w:style>
  <w:style w:type="character" w:customStyle="1" w:styleId="57">
    <w:name w:val="oalinshistyle21"/>
    <w:qFormat/>
    <w:uiPriority w:val="0"/>
    <w:rPr>
      <w:rFonts w:hint="default" w:ascii="Arial" w:hAnsi="Arial" w:cs="Arial"/>
      <w:sz w:val="27"/>
      <w:szCs w:val="27"/>
    </w:rPr>
  </w:style>
  <w:style w:type="character" w:customStyle="1" w:styleId="58">
    <w:name w:val="文档结构图 字符"/>
    <w:basedOn w:val="24"/>
    <w:link w:val="6"/>
    <w:qFormat/>
    <w:uiPriority w:val="0"/>
    <w:rPr>
      <w:kern w:val="2"/>
      <w:sz w:val="21"/>
      <w:szCs w:val="24"/>
      <w:shd w:val="clear" w:color="auto" w:fill="000080"/>
    </w:rPr>
  </w:style>
  <w:style w:type="character" w:customStyle="1" w:styleId="59">
    <w:name w:val="批注框文本 字符"/>
    <w:basedOn w:val="24"/>
    <w:link w:val="14"/>
    <w:qFormat/>
    <w:uiPriority w:val="0"/>
    <w:rPr>
      <w:kern w:val="2"/>
      <w:sz w:val="18"/>
      <w:szCs w:val="18"/>
    </w:rPr>
  </w:style>
  <w:style w:type="paragraph" w:customStyle="1" w:styleId="60">
    <w:name w:val="列出段落1"/>
    <w:basedOn w:val="1"/>
    <w:qFormat/>
    <w:uiPriority w:val="0"/>
    <w:pPr>
      <w:ind w:firstLine="420" w:firstLineChars="200"/>
    </w:pPr>
  </w:style>
  <w:style w:type="paragraph" w:styleId="61">
    <w:name w:val="List Paragraph"/>
    <w:basedOn w:val="1"/>
    <w:qFormat/>
    <w:uiPriority w:val="99"/>
    <w:pPr>
      <w:ind w:firstLine="420" w:firstLineChars="200"/>
    </w:pPr>
  </w:style>
  <w:style w:type="character" w:customStyle="1" w:styleId="62">
    <w:name w:val="font01"/>
    <w:basedOn w:val="2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北京市兰台律师事务所</Company>
  <Pages>134</Pages>
  <Words>124895</Words>
  <Characters>131914</Characters>
  <Lines>1186</Lines>
  <Paragraphs>334</Paragraphs>
  <TotalTime>45</TotalTime>
  <ScaleCrop>false</ScaleCrop>
  <LinksUpToDate>false</LinksUpToDate>
  <CharactersWithSpaces>134862</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2022-09-02T18:35:00Z</dcterms:created>
  <dc:creator>张通</dc:creator>
  <cp:lastModifiedBy>龙梦然</cp:lastModifiedBy>
  <cp:lastPrinted>2024-09-05T15:37:00Z</cp:lastPrinted>
  <dcterms:modified xsi:type="dcterms:W3CDTF">2025-03-31T08:44:24Z</dcterms:modified>
  <dc:title>北京市城管执法机关实施行政处罚裁量权一览表（试行）</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ICV">
    <vt:lpwstr>0B80440A2DE09F57AAA2A066EEE69FF8</vt:lpwstr>
  </property>
</Properties>
</file>