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方正小标宋简体" w:hAnsi="方正小标宋简体" w:eastAsia="方正小标宋简体" w:cs="方正小标宋简体"/>
          <w:color w:val="auto"/>
          <w:sz w:val="44"/>
          <w:szCs w:val="44"/>
          <w:highlight w:val="none"/>
          <w:lang w:eastAsia="zh-CN"/>
        </w:rPr>
      </w:pPr>
      <w:bookmarkStart w:id="216" w:name="_GoBack"/>
      <w:bookmarkEnd w:id="216"/>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lang w:val="en-US" w:eastAsia="zh-CN"/>
        </w:rPr>
        <w:t>2025年4月</w:t>
      </w:r>
      <w:r>
        <w:rPr>
          <w:rFonts w:hint="eastAsia" w:ascii="方正小标宋简体" w:hAnsi="方正小标宋简体" w:eastAsia="方正小标宋简体" w:cs="方正小标宋简体"/>
          <w:color w:val="auto"/>
          <w:sz w:val="44"/>
          <w:szCs w:val="44"/>
          <w:highlight w:val="none"/>
          <w:lang w:eastAsia="zh-CN"/>
        </w:rPr>
        <w:t>）</w:t>
      </w:r>
    </w:p>
    <w:p>
      <w:pPr>
        <w:bidi w:val="0"/>
        <w:jc w:val="center"/>
        <w:rPr>
          <w:rFonts w:hint="eastAsia" w:ascii="方正小标宋简体" w:hAnsi="方正小标宋简体" w:eastAsia="方正小标宋简体" w:cs="方正小标宋简体"/>
          <w:color w:val="auto"/>
          <w:sz w:val="44"/>
          <w:szCs w:val="44"/>
          <w:highlight w:val="none"/>
        </w:rPr>
      </w:pPr>
    </w:p>
    <w:tbl>
      <w:tblPr>
        <w:tblStyle w:val="23"/>
        <w:tblW w:w="14218"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500"/>
        <w:gridCol w:w="2789"/>
        <w:gridCol w:w="851"/>
        <w:gridCol w:w="840"/>
        <w:gridCol w:w="2304"/>
        <w:gridCol w:w="1785"/>
        <w:gridCol w:w="2385"/>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9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50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2304"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变量系数</w:t>
            </w:r>
          </w:p>
        </w:tc>
        <w:tc>
          <w:tcPr>
            <w:tcW w:w="1785"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2385"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c>
          <w:tcPr>
            <w:tcW w:w="824"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行使</w:t>
            </w:r>
          </w:p>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4"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8"/>
                <w:szCs w:val="28"/>
                <w:highlight w:val="none"/>
              </w:rPr>
            </w:pPr>
            <w:bookmarkStart w:id="0" w:name="_Toc1981015615"/>
            <w:bookmarkStart w:id="1" w:name="_Toc110851435"/>
            <w:bookmarkStart w:id="2" w:name="_Toc1748547838"/>
            <w:r>
              <w:rPr>
                <w:rFonts w:hint="eastAsia" w:ascii="黑体" w:hAnsi="黑体" w:eastAsia="黑体"/>
                <w:b w:val="0"/>
                <w:color w:val="auto"/>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3" w:name="_Toc1944272260"/>
            <w:bookmarkStart w:id="4" w:name="_Toc110851436"/>
            <w:bookmarkStart w:id="5" w:name="_Toc1859084654"/>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其它设施处工程造价1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23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4" w:hRule="atLeast"/>
          <w:jc w:val="center"/>
        </w:trPr>
        <w:tc>
          <w:tcPr>
            <w:tcW w:w="9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2789"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8" w:hRule="atLeast"/>
          <w:jc w:val="center"/>
        </w:trPr>
        <w:tc>
          <w:tcPr>
            <w:tcW w:w="94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2789"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c>
          <w:tcPr>
            <w:tcW w:w="824" w:type="dxa"/>
            <w:shd w:val="clear" w:color="auto" w:fill="auto"/>
            <w:vAlign w:val="center"/>
          </w:tcPr>
          <w:p>
            <w:pPr>
              <w:pStyle w:val="7"/>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2789"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2789"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2.占用非机动车道或者其它公共场所，面积较大，系数1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.使用畜力车、农用运输车及其它机动车、电动车为工具的，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p>
        </w:tc>
        <w:tc>
          <w:tcPr>
            <w:tcW w:w="17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spacing w:line="23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系数为1-3；2.占用非机动车道或者其它公共场所，面积较大，系数为1-3；3.占用无障碍设施或者机动车道的，系数为4-6；4.在公共绿地、燃气、热力等保护范围、管理范围堆放的，系数4-6；5.堆放易燃易爆等危险物品的，系数为5-9；6.造成交通秩序、市容秩序严重混乱的，系数5-9；7.造成人员伤亡的，系数7-9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占用非机动车道或者其它公共场所，面积较大，系数为1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占用无障碍设施或者机动车道的，系数为4-6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w:t>
            </w:r>
            <w:r>
              <w:rPr>
                <w:rFonts w:hint="eastAsia" w:cs="宋体" w:asciiTheme="minorEastAsia" w:hAnsiTheme="minorEastAsia" w:eastAsiaTheme="minorEastAsia"/>
                <w:b/>
                <w:bCs/>
                <w:color w:val="auto"/>
                <w:kern w:val="0"/>
                <w:sz w:val="15"/>
                <w:szCs w:val="15"/>
                <w:highlight w:val="none"/>
                <w:lang w:val="en-US" w:eastAsia="zh-CN"/>
              </w:rPr>
              <w:t>。</w:t>
            </w:r>
          </w:p>
        </w:tc>
        <w:tc>
          <w:tcPr>
            <w:tcW w:w="17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1.占用非机动车道或者其它公共场所，面积较大，系数</w:t>
            </w:r>
            <w:r>
              <w:rPr>
                <w:rFonts w:hint="eastAsia" w:cs="宋体" w:asciiTheme="minorEastAsia" w:hAnsiTheme="minorEastAsia" w:eastAsiaTheme="minorEastAsia"/>
                <w:b/>
                <w:bCs/>
                <w:color w:val="auto"/>
                <w:kern w:val="0"/>
                <w:sz w:val="15"/>
                <w:szCs w:val="15"/>
                <w:highlight w:val="none"/>
              </w:rPr>
              <w:t>1</w:t>
            </w:r>
            <w:r>
              <w:rPr>
                <w:rFonts w:hint="eastAsia" w:cs="宋体" w:asciiTheme="minorEastAsia" w:hAnsiTheme="minorEastAsia" w:eastAsiaTheme="minorEastAsia"/>
                <w:b/>
                <w:bCs/>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在城市道路及其它公共场所晾晒衣物、吊挂物品</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8"/>
              <w:rPr>
                <w:rFonts w:hint="eastAsia"/>
                <w:color w:val="auto"/>
                <w:highlight w:val="none"/>
              </w:rPr>
            </w:pP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22"/>
              <w:spacing w:after="0" w:line="232" w:lineRule="exact"/>
              <w:ind w:firstLine="300"/>
              <w:rPr>
                <w:rFonts w:asciiTheme="minorEastAsia" w:hAnsiTheme="minorEastAsia" w:eastAsiaTheme="minorEastAsia"/>
                <w:color w:val="auto"/>
                <w:sz w:val="15"/>
                <w:szCs w:val="15"/>
                <w:highlight w:val="none"/>
              </w:rPr>
            </w:pPr>
          </w:p>
          <w:p>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违反、处罚条款：第三十九第一款 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违反、处罚条款：第三十九第二款 责令停止使用，限期修复，并可处500元以上5000元以下罚款。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0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1.因散发、悬挂等行为影响交通通行的，系数为2；2.张贴、喷涂等污损名胜古迹的，或者严重污损市政、环卫、电信等设施、城市道路、墙体的，系数5；3.其它情形按照《基准》的规定执行。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4.其它按照《基准》的规定执行。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u w:val="singl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7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其它严重危害情节的，可视为情节严重。</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2789" w:type="dxa"/>
            <w:shd w:val="clear" w:color="auto" w:fill="auto"/>
            <w:vAlign w:val="center"/>
          </w:tcPr>
          <w:p>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bottom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逾期不清除临时设施的，每逾期2天，系数为１，以此累加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处罚条款：第五十第三款 责令改正，并处50元以上300元以下罚款；情节严重的，处300元以上3000元以下罚款。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1.占用非机动车道或者占用其它公共场所面积较大，或者造成通行秩序、市容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，系数为1</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占用无障碍设施、机动车道、绿地的，系数</w:t>
            </w:r>
            <w:r>
              <w:rPr>
                <w:rFonts w:hint="eastAsia" w:cs="宋体" w:asciiTheme="minorEastAsia" w:hAnsiTheme="minorEastAsia" w:eastAsiaTheme="minorEastAsia"/>
                <w:color w:val="auto"/>
                <w:kern w:val="0"/>
                <w:sz w:val="15"/>
                <w:szCs w:val="15"/>
                <w:highlight w:val="none"/>
                <w:lang w:eastAsia="zh-CN"/>
              </w:rPr>
              <w:t>为</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构成变量系数一栏中相关情节的，视为情节严重，适用此档处罚。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500"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罚款数额＝50×（1＋区域系数）。</w:t>
            </w:r>
          </w:p>
        </w:tc>
        <w:tc>
          <w:tcPr>
            <w:tcW w:w="2385" w:type="dxa"/>
            <w:shd w:val="clear" w:color="auto" w:fill="auto"/>
            <w:vAlign w:val="center"/>
          </w:tcPr>
          <w:p>
            <w:pPr>
              <w:spacing w:line="240"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情节之一的，视为情节严重。</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2。</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其它需要从轻处罚的，报案审会决定。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rPr>
              <w:t>1；6－10㎡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0"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 w:name="_Toc1542301765"/>
            <w:bookmarkStart w:id="8" w:name="_Toc110851437"/>
            <w:bookmarkStart w:id="9" w:name="_Toc1716261181"/>
            <w:r>
              <w:rPr>
                <w:rFonts w:hint="eastAsia" w:asciiTheme="minorEastAsia" w:hAnsiTheme="minorEastAsia" w:eastAsiaTheme="minorEastAsia"/>
                <w:color w:val="auto"/>
                <w:sz w:val="21"/>
                <w:szCs w:val="21"/>
                <w:highlight w:val="none"/>
              </w:rPr>
              <w:t>《北京市生活垃圾管理条例》案由</w:t>
            </w:r>
            <w:r>
              <w:rPr>
                <w:rFonts w:hint="eastAsia" w:asciiTheme="minorEastAsia" w:hAnsiTheme="minorEastAsia" w:eastAsiaTheme="minorEastAsia"/>
                <w:color w:val="auto"/>
                <w:sz w:val="21"/>
                <w:szCs w:val="21"/>
                <w:highlight w:val="none"/>
                <w:lang w:val="en-US" w:eastAsia="zh-CN"/>
              </w:rPr>
              <w:t>33</w:t>
            </w:r>
            <w:r>
              <w:rPr>
                <w:rFonts w:hint="eastAsia" w:asciiTheme="minorEastAsia" w:hAnsiTheme="minorEastAsia" w:eastAsiaTheme="minorEastAsia"/>
                <w:color w:val="auto"/>
                <w:sz w:val="21"/>
                <w:szCs w:val="21"/>
                <w:highlight w:val="none"/>
              </w:rPr>
              <w:t>项</w:t>
            </w:r>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变量系数为1；（以餐饮服务许可标注的类别为准）</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2.旅馆经营单位，符合《星级饭店评定标准》四星及以上的或至少有40间（套）可供出租的客房的，变量系数为1。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；（以餐饮服务许可标注的类别为准）2.旅馆经营单位，符合《星级饭店评定标准》四星及以上的或至少有40间（套）可供出租的客房的，变量系数为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w:t>
            </w:r>
            <w:r>
              <w:rPr>
                <w:rFonts w:hint="eastAsia" w:cs="宋体" w:asciiTheme="minorEastAsia" w:hAnsiTheme="minorEastAsia" w:eastAsiaTheme="minorEastAsia"/>
                <w:color w:val="auto"/>
                <w:kern w:val="0"/>
                <w:sz w:val="15"/>
                <w:szCs w:val="15"/>
                <w:highlight w:val="none"/>
                <w:lang w:eastAsia="zh-CN"/>
              </w:rPr>
              <w:t>市区城管执法部门以及</w:t>
            </w:r>
            <w:r>
              <w:rPr>
                <w:rFonts w:hint="eastAsia" w:cs="宋体" w:asciiTheme="minorEastAsia" w:hAnsiTheme="minorEastAsia" w:eastAsiaTheme="minorEastAsia"/>
                <w:color w:val="auto"/>
                <w:kern w:val="0"/>
                <w:sz w:val="15"/>
                <w:szCs w:val="15"/>
                <w:highlight w:val="none"/>
              </w:rPr>
              <w:t>街道办事处、乡镇人民政府书面告诫或者处罚的</w:t>
            </w:r>
            <w:r>
              <w:rPr>
                <w:rFonts w:hint="eastAsia" w:cs="宋体" w:asciiTheme="minorEastAsia" w:hAnsiTheme="minorEastAsia" w:eastAsiaTheme="minorEastAsia"/>
                <w:color w:val="auto"/>
                <w:kern w:val="0"/>
                <w:sz w:val="15"/>
                <w:szCs w:val="15"/>
                <w:highlight w:val="none"/>
                <w:lang w:eastAsia="zh-CN"/>
              </w:rPr>
              <w:t>常量</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；2.其他垃圾未投入相应标识的收集容器系数为0-3；3.厨余垃圾未投入相应标识的收集容器系数为1-5；4.有害垃圾 未投入相应标识的收集容器系数为1-5。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厨余垃圾、有害垃圾未投入</w:t>
            </w:r>
            <w:r>
              <w:rPr>
                <w:rFonts w:hint="eastAsia" w:asciiTheme="minorEastAsia" w:hAnsiTheme="minorEastAsia" w:eastAsiaTheme="minorEastAsia"/>
                <w:color w:val="auto"/>
                <w:sz w:val="15"/>
                <w:szCs w:val="15"/>
                <w:highlight w:val="none"/>
              </w:rPr>
              <w:t>相应标识的收集容器视为情节严重；可回收物、其他垃圾</w:t>
            </w:r>
            <w:r>
              <w:rPr>
                <w:rFonts w:hint="eastAsia" w:cs="宋体" w:asciiTheme="minorEastAsia" w:hAnsiTheme="minorEastAsia" w:eastAsiaTheme="minorEastAsia"/>
                <w:color w:val="auto"/>
                <w:kern w:val="0"/>
                <w:sz w:val="15"/>
                <w:szCs w:val="15"/>
                <w:highlight w:val="none"/>
              </w:rPr>
              <w:t>未投入</w:t>
            </w:r>
            <w:r>
              <w:rPr>
                <w:rFonts w:hint="eastAsia" w:asciiTheme="minorEastAsia" w:hAnsiTheme="minorEastAsia" w:eastAsiaTheme="minorEastAsia"/>
                <w:color w:val="auto"/>
                <w:sz w:val="15"/>
                <w:szCs w:val="15"/>
                <w:highlight w:val="none"/>
              </w:rPr>
              <w:t>相应标识的收集容器，垃圾投入量较大,造成垃圾满冒或随意堆放的情况视为情节严重。</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rPr>
              <w:t>。</w:t>
            </w: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19"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2789" w:type="dxa"/>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堆放在城市道路、居住小区消防通道</w:t>
            </w:r>
            <w:r>
              <w:rPr>
                <w:rFonts w:hint="eastAsia" w:asciiTheme="minorEastAsia" w:hAnsiTheme="minorEastAsia" w:eastAsiaTheme="minorEastAsia"/>
                <w:color w:val="auto"/>
                <w:sz w:val="15"/>
                <w:szCs w:val="15"/>
                <w:highlight w:val="none"/>
                <w:shd w:val="clear" w:color="auto" w:fill="FFFFFF"/>
              </w:rPr>
              <w:t>等共用部位</w:t>
            </w:r>
            <w:r>
              <w:rPr>
                <w:rFonts w:hint="eastAsia" w:cs="宋体" w:asciiTheme="minorEastAsia" w:hAnsiTheme="minorEastAsia" w:eastAsiaTheme="minorEastAsia"/>
                <w:color w:val="auto"/>
                <w:kern w:val="0"/>
                <w:sz w:val="15"/>
                <w:szCs w:val="15"/>
                <w:highlight w:val="none"/>
              </w:rPr>
              <w:t>；占压燃气、供暖等公用管道和设施保护（管理）范围的，或者绿地、林地、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内的，视为情节严重。</w:t>
            </w: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3"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9"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7"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未建立生活垃圾分类日常管理制度</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违反条款：第三十六条第一款第（一）项；处罚条款：第六十九条第一款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1.同时存在第三十六条第一款第（一）、（二）、（三）、（四）、（六）项违法行为中2项行为的，系数为1-2；3项及以上行为的，系数为3-5；2．生活垃圾分类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因生活垃圾分类收集容器配备不足造成垃圾满冒或随意堆放造成环境秩序较严重影响的，系数为3-5</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2789"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1.违法行为持续时间较长，系数为2-3；2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垃圾产生量较大，系数为3-4；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5-9</w:t>
            </w:r>
            <w:r>
              <w:rPr>
                <w:rFonts w:hint="eastAsia" w:asciiTheme="minorEastAsia" w:hAnsiTheme="minorEastAsia" w:eastAsiaTheme="minorEastAsia"/>
                <w:b/>
                <w:bCs/>
                <w:color w:val="auto"/>
                <w:sz w:val="15"/>
                <w:szCs w:val="15"/>
                <w:highlight w:val="none"/>
                <w:lang w:val="en-US" w:eastAsia="zh-CN"/>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pacing w:val="-4"/>
                <w:sz w:val="15"/>
                <w:szCs w:val="15"/>
                <w:highlight w:val="none"/>
              </w:rPr>
              <w:t>造成环境秩序较严重影响的，系数</w:t>
            </w:r>
            <w:r>
              <w:rPr>
                <w:rFonts w:hint="eastAsia" w:asciiTheme="minorEastAsia" w:hAnsiTheme="minorEastAsia" w:eastAsiaTheme="minorEastAsia"/>
                <w:strike w:val="0"/>
                <w:dstrike w:val="0"/>
                <w:color w:val="auto"/>
                <w:spacing w:val="-4"/>
                <w:sz w:val="15"/>
                <w:szCs w:val="15"/>
                <w:highlight w:val="none"/>
                <w:lang w:val="en-US" w:eastAsia="zh-CN"/>
              </w:rPr>
              <w:t>2-4</w:t>
            </w:r>
            <w:r>
              <w:rPr>
                <w:rFonts w:hint="eastAsia" w:asciiTheme="minorEastAsia" w:hAnsiTheme="minorEastAsia" w:eastAsiaTheme="minorEastAsia"/>
                <w:color w:val="auto"/>
                <w:spacing w:val="-4"/>
                <w:sz w:val="15"/>
                <w:szCs w:val="15"/>
                <w:highlight w:val="none"/>
              </w:rPr>
              <w:t>。</w:t>
            </w:r>
          </w:p>
        </w:tc>
        <w:tc>
          <w:tcPr>
            <w:tcW w:w="1785"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1.排放登记内容每缺少一项，系数加1；2</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pacing w:val="-4"/>
                <w:sz w:val="15"/>
                <w:szCs w:val="15"/>
                <w:highlight w:val="none"/>
                <w:lang w:eastAsia="zh-CN"/>
              </w:rPr>
              <w:t>登记</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.违法行为持续时间较长，垃圾产生量较</w:t>
            </w:r>
            <w:r>
              <w:rPr>
                <w:rFonts w:hint="eastAsia" w:asciiTheme="minorEastAsia" w:hAnsiTheme="minorEastAsia" w:eastAsiaTheme="minorEastAsia"/>
                <w:strike w:val="0"/>
                <w:dstrike w:val="0"/>
                <w:color w:val="auto"/>
                <w:spacing w:val="-4"/>
                <w:sz w:val="15"/>
                <w:szCs w:val="15"/>
                <w:highlight w:val="none"/>
              </w:rPr>
              <w:t>大，系数为2-4；</w:t>
            </w:r>
            <w:r>
              <w:rPr>
                <w:rFonts w:hint="eastAsia" w:asciiTheme="minorEastAsia" w:hAnsiTheme="minorEastAsia" w:eastAsiaTheme="minorEastAsia"/>
                <w:strike w:val="0"/>
                <w:dstrike w:val="0"/>
                <w:color w:val="auto"/>
                <w:spacing w:val="-4"/>
                <w:sz w:val="15"/>
                <w:szCs w:val="15"/>
                <w:highlight w:val="none"/>
                <w:lang w:val="en-US" w:eastAsia="zh-CN"/>
              </w:rPr>
              <w:t>2</w:t>
            </w:r>
            <w:r>
              <w:rPr>
                <w:rFonts w:hint="eastAsia" w:asciiTheme="minorEastAsia" w:hAnsiTheme="minorEastAsia" w:eastAsiaTheme="minorEastAsia"/>
                <w:strike w:val="0"/>
                <w:dstrike w:val="0"/>
                <w:color w:val="auto"/>
                <w:spacing w:val="-4"/>
                <w:sz w:val="15"/>
                <w:szCs w:val="15"/>
                <w:highlight w:val="none"/>
              </w:rPr>
              <w:t>.造成环境秩序较严重影响的，系数5-9。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rPr>
              <w:t>1.台账未记录实际产生的生活垃圾的种类、数量、运输者、去向等情况，系数为记录内容</w:t>
            </w:r>
            <w:r>
              <w:rPr>
                <w:rFonts w:asciiTheme="minorEastAsia" w:hAnsiTheme="minorEastAsia" w:eastAsiaTheme="minorEastAsia"/>
                <w:color w:val="auto"/>
                <w:sz w:val="15"/>
                <w:szCs w:val="15"/>
                <w:highlight w:val="none"/>
              </w:rPr>
              <w:t>每</w:t>
            </w:r>
            <w:r>
              <w:rPr>
                <w:rFonts w:hint="eastAsia" w:asciiTheme="minorEastAsia" w:hAnsiTheme="minorEastAsia" w:eastAsiaTheme="minorEastAsia"/>
                <w:color w:val="auto"/>
                <w:sz w:val="15"/>
                <w:szCs w:val="15"/>
                <w:highlight w:val="none"/>
              </w:rPr>
              <w:t>缺少1项</w:t>
            </w:r>
            <w:r>
              <w:rPr>
                <w:rFonts w:asciiTheme="minorEastAsia" w:hAnsiTheme="minorEastAsia" w:eastAsiaTheme="minorEastAsia"/>
                <w:color w:val="auto"/>
                <w:sz w:val="15"/>
                <w:szCs w:val="15"/>
                <w:highlight w:val="none"/>
              </w:rPr>
              <w:t>系数加</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strike w:val="0"/>
                <w:dstrike w:val="0"/>
                <w:color w:val="auto"/>
                <w:sz w:val="15"/>
                <w:szCs w:val="15"/>
                <w:highlight w:val="none"/>
              </w:rPr>
              <w:t>2.</w:t>
            </w:r>
            <w:r>
              <w:rPr>
                <w:rFonts w:hint="eastAsia" w:asciiTheme="minorEastAsia" w:hAnsiTheme="minorEastAsia" w:eastAsiaTheme="minorEastAsia"/>
                <w:color w:val="auto"/>
                <w:spacing w:val="-4"/>
                <w:sz w:val="15"/>
                <w:szCs w:val="15"/>
                <w:highlight w:val="none"/>
                <w:lang w:eastAsia="zh-CN"/>
              </w:rPr>
              <w:t>记录</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1.未按时、分类收运生活垃圾的，系数为0-1；2.违法行为持续时间较长；收集、运输垃圾量较大，系数为1-2；3.造成环境秩序较严重影响的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系数为1-2。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1.违法行为持续时间较长，系数为2-3；2.垃圾运输量较大，系数为3-5；</w:t>
            </w:r>
            <w:r>
              <w:rPr>
                <w:rFonts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rPr>
              <w:t>造成环境秩序较严重影响的，系数6-9。</w:t>
            </w: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1.将厨余垃圾混装混运，系数为1；</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2.将有害垃圾混装混运，系数为2；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3.混装混运生活垃圾总量较大、违法行为持续时间较长，系数3-5；</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auto"/>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收集、运输单位未落实生活垃圾管理台</w:t>
            </w:r>
            <w:r>
              <w:rPr>
                <w:rFonts w:hint="eastAsia" w:asciiTheme="minorEastAsia" w:hAnsiTheme="minorEastAsia" w:eastAsiaTheme="minorEastAsia"/>
                <w:color w:val="auto"/>
                <w:sz w:val="15"/>
                <w:szCs w:val="15"/>
                <w:highlight w:val="none"/>
                <w:shd w:val="clear" w:fill="FF0000"/>
                <w:lang w:eastAsia="zh-CN"/>
              </w:rPr>
              <w:t>账</w:t>
            </w:r>
            <w:r>
              <w:rPr>
                <w:rFonts w:hint="eastAsia" w:asciiTheme="minorEastAsia" w:hAnsiTheme="minorEastAsia" w:eastAsiaTheme="minorEastAsia"/>
                <w:color w:val="auto"/>
                <w:sz w:val="15"/>
                <w:szCs w:val="15"/>
                <w:highlight w:val="none"/>
              </w:rPr>
              <w:t>制度</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1.已建立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而记录内容不完整的，系数为0-</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；2.未建立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的</w:t>
            </w:r>
            <w:r>
              <w:rPr>
                <w:rFonts w:hint="eastAsia" w:cs="仿宋_GB2312" w:asciiTheme="minorEastAsia" w:hAnsiTheme="minorEastAsia" w:eastAsiaTheme="minorEastAsia"/>
                <w:color w:val="auto"/>
                <w:kern w:val="0"/>
                <w:sz w:val="15"/>
                <w:szCs w:val="15"/>
                <w:highlight w:val="none"/>
              </w:rPr>
              <w:t>，系数为3-</w:t>
            </w:r>
            <w:r>
              <w:rPr>
                <w:rFonts w:cs="仿宋_GB2312"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；3.台账记录存在弄虚作假或其它较严重影响的情形，系数7-9。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违法行为持续时间较长、建筑垃圾产生量较大、造成环境秩序较严重影响的，系数4-9。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91"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26</w:t>
            </w:r>
          </w:p>
        </w:tc>
        <w:tc>
          <w:tcPr>
            <w:tcW w:w="1500"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2789"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p>
        </w:tc>
        <w:tc>
          <w:tcPr>
            <w:tcW w:w="1785" w:type="dxa"/>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3" w:lineRule="exact"/>
              <w:rPr>
                <w:rFonts w:cs="宋体" w:asciiTheme="minorEastAsia" w:hAnsiTheme="minorEastAsia" w:eastAsiaTheme="minorEastAsia"/>
                <w:color w:val="auto"/>
                <w:kern w:val="0"/>
                <w:sz w:val="14"/>
                <w:szCs w:val="14"/>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27</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处理生活垃圾总量较大、持续时间较长、对环境秩序造成较严重影响的，系数2-3。</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28</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1.未建立检测档案，系数为0-2； </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2.未设置化验室或者委托专业化验机构，对生活垃圾、渗沥液等处理过程中常规参数进行检测，系数为3-6；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29</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1.未对生活垃圾处理设施相关指标进行检测，系数为0-2； 2.未按照要求建设在线监管系统，系数为3-6；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6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30</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1.未将检测数据传送至生活垃圾管理信息系统，系数为0-2；</w:t>
            </w:r>
            <w:r>
              <w:rPr>
                <w:rFonts w:hint="eastAsia" w:cs="宋体" w:asciiTheme="minorEastAsia" w:hAnsiTheme="minorEastAsia" w:eastAsiaTheme="minorEastAsia"/>
                <w:color w:val="auto"/>
                <w:kern w:val="0"/>
                <w:sz w:val="15"/>
                <w:szCs w:val="15"/>
                <w:highlight w:val="none"/>
              </w:rPr>
              <w:t>2.长期未按要求传送，未如实传送数据的，系数3-6；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0" w:hRule="atLeast"/>
          <w:jc w:val="center"/>
        </w:trPr>
        <w:tc>
          <w:tcPr>
            <w:tcW w:w="9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31</w:t>
            </w:r>
          </w:p>
        </w:tc>
        <w:tc>
          <w:tcPr>
            <w:tcW w:w="1500"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2789"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1.未按要求公开数据的，系数0-2；2.长期未公开数据，系数3-6；</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3.造成较严重后果的，系数7-9。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1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7"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32</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9"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33</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以下系数</w:t>
            </w:r>
            <w:r>
              <w:rPr>
                <w:rFonts w:hint="eastAsia" w:cs="宋体" w:asciiTheme="minorEastAsia" w:hAnsiTheme="minorEastAsia" w:eastAsiaTheme="minorEastAsia"/>
                <w:color w:val="auto"/>
                <w:kern w:val="0"/>
                <w:sz w:val="15"/>
                <w:szCs w:val="15"/>
                <w:highlight w:val="none"/>
              </w:rPr>
              <w:t>0，11－15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1，16－20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罚款数额＝1000×（1＋区域系数+变量系数）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000×（1＋区域系数）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曾因此违法行为受过到行政处罚，再次违反的适用此情形。</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0" w:name="_Toc726075658"/>
            <w:bookmarkStart w:id="11" w:name="_Toc110851438"/>
            <w:bookmarkStart w:id="12" w:name="_Toc1631089704"/>
            <w:r>
              <w:rPr>
                <w:rFonts w:hint="eastAsia" w:asciiTheme="minorEastAsia" w:hAnsiTheme="minorEastAsia" w:eastAsiaTheme="minorEastAsia"/>
                <w:color w:val="auto"/>
                <w:sz w:val="20"/>
                <w:szCs w:val="20"/>
                <w:highlight w:val="none"/>
              </w:rPr>
              <w:t>《城市生活垃圾管理办法》案由</w:t>
            </w:r>
            <w:r>
              <w:rPr>
                <w:rFonts w:hint="eastAsia" w:asciiTheme="minorEastAsia" w:hAnsiTheme="minorEastAsia" w:eastAsiaTheme="minorEastAsia"/>
                <w:color w:val="auto"/>
                <w:sz w:val="20"/>
                <w:szCs w:val="20"/>
                <w:highlight w:val="none"/>
                <w:lang w:val="en-US" w:eastAsia="zh-CN"/>
              </w:rPr>
              <w:t>10</w:t>
            </w:r>
            <w:r>
              <w:rPr>
                <w:rFonts w:hint="eastAsia" w:asciiTheme="minorEastAsia" w:hAnsiTheme="minorEastAsia" w:eastAsiaTheme="minorEastAsia"/>
                <w:color w:val="auto"/>
                <w:sz w:val="20"/>
                <w:szCs w:val="20"/>
                <w:highlight w:val="none"/>
              </w:rPr>
              <w:t>项</w:t>
            </w:r>
            <w:bookmarkEnd w:id="10"/>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2789"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2789"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造成较大社会影响或者严重后果的其它情形，系数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0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8"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b w:val="0"/>
                <w:bCs w:val="0"/>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val="en-US" w:eastAsia="zh-CN"/>
              </w:rPr>
              <w:t>3</w:t>
            </w:r>
          </w:p>
        </w:tc>
        <w:tc>
          <w:tcPr>
            <w:tcW w:w="1500" w:type="dxa"/>
            <w:vMerge w:val="restart"/>
            <w:shd w:val="clear" w:color="auto" w:fill="auto"/>
            <w:vAlign w:val="center"/>
          </w:tcPr>
          <w:p>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2789" w:type="dxa"/>
            <w:vMerge w:val="restart"/>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p>
            <w:pPr>
              <w:spacing w:line="20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6"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6"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2-3，存在3种及以上情形的，系数为4-5；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对环境秩序造成较严重影响的，系数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8</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1，存在3种及以上情形的，系数为2-3；</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8"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9</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违反条款：第二十一条第（二）项,第三十五条第一款；处罚条款：第四十六条，责令限期改正，并可处以1万元以上3万元以下罚款。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违法行为持续时间较长、造成较严重影响的，系数1-2</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4"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14218" w:type="dxa"/>
            <w:gridSpan w:val="9"/>
            <w:shd w:val="clear" w:color="auto" w:fill="auto"/>
            <w:vAlign w:val="center"/>
          </w:tcPr>
          <w:p>
            <w:pPr>
              <w:pStyle w:val="3"/>
              <w:widowControl w:val="0"/>
              <w:spacing w:line="220" w:lineRule="exact"/>
              <w:jc w:val="center"/>
              <w:rPr>
                <w:rFonts w:asciiTheme="minorEastAsia" w:hAnsiTheme="minorEastAsia" w:eastAsiaTheme="minorEastAsia"/>
                <w:color w:val="auto"/>
                <w:sz w:val="15"/>
                <w:szCs w:val="15"/>
                <w:highlight w:val="none"/>
              </w:rPr>
            </w:pPr>
            <w:bookmarkStart w:id="13" w:name="_Toc1544417110"/>
            <w:bookmarkStart w:id="14" w:name="_Toc763570746"/>
            <w:bookmarkStart w:id="15" w:name="_Toc110851439"/>
            <w:r>
              <w:rPr>
                <w:rFonts w:hint="eastAsia" w:asciiTheme="minorEastAsia" w:hAnsiTheme="minorEastAsia" w:eastAsiaTheme="minorEastAsia"/>
                <w:color w:val="auto"/>
                <w:sz w:val="20"/>
                <w:szCs w:val="20"/>
                <w:highlight w:val="none"/>
              </w:rPr>
              <w:t>《城市建筑垃圾管理规定》案由</w:t>
            </w:r>
            <w:r>
              <w:rPr>
                <w:rFonts w:hint="eastAsia" w:asciiTheme="minorEastAsia" w:hAnsiTheme="minorEastAsia" w:eastAsiaTheme="minorEastAsia"/>
                <w:color w:val="auto"/>
                <w:sz w:val="20"/>
                <w:szCs w:val="20"/>
                <w:highlight w:val="none"/>
                <w:lang w:val="en-US" w:eastAsia="zh-CN"/>
              </w:rPr>
              <w:t>10</w:t>
            </w:r>
            <w:r>
              <w:rPr>
                <w:rFonts w:hint="eastAsia" w:asciiTheme="minorEastAsia" w:hAnsiTheme="minorEastAsia" w:eastAsiaTheme="minorEastAsia"/>
                <w:color w:val="auto"/>
                <w:sz w:val="20"/>
                <w:szCs w:val="20"/>
                <w:highlight w:val="none"/>
              </w:rPr>
              <w:t>项</w:t>
            </w:r>
            <w:bookmarkEnd w:id="13"/>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4"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color w:val="auto"/>
                <w:highlight w:val="none"/>
              </w:rPr>
            </w:pPr>
            <w:r>
              <w:rPr>
                <w:rFonts w:hint="eastAsia" w:asciiTheme="minorEastAsia" w:hAnsiTheme="minorEastAsia" w:eastAsiaTheme="minorEastAsia"/>
                <w:color w:val="auto"/>
                <w:sz w:val="15"/>
                <w:szCs w:val="15"/>
                <w:highlight w:val="none"/>
              </w:rPr>
              <w:t>违法行为持续时间较长、造成较严重影响的，系数1。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7"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9"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pStyle w:val="22"/>
              <w:ind w:left="0" w:leftChars="0" w:firstLine="0" w:firstLineChars="0"/>
              <w:rPr>
                <w:rFonts w:hint="default"/>
                <w:strike/>
                <w:dstrike w:val="0"/>
                <w:color w:val="auto"/>
                <w:highlight w:val="none"/>
                <w:lang w:val="en-US" w:eastAsia="zh-CN"/>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涂改、倒卖、出租、出借或者以其它形式非法转让城市建筑垃圾处置核准文件</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9" w:hRule="atLeast"/>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8</w:t>
            </w:r>
          </w:p>
        </w:tc>
        <w:tc>
          <w:tcPr>
            <w:tcW w:w="1500" w:type="dxa"/>
            <w:vMerge w:val="restart"/>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asciiTheme="minorEastAsia" w:hAnsiTheme="minorEastAsia" w:eastAsiaTheme="minorEastAsia"/>
                <w:strike/>
                <w:color w:val="auto"/>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0"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6" w:hRule="atLeast"/>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9</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2789"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p>
        </w:tc>
        <w:tc>
          <w:tcPr>
            <w:tcW w:w="17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2"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28" w:hRule="atLeast"/>
          <w:jc w:val="center"/>
        </w:trPr>
        <w:tc>
          <w:tcPr>
            <w:tcW w:w="940" w:type="dxa"/>
            <w:vMerge w:val="restart"/>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9"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6" w:name="_Toc1046440714"/>
            <w:bookmarkStart w:id="17" w:name="_Toc110851440"/>
            <w:bookmarkStart w:id="18" w:name="_Toc80602247"/>
            <w:r>
              <w:rPr>
                <w:rFonts w:hint="eastAsia" w:asciiTheme="minorEastAsia" w:hAnsiTheme="minorEastAsia" w:eastAsiaTheme="minorEastAsia"/>
                <w:color w:val="auto"/>
                <w:sz w:val="20"/>
                <w:szCs w:val="20"/>
                <w:highlight w:val="none"/>
              </w:rPr>
              <w:t>《中华人民共和国固体废物污染环境防治法》案由</w:t>
            </w:r>
            <w:r>
              <w:rPr>
                <w:rFonts w:hint="eastAsia" w:asciiTheme="minorEastAsia" w:hAnsiTheme="minorEastAsia" w:eastAsiaTheme="minorEastAsia"/>
                <w:color w:val="auto"/>
                <w:sz w:val="20"/>
                <w:szCs w:val="20"/>
                <w:highlight w:val="none"/>
                <w:lang w:val="en-US" w:eastAsia="zh-CN"/>
              </w:rPr>
              <w:t>9</w:t>
            </w:r>
            <w:r>
              <w:rPr>
                <w:rFonts w:hint="eastAsia" w:asciiTheme="minorEastAsia" w:hAnsiTheme="minorEastAsia" w:eastAsiaTheme="minorEastAsia"/>
                <w:color w:val="auto"/>
                <w:sz w:val="20"/>
                <w:szCs w:val="20"/>
                <w:highlight w:val="none"/>
              </w:rPr>
              <w:t>项</w:t>
            </w:r>
            <w:bookmarkEnd w:id="16"/>
            <w:bookmarkEnd w:id="17"/>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4"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违反条款:第一百零三条;处罚条款：第一百零三条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101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6"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500" w:type="dxa"/>
            <w:shd w:val="clear" w:color="auto" w:fill="auto"/>
            <w:vAlign w:val="center"/>
          </w:tcPr>
          <w:p>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构成变量系数、常量系数情形的，视为”情节严重“</w:t>
            </w:r>
          </w:p>
          <w:p>
            <w:pPr>
              <w:pStyle w:val="8"/>
              <w:rPr>
                <w:rFonts w:hint="eastAsia" w:asciiTheme="minorEastAsia" w:hAnsiTheme="minorEastAsia" w:eastAsiaTheme="minorEastAsia"/>
                <w:color w:val="auto"/>
                <w:sz w:val="15"/>
                <w:szCs w:val="15"/>
                <w:highlight w:val="none"/>
                <w:lang w:eastAsia="zh-CN"/>
              </w:rPr>
            </w:pPr>
          </w:p>
          <w:p>
            <w:pPr>
              <w:pStyle w:val="9"/>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3" w:hRule="atLeast"/>
          <w:jc w:val="center"/>
        </w:trPr>
        <w:tc>
          <w:tcPr>
            <w:tcW w:w="940"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垃圾占地面积在5</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下的，系数</w:t>
            </w:r>
            <w:r>
              <w:rPr>
                <w:rFonts w:hint="eastAsia" w:asciiTheme="minorEastAsia" w:hAnsiTheme="minorEastAsia" w:eastAsiaTheme="minorEastAsia"/>
                <w:color w:val="auto"/>
                <w:sz w:val="15"/>
                <w:szCs w:val="15"/>
                <w:highlight w:val="none"/>
              </w:rPr>
              <w:t>0；6－10</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5" w:hRule="atLeast"/>
          <w:jc w:val="center"/>
        </w:trPr>
        <w:tc>
          <w:tcPr>
            <w:tcW w:w="940" w:type="dxa"/>
            <w:vMerge w:val="continue"/>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continue"/>
            <w:shd w:val="clear" w:color="auto" w:fill="auto"/>
          </w:tcPr>
          <w:p>
            <w:pPr>
              <w:spacing w:line="190"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continue"/>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5"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lang w:val="en-US" w:eastAsia="zh-CN"/>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2"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bCs/>
                <w:color w:val="auto"/>
                <w:sz w:val="15"/>
                <w:szCs w:val="15"/>
                <w:highlight w:val="none"/>
                <w:lang w:val="en-US" w:eastAsia="zh-CN"/>
              </w:rPr>
              <w:t>2</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的，系数为</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系数</w:t>
            </w:r>
            <w:r>
              <w:rPr>
                <w:rFonts w:asciiTheme="minorEastAsia" w:hAnsiTheme="minorEastAsia" w:eastAsiaTheme="minorEastAsia"/>
                <w:b w:val="0"/>
                <w:bCs w:val="0"/>
                <w:color w:val="auto"/>
                <w:sz w:val="15"/>
                <w:szCs w:val="15"/>
                <w:highlight w:val="none"/>
              </w:rPr>
              <w:t>为</w:t>
            </w:r>
            <w:r>
              <w:rPr>
                <w:rFonts w:hint="eastAsia" w:asciiTheme="minorEastAsia" w:hAnsiTheme="minorEastAsia" w:eastAsiaTheme="minorEastAsia"/>
                <w:b w:val="0"/>
                <w:bCs w:val="0"/>
                <w:color w:val="auto"/>
                <w:sz w:val="15"/>
                <w:szCs w:val="15"/>
                <w:highlight w:val="none"/>
              </w:rPr>
              <w:t>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4"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工程施工单位未按照规定对施工过程中产生的固体废物进行利用或者处置的</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7" w:hRule="atLeast"/>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kern w:val="0"/>
                <w:sz w:val="15"/>
                <w:szCs w:val="15"/>
                <w:highlight w:val="none"/>
                <w:lang w:val="en-US" w:eastAsia="zh-CN"/>
              </w:rPr>
              <w:t>8</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9</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numPr>
                <w:ilvl w:val="0"/>
                <w:numId w:val="0"/>
              </w:numP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随意倾</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3-9</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rPr>
              <w:t>；</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w:t>
            </w:r>
            <w:r>
              <w:rPr>
                <w:rFonts w:hint="eastAsia" w:asciiTheme="minorEastAsia" w:hAnsiTheme="minorEastAsia" w:eastAsiaTheme="minorEastAsia"/>
                <w:color w:val="auto"/>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9" w:name="_Toc812078872"/>
            <w:bookmarkStart w:id="20" w:name="_Toc1531171604"/>
            <w:bookmarkStart w:id="21" w:name="_Toc110851441"/>
            <w:r>
              <w:rPr>
                <w:rFonts w:hint="eastAsia" w:asciiTheme="minorEastAsia" w:hAnsiTheme="minorEastAsia" w:eastAsiaTheme="minorEastAsia"/>
                <w:color w:val="auto"/>
                <w:sz w:val="20"/>
                <w:szCs w:val="20"/>
                <w:highlight w:val="none"/>
              </w:rPr>
              <w:t>《北京市“门前三包”责任制管理办法》案由1项</w:t>
            </w:r>
            <w:bookmarkEnd w:id="19"/>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未落实“门前三包”责任制</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违反条款：第三条第（一）项、第（二）项、第（三）项；处罚条款：第八条，对违反本办法的单位应当责令改正，并视情节轻重，处200元以上1000元以下的罚款，并对单位负责人处20元以上50元以下的罚款。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 xml:space="preserve"> </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（对单位负责人）</w:t>
            </w: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对单位责任人的罚款，由执法部门酌情决定；单位是个体户的，仅处罚单位即可。</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2" w:name="_Toc110851442"/>
            <w:bookmarkStart w:id="23" w:name="_Toc1567388814"/>
            <w:bookmarkStart w:id="24" w:name="_Toc1169203885"/>
            <w:r>
              <w:rPr>
                <w:rFonts w:hint="eastAsia" w:asciiTheme="minorEastAsia" w:hAnsiTheme="minorEastAsia" w:eastAsiaTheme="minorEastAsia"/>
                <w:color w:val="auto"/>
                <w:sz w:val="20"/>
                <w:szCs w:val="20"/>
                <w:highlight w:val="none"/>
              </w:rPr>
              <w:t>《北京市人民政府关于扫雪铲冰管理的规定》案由1项</w:t>
            </w:r>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9"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5" w:name="_Toc114467569"/>
            <w:bookmarkStart w:id="26" w:name="_Toc110851443"/>
            <w:bookmarkStart w:id="27" w:name="_Toc764526123"/>
            <w:r>
              <w:rPr>
                <w:rFonts w:hint="eastAsia" w:asciiTheme="minorEastAsia" w:hAnsiTheme="minorEastAsia" w:eastAsiaTheme="minorEastAsia"/>
                <w:color w:val="auto"/>
                <w:sz w:val="20"/>
                <w:szCs w:val="20"/>
                <w:highlight w:val="none"/>
              </w:rPr>
              <w:t>《北京市户外广告设施、牌匾标识和标语宣传品设置管理条例》案由14项</w:t>
            </w:r>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2789"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　</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Theme="minorEastAsia" w:hAnsiTheme="minorEastAsia" w:eastAsiaTheme="minorEastAsia"/>
                <w:strike/>
                <w:dstrike w:val="0"/>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1.违法设置大型户外广告设施的，系数为2；2.违法设置距地十米以上的户外广告设施的，系数为2；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1.违法设置大型固定式牌匾标识的，系数为2；2.违法设置距地十米以上的固定式牌匾标识的，系数为2；3.违法设置2处牌匾标识的，系数为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2.距地十米以上的电子显示装置，系数为2。</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系数为2；3.距地十米以上的户外广告设施、牌匾标识，系数为2。</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p>
        </w:tc>
        <w:tc>
          <w:tcPr>
            <w:tcW w:w="17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为2；2.因未安全鉴定引发户外广告设施掉落等行为影响公共安全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1.设置在车站、机场、居民小区、医院、学校、体育场馆、影剧院、繁华商业街区、旅游景区等人口集中地区的，系数为2；2.因未安全鉴定引发牌匾标识掉落等行为影响公共安全的，系数为9。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1.设置在环路、高（快）速路两侧，或者车站、机场、居民小区、医院、学校、体育场馆、影剧院、繁华商业街区、旅游景区等人口集中地区的，系数2；2.大型户外广告设施、固定式牌匾标识，变量系数为2；</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3.距地十米以上的户外广告设施、牌匾标识，变量系数为2。</w:t>
            </w:r>
          </w:p>
        </w:tc>
        <w:tc>
          <w:tcPr>
            <w:tcW w:w="17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8" w:name="_Toc1597132697"/>
            <w:bookmarkStart w:id="29" w:name="_Toc295250662"/>
            <w:bookmarkStart w:id="30" w:name="_Toc110851445"/>
            <w:r>
              <w:rPr>
                <w:rFonts w:hint="eastAsia" w:asciiTheme="minorEastAsia" w:hAnsiTheme="minorEastAsia" w:eastAsiaTheme="minorEastAsia"/>
                <w:color w:val="auto"/>
                <w:sz w:val="21"/>
                <w:szCs w:val="21"/>
                <w:highlight w:val="none"/>
              </w:rPr>
              <w:t>《北京市标语宣传品设置管理规定》案由6项</w:t>
            </w:r>
            <w:bookmarkEnd w:id="28"/>
            <w:bookmarkEnd w:id="29"/>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车站、机场、居民小区、医院、学校、体育场馆、影剧院、繁华商业街区、旅游景区等人口集中地区的固定宣传设施不安全不牢固的，系数为5；上述区域污损、残缺的，系数为3。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31" w:name="_Toc1608572295"/>
            <w:bookmarkStart w:id="32" w:name="_Toc2072230684"/>
            <w:bookmarkStart w:id="33" w:name="_Toc110851446"/>
            <w:r>
              <w:rPr>
                <w:rFonts w:hint="eastAsia" w:asciiTheme="minorEastAsia" w:hAnsiTheme="minorEastAsia" w:eastAsiaTheme="minorEastAsia"/>
                <w:color w:val="auto"/>
                <w:sz w:val="21"/>
                <w:szCs w:val="21"/>
                <w:highlight w:val="none"/>
              </w:rPr>
              <w:t>《北京市城市道路和公共场所环境卫生管理若干规定》案由7项</w:t>
            </w:r>
            <w:bookmarkEnd w:id="31"/>
            <w:bookmarkEnd w:id="32"/>
            <w:bookmark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0"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5" w:hRule="atLeast"/>
          <w:jc w:val="center"/>
        </w:trPr>
        <w:tc>
          <w:tcPr>
            <w:tcW w:w="14218" w:type="dxa"/>
            <w:gridSpan w:val="9"/>
            <w:shd w:val="clear" w:color="auto" w:fill="auto"/>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4" w:name="_Toc110851447"/>
            <w:bookmarkStart w:id="35" w:name="_Toc660874911"/>
            <w:bookmarkStart w:id="36" w:name="_Toc873097592"/>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hint="eastAsia" w:asciiTheme="minorEastAsia" w:hAnsiTheme="minorEastAsia" w:eastAsiaTheme="minorEastAsia"/>
                <w:color w:val="auto"/>
                <w:sz w:val="21"/>
                <w:szCs w:val="21"/>
                <w:highlight w:val="none"/>
                <w:lang w:val="en-US" w:eastAsia="zh-CN"/>
              </w:rPr>
              <w:t>22</w:t>
            </w:r>
            <w:r>
              <w:rPr>
                <w:rStyle w:val="32"/>
                <w:rFonts w:hint="eastAsia" w:asciiTheme="minorEastAsia" w:hAnsiTheme="minorEastAsia" w:eastAsiaTheme="minorEastAsia"/>
                <w:color w:val="auto"/>
                <w:sz w:val="21"/>
                <w:szCs w:val="21"/>
                <w:highlight w:val="none"/>
              </w:rPr>
              <w:t>项</w:t>
            </w:r>
            <w:bookmarkEnd w:id="34"/>
          </w:p>
          <w:bookmarkEnd w:id="35"/>
          <w:bookmarkEnd w:id="36"/>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 责令限期改正，给予警告，对单位处10万元以上100万元以下罚款，对产生建筑垃圾的个人处200元以下罚款。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区域台帐与倾倒、抛撒、堆放点位重叠时，系数不累加计算。</w:t>
            </w:r>
          </w:p>
          <w:p>
            <w:pPr>
              <w:pStyle w:val="8"/>
              <w:rPr>
                <w:rFonts w:hint="eastAsia"/>
                <w:color w:val="auto"/>
                <w:highlight w:val="none"/>
                <w:lang w:eastAsia="zh-CN"/>
              </w:rPr>
            </w:pPr>
          </w:p>
          <w:p>
            <w:pPr>
              <w:pStyle w:val="8"/>
              <w:rPr>
                <w:color w:val="auto"/>
                <w:highlight w:val="none"/>
              </w:rPr>
            </w:pPr>
          </w:p>
        </w:tc>
        <w:tc>
          <w:tcPr>
            <w:tcW w:w="824" w:type="dxa"/>
            <w:vMerge w:val="restart"/>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8" w:hRule="atLeast"/>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.建筑垃圾混合危险废物的，系数为2；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.建筑垃圾同时混合生活垃圾、危险废物，系数为3；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违法事件持续较长，建筑垃圾与其他生活垃圾、危险废物混合产生量较大，造成环境秩序较严重影响的，系数为4</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c>
          <w:tcPr>
            <w:tcW w:w="824" w:type="dxa"/>
            <w:vMerge w:val="restart"/>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c>
          <w:tcPr>
            <w:tcW w:w="824"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2.曾因此违法行为受过到行政处罚，再次违反的适用此情形。</w:t>
            </w:r>
          </w:p>
        </w:tc>
        <w:tc>
          <w:tcPr>
            <w:tcW w:w="824"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生活垃圾</w:t>
            </w:r>
            <w:r>
              <w:rPr>
                <w:rFonts w:asciiTheme="minorEastAsia" w:hAnsiTheme="minorEastAsia" w:eastAsiaTheme="minorEastAsia"/>
                <w:color w:val="auto"/>
                <w:sz w:val="15"/>
                <w:szCs w:val="15"/>
                <w:highlight w:val="none"/>
              </w:rPr>
              <w:t>分类管理</w:t>
            </w:r>
            <w:r>
              <w:rPr>
                <w:rFonts w:hint="eastAsia" w:asciiTheme="minorEastAsia" w:hAnsiTheme="minorEastAsia" w:eastAsiaTheme="minorEastAsia"/>
                <w:color w:val="auto"/>
                <w:sz w:val="15"/>
                <w:szCs w:val="15"/>
                <w:highlight w:val="none"/>
                <w:shd w:val="clear" w:fill="FF0000"/>
                <w:lang w:eastAsia="zh-CN"/>
              </w:rPr>
              <w:t>责任</w:t>
            </w:r>
            <w:r>
              <w:rPr>
                <w:rFonts w:asciiTheme="minorEastAsia" w:hAnsiTheme="minorEastAsia" w:eastAsiaTheme="minorEastAsia"/>
                <w:color w:val="auto"/>
                <w:sz w:val="15"/>
                <w:szCs w:val="15"/>
                <w:highlight w:val="none"/>
              </w:rPr>
              <w:t>人</w:t>
            </w:r>
            <w:r>
              <w:rPr>
                <w:rFonts w:hint="eastAsia" w:asciiTheme="minorEastAsia" w:hAnsiTheme="minorEastAsia" w:eastAsiaTheme="minorEastAsia"/>
                <w:color w:val="auto"/>
                <w:sz w:val="15"/>
                <w:szCs w:val="15"/>
                <w:highlight w:val="none"/>
              </w:rPr>
              <w:t>对居民装饰装修产生的建筑垃圾未制定治理方案</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对环境造成影响的</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6-9。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，但明确</w:t>
            </w:r>
            <w:r>
              <w:rPr>
                <w:rFonts w:asciiTheme="minorEastAsia" w:hAnsiTheme="minorEastAsia" w:eastAsiaTheme="minorEastAsia"/>
                <w:color w:val="auto"/>
                <w:sz w:val="15"/>
                <w:szCs w:val="15"/>
                <w:highlight w:val="none"/>
              </w:rPr>
              <w:t>事项造成缺项，系数为</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明确</w:t>
            </w:r>
            <w:r>
              <w:rPr>
                <w:rFonts w:asciiTheme="minorEastAsia" w:hAnsiTheme="minorEastAsia" w:eastAsiaTheme="minorEastAsia"/>
                <w:color w:val="auto"/>
                <w:sz w:val="15"/>
                <w:szCs w:val="15"/>
                <w:highlight w:val="none"/>
              </w:rPr>
              <w:t>事项造成缺项，且对环境</w:t>
            </w:r>
            <w:r>
              <w:rPr>
                <w:rFonts w:hint="eastAsia" w:asciiTheme="minorEastAsia" w:hAnsiTheme="minorEastAsia" w:eastAsiaTheme="minorEastAsia"/>
                <w:color w:val="auto"/>
                <w:sz w:val="15"/>
                <w:szCs w:val="15"/>
                <w:highlight w:val="none"/>
              </w:rPr>
              <w:t>秩序</w:t>
            </w:r>
            <w:r>
              <w:rPr>
                <w:rFonts w:asciiTheme="minorEastAsia" w:hAnsiTheme="minorEastAsia" w:eastAsiaTheme="minorEastAsia"/>
                <w:color w:val="auto"/>
                <w:sz w:val="15"/>
                <w:szCs w:val="15"/>
                <w:highlight w:val="none"/>
              </w:rPr>
              <w:t>造成影响的，系数为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；3.要素</w:t>
            </w:r>
            <w:r>
              <w:rPr>
                <w:rFonts w:asciiTheme="minorEastAsia" w:hAnsiTheme="minorEastAsia" w:eastAsiaTheme="minorEastAsia"/>
                <w:color w:val="auto"/>
                <w:sz w:val="15"/>
                <w:szCs w:val="15"/>
                <w:highlight w:val="none"/>
              </w:rPr>
              <w:t>全部缺失</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对环境秩序造成</w:t>
            </w:r>
            <w:r>
              <w:rPr>
                <w:rFonts w:hint="eastAsia" w:asciiTheme="minorEastAsia" w:hAnsiTheme="minorEastAsia" w:eastAsiaTheme="minorEastAsia"/>
                <w:color w:val="auto"/>
                <w:sz w:val="15"/>
                <w:szCs w:val="15"/>
                <w:highlight w:val="none"/>
              </w:rPr>
              <w:t>较</w:t>
            </w:r>
            <w:r>
              <w:rPr>
                <w:rFonts w:asciiTheme="minorEastAsia" w:hAnsiTheme="minorEastAsia" w:eastAsiaTheme="minorEastAsia"/>
                <w:color w:val="auto"/>
                <w:sz w:val="15"/>
                <w:szCs w:val="15"/>
                <w:highlight w:val="none"/>
              </w:rPr>
              <w:t>严重影响的，系数为</w:t>
            </w:r>
            <w:r>
              <w:rPr>
                <w:rFonts w:hint="eastAsia" w:asciiTheme="minorEastAsia" w:hAnsiTheme="minorEastAsia" w:eastAsiaTheme="minorEastAsia"/>
                <w:color w:val="auto"/>
                <w:sz w:val="15"/>
                <w:szCs w:val="15"/>
                <w:highlight w:val="none"/>
              </w:rPr>
              <w:t>5</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生活垃圾分类管理责任单位（</w:t>
            </w:r>
            <w:r>
              <w:rPr>
                <w:rFonts w:hint="eastAsia" w:asciiTheme="minorEastAsia" w:hAnsiTheme="minorEastAsia" w:eastAsiaTheme="minorEastAsia"/>
                <w:color w:val="auto"/>
                <w:sz w:val="15"/>
                <w:szCs w:val="15"/>
                <w:highlight w:val="none"/>
              </w:rPr>
              <w:t>不含</w:t>
            </w:r>
            <w:r>
              <w:rPr>
                <w:rFonts w:asciiTheme="minorEastAsia" w:hAnsiTheme="minorEastAsia" w:eastAsiaTheme="minorEastAsia"/>
                <w:color w:val="auto"/>
                <w:sz w:val="15"/>
                <w:szCs w:val="15"/>
                <w:highlight w:val="none"/>
              </w:rPr>
              <w:t>建设单位）</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系数为0-2</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建设单位违反规定的，系数3；3.违法行为持续时间较长、建筑垃圾产生量较大、造成环境秩序较严重影响的，系数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地核心保护区等依法确定的重点保护区域面积达到2亩的，系数为1，3亩的，系数为2，以此类推，面积8亩及以上的，系数为9；2.占用公共用地面积3-6亩（含3亩）的，系数为1，6-9亩（含6亩），系数为2，以此类推，面积24亩及以上的，系数为9；3.存在其他严重污染环境、破坏生态情形的，系数为5-9。</w:t>
            </w:r>
          </w:p>
          <w:p>
            <w:pPr>
              <w:pStyle w:val="8"/>
              <w:rPr>
                <w:rFonts w:hint="default"/>
                <w:color w:val="auto"/>
                <w:highlight w:val="none"/>
                <w:lang w:val="en-US" w:eastAsia="zh-CN"/>
              </w:rPr>
            </w:pPr>
          </w:p>
        </w:tc>
        <w:tc>
          <w:tcPr>
            <w:tcW w:w="1785"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8"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1.持续时间5天及以下的，系数0；6-10天的，系数1；以此类推，21天及以上的，系数4。2.</w:t>
            </w:r>
            <w:r>
              <w:rPr>
                <w:rFonts w:hint="eastAsia" w:asciiTheme="minorEastAsia" w:hAnsiTheme="minorEastAsia" w:eastAsiaTheme="minorEastAsia"/>
                <w:color w:val="auto"/>
                <w:sz w:val="15"/>
                <w:szCs w:val="15"/>
                <w:highlight w:val="none"/>
              </w:rPr>
              <w:t>作业</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20亩以下</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w:t>
            </w:r>
            <w:r>
              <w:rPr>
                <w:rFonts w:asciiTheme="minorEastAsia" w:hAnsiTheme="minorEastAsia" w:eastAsiaTheme="minorEastAsia"/>
                <w:color w:val="auto"/>
                <w:sz w:val="15"/>
                <w:szCs w:val="15"/>
                <w:highlight w:val="none"/>
              </w:rPr>
              <w:t>40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50亩及以上的，系数为4</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8"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3"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2"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作业场所20亩以下，系数为0；20-30亩，系数为1；3.30亩-40亩，系数为2；以此类</w:t>
            </w:r>
            <w:r>
              <w:rPr>
                <w:rFonts w:hint="eastAsia" w:asciiTheme="minorEastAsia" w:hAnsiTheme="minorEastAsia" w:eastAsiaTheme="minorEastAsia"/>
                <w:color w:val="auto"/>
                <w:sz w:val="15"/>
                <w:szCs w:val="15"/>
                <w:highlight w:val="none"/>
                <w:lang w:eastAsia="zh-CN"/>
              </w:rPr>
              <w:t>推，</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2789"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7"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未取得生活垃圾运输经营许可擅自运输建筑垃圾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0"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不符合标准的运输车辆，系数为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；2.无</w:t>
            </w:r>
            <w:r>
              <w:rPr>
                <w:rFonts w:asciiTheme="minorEastAsia" w:hAnsiTheme="minorEastAsia" w:eastAsiaTheme="minorEastAsia"/>
                <w:color w:val="auto"/>
                <w:sz w:val="15"/>
                <w:szCs w:val="15"/>
                <w:highlight w:val="none"/>
              </w:rPr>
              <w:t>准运证的，系数为</w:t>
            </w:r>
            <w:r>
              <w:rPr>
                <w:rFonts w:hint="eastAsia" w:asciiTheme="minorEastAsia" w:hAnsiTheme="minorEastAsia" w:eastAsiaTheme="minorEastAsia"/>
                <w:color w:val="auto"/>
                <w:sz w:val="15"/>
                <w:szCs w:val="15"/>
                <w:highlight w:val="none"/>
              </w:rPr>
              <w:t>2。</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4"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未采取措施防止建筑垃圾遗撒、泄漏</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处罚条款：第四十条第一款 责令立即改正并清除遗撒、泄漏的建筑垃圾，处2万元以上10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hint="eastAsia"/>
                <w:color w:val="auto"/>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未造成</w:t>
            </w:r>
            <w:r>
              <w:rPr>
                <w:rFonts w:asciiTheme="minorEastAsia" w:hAnsiTheme="minorEastAsia" w:eastAsiaTheme="minorEastAsia"/>
                <w:color w:val="auto"/>
                <w:sz w:val="15"/>
                <w:szCs w:val="15"/>
                <w:highlight w:val="none"/>
              </w:rPr>
              <w:t>遗撒、泄漏的，系数</w:t>
            </w:r>
            <w:r>
              <w:rPr>
                <w:rFonts w:hint="eastAsia" w:asciiTheme="minorEastAsia" w:hAnsiTheme="minorEastAsia" w:eastAsiaTheme="minorEastAsia"/>
                <w:color w:val="auto"/>
                <w:sz w:val="15"/>
                <w:szCs w:val="15"/>
                <w:highlight w:val="none"/>
              </w:rPr>
              <w:t>0；污染道路长21－30米的，系数1；31－40米的，系数2；以此类推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2.建筑垃圾占地面积10㎡以下的，系数0；11—15㎡，系数为1；16-20㎡，系数2，以此类推，面积26㎡及以上的，系数4；</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3.建筑垃圾重量在4.5吨以下的，系数0；4.5-9吨的，系数1，以此类推，18吨及以上的，系数4；在面积和长度无法取证的情况下，可以适用此情形。</w:t>
            </w:r>
          </w:p>
          <w:p>
            <w:pPr>
              <w:widowControl w:val="0"/>
              <w:numPr>
                <w:ilvl w:val="0"/>
                <w:numId w:val="0"/>
              </w:numPr>
              <w:jc w:val="both"/>
              <w:rPr>
                <w:rFonts w:hint="eastAsia"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产生较大环境污染或者社会影响的，系数</w:t>
            </w:r>
            <w:r>
              <w:rPr>
                <w:rFonts w:hint="eastAsia" w:asciiTheme="minorEastAsia" w:hAnsiTheme="minorEastAsia" w:eastAsiaTheme="minorEastAsia"/>
                <w:color w:val="auto"/>
                <w:sz w:val="15"/>
                <w:szCs w:val="15"/>
                <w:highlight w:val="none"/>
                <w:lang w:val="en-US" w:eastAsia="zh-CN"/>
              </w:rPr>
              <w:t>2-4。</w:t>
            </w:r>
          </w:p>
          <w:p>
            <w:pPr>
              <w:spacing w:line="232" w:lineRule="exact"/>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90"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w:t>
            </w:r>
            <w:r>
              <w:rPr>
                <w:rFonts w:hint="eastAsia" w:asciiTheme="minorEastAsia" w:hAnsiTheme="minorEastAsia" w:eastAsiaTheme="minorEastAsia"/>
                <w:color w:val="auto"/>
                <w:sz w:val="15"/>
                <w:szCs w:val="15"/>
                <w:highlight w:val="none"/>
              </w:rPr>
              <w:t>运输</w:t>
            </w:r>
            <w:r>
              <w:rPr>
                <w:rFonts w:asciiTheme="minorEastAsia" w:hAnsiTheme="minorEastAsia" w:eastAsiaTheme="minorEastAsia"/>
                <w:color w:val="auto"/>
                <w:sz w:val="15"/>
                <w:szCs w:val="15"/>
                <w:highlight w:val="none"/>
              </w:rPr>
              <w:t>服务单位</w:t>
            </w:r>
            <w:r>
              <w:rPr>
                <w:rFonts w:hint="eastAsia" w:asciiTheme="minorEastAsia" w:hAnsiTheme="minorEastAsia" w:eastAsiaTheme="minorEastAsia"/>
                <w:color w:val="auto"/>
                <w:sz w:val="15"/>
                <w:szCs w:val="15"/>
                <w:highlight w:val="none"/>
              </w:rPr>
              <w:t>将建筑垃圾与其他生活垃圾、危险废物混装混运</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条款：第四十条</w:t>
            </w:r>
            <w:r>
              <w:rPr>
                <w:rFonts w:hint="eastAsia" w:asciiTheme="minorEastAsia" w:hAnsiTheme="minorEastAsia" w:eastAsiaTheme="minorEastAsia"/>
                <w:color w:val="auto"/>
                <w:sz w:val="15"/>
                <w:szCs w:val="15"/>
                <w:highlight w:val="none"/>
              </w:rPr>
              <w:t>第一款 责令立即改正，处2万元以上10万元以下罚款；情节严重的，由城市管理综合执法部门吊销生活垃圾运输经营许可</w:t>
            </w:r>
            <w:r>
              <w:rPr>
                <w:rFonts w:asciiTheme="minorEastAsia" w:hAnsiTheme="minorEastAsia" w:eastAsiaTheme="minorEastAsia"/>
                <w:color w:val="auto"/>
                <w:sz w:val="15"/>
                <w:szCs w:val="15"/>
                <w:highlight w:val="none"/>
              </w:rPr>
              <w:t xml:space="preserve"> </w:t>
            </w:r>
            <w:r>
              <w:rPr>
                <w:rFonts w:hint="eastAsia"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运输车辆</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4.5吨</w:t>
            </w:r>
            <w:r>
              <w:rPr>
                <w:rFonts w:asciiTheme="minorEastAsia" w:hAnsiTheme="minorEastAsia" w:eastAsiaTheme="minorEastAsia"/>
                <w:color w:val="auto"/>
                <w:sz w:val="15"/>
                <w:szCs w:val="15"/>
                <w:highlight w:val="none"/>
              </w:rPr>
              <w:t>以上）</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.与</w:t>
            </w:r>
            <w:r>
              <w:rPr>
                <w:rFonts w:asciiTheme="minorEastAsia" w:hAnsiTheme="minorEastAsia" w:eastAsiaTheme="minorEastAsia"/>
                <w:color w:val="auto"/>
                <w:sz w:val="15"/>
                <w:szCs w:val="15"/>
                <w:highlight w:val="none"/>
              </w:rPr>
              <w:t>危险废物混装</w:t>
            </w:r>
            <w:r>
              <w:rPr>
                <w:rFonts w:hint="eastAsia" w:asciiTheme="minorEastAsia" w:hAnsiTheme="minorEastAsia" w:eastAsiaTheme="minorEastAsia"/>
                <w:color w:val="auto"/>
                <w:sz w:val="15"/>
                <w:szCs w:val="15"/>
                <w:highlight w:val="none"/>
              </w:rPr>
              <w:t>混运</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3.同一运输单位存在多辆车辆混装混运的，系数为2-4。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3"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同一运输单位多辆车辆存在违规的，系数为5-9。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numPr>
                <w:ilvl w:val="0"/>
                <w:numId w:val="5"/>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5"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罚款数额＝100000×（1＋常量系数＋变量系数＋区域系数）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1"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3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1"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1184987992"/>
            <w:bookmarkStart w:id="38" w:name="_Toc495418307"/>
            <w:bookmarkStart w:id="39" w:name="_Toc110851448"/>
            <w:r>
              <w:rPr>
                <w:rFonts w:hint="eastAsia" w:asciiTheme="minorEastAsia" w:hAnsiTheme="minorEastAsia" w:eastAsiaTheme="minorEastAsia"/>
                <w:color w:val="auto"/>
                <w:sz w:val="21"/>
                <w:szCs w:val="21"/>
                <w:highlight w:val="none"/>
              </w:rPr>
              <w:t>《北京市养犬管理规定》案由1项</w:t>
            </w:r>
            <w:bookmarkEnd w:id="37"/>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110851449"/>
            <w:bookmarkStart w:id="41" w:name="_Toc986557284"/>
            <w:bookmarkStart w:id="42" w:name="_Toc1993366508"/>
            <w:r>
              <w:rPr>
                <w:rFonts w:hint="eastAsia" w:asciiTheme="minorEastAsia" w:hAnsiTheme="minorEastAsia" w:eastAsiaTheme="minorEastAsia"/>
                <w:color w:val="auto"/>
                <w:sz w:val="21"/>
                <w:szCs w:val="21"/>
                <w:highlight w:val="none"/>
              </w:rPr>
              <w:t>《北京市长城保护管理办法》案由1项</w:t>
            </w:r>
            <w:bookmarkEnd w:id="40"/>
            <w:bookmarkEnd w:id="41"/>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3" w:name="_Toc1034265769"/>
            <w:bookmarkStart w:id="44" w:name="_Toc703776516"/>
            <w:bookmarkStart w:id="45" w:name="_Toc110851450"/>
            <w:r>
              <w:rPr>
                <w:rFonts w:hint="eastAsia" w:asciiTheme="minorEastAsia" w:hAnsiTheme="minorEastAsia" w:eastAsiaTheme="minorEastAsia"/>
                <w:color w:val="auto"/>
                <w:sz w:val="21"/>
                <w:szCs w:val="21"/>
                <w:highlight w:val="none"/>
              </w:rPr>
              <w:t>《北京历史文化名城保护条例》案由1项</w:t>
            </w:r>
            <w:bookmarkEnd w:id="43"/>
            <w:bookmarkEnd w:id="44"/>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4"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6" w:name="_Toc110851451"/>
            <w:bookmarkStart w:id="47" w:name="_Toc1198219356"/>
            <w:bookmarkStart w:id="48" w:name="_Toc958675012"/>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6"/>
            <w:bookmarkEnd w:id="47"/>
            <w:bookmarkEnd w:id="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对其它管线正常使用造成影响的，系数4；</w:t>
            </w:r>
          </w:p>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影响交通通行，或者造成其它安全隐患的，系数4。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对其它管线正常使用造成影响，或者造成其它安全隐患的，系数4。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经责令改正仍未及时清除或者报告的，自责改之日起每逾期1天，系数1，以此累加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经责令改正，仍未制定入地方案，并及时采取入地措施的，自责改之日起每逾期5天，系数1，以此累加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×（1＋区域系数＋变量系数）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4"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49" w:name="_Toc275604405"/>
            <w:bookmarkStart w:id="50" w:name="_Toc110851453"/>
            <w:bookmarkStart w:id="51" w:name="_Toc1065874877"/>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49"/>
            <w:bookmarkEnd w:id="50"/>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3" w:hRule="atLeast"/>
          <w:jc w:val="center"/>
        </w:trPr>
        <w:tc>
          <w:tcPr>
            <w:tcW w:w="94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94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406"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auto"/>
              <w:rPr>
                <w:rFonts w:asciiTheme="minorEastAsia" w:hAnsiTheme="minorEastAsia" w:eastAsiaTheme="minorEastAsia"/>
                <w:color w:val="auto"/>
                <w:sz w:val="15"/>
                <w:szCs w:val="15"/>
                <w:highlight w:val="none"/>
              </w:rPr>
            </w:pPr>
            <w:bookmarkStart w:id="52" w:name="_Toc54194176"/>
            <w:bookmarkStart w:id="53" w:name="_Toc110851454"/>
            <w:bookmarkStart w:id="54" w:name="_Toc68918608"/>
            <w:r>
              <w:rPr>
                <w:rFonts w:hint="eastAsia"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lang w:val="zh-CN"/>
              </w:rPr>
              <w:t>北京市国际交往语言环境建设条例</w:t>
            </w:r>
            <w:r>
              <w:rPr>
                <w:rFonts w:hint="eastAsia" w:asciiTheme="minorEastAsia" w:hAnsiTheme="minorEastAsia" w:eastAsiaTheme="minorEastAsia"/>
                <w:color w:val="auto"/>
                <w:sz w:val="21"/>
                <w:szCs w:val="21"/>
                <w:highlight w:val="none"/>
              </w:rPr>
              <w:t>》案由4项</w:t>
            </w:r>
            <w:bookmarkEnd w:id="52"/>
            <w:bookmarkEnd w:id="53"/>
            <w:bookmarkEnd w:id="5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090"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2789"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第十七条第一款应当设置、使用外语标识的公共场所的，系数为1。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079"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2789"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罚款数额＝2000×（1＋区域系数+</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p>
            <w:pPr>
              <w:spacing w:line="232" w:lineRule="exact"/>
              <w:ind w:firstLine="333"/>
              <w:jc w:val="center"/>
              <w:rPr>
                <w:rFonts w:asciiTheme="minorEastAsia" w:hAnsiTheme="minorEastAsia" w:eastAsiaTheme="minorEastAsia"/>
                <w:color w:val="auto"/>
                <w:sz w:val="15"/>
                <w:szCs w:val="15"/>
                <w:highlight w:val="none"/>
                <w:lang w:val="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869" w:hRule="atLeast"/>
          <w:jc w:val="center"/>
        </w:trPr>
        <w:tc>
          <w:tcPr>
            <w:tcW w:w="940"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278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pacing w:val="-4"/>
                <w:sz w:val="15"/>
                <w:szCs w:val="15"/>
                <w:highlight w:val="none"/>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同时存在两项及以上禁止性内容的，系数为1。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2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651" w:hRule="atLeast"/>
          <w:jc w:val="center"/>
        </w:trPr>
        <w:tc>
          <w:tcPr>
            <w:tcW w:w="9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p>
        </w:tc>
        <w:tc>
          <w:tcPr>
            <w:tcW w:w="150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278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同时存在两项禁止性内容的，系数为1；同时存在三项以上禁止性内容的，系数为2。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拒不改正或两次及以上违法的，或者被市级以上媒体曝光，或者造成其它恶劣影响的，视为“情节严重、造成恶劣影响”。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拒不改正或两次及以上违法的，不重复记入本项“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vMerge w:val="continue"/>
            <w:tcBorders>
              <w:left w:val="single" w:color="000000" w:sz="4" w:space="0"/>
              <w:bottom w:val="single" w:color="000000" w:sz="4" w:space="0"/>
              <w:right w:val="single" w:color="000000" w:sz="4" w:space="0"/>
            </w:tcBorders>
            <w:shd w:val="clear" w:color="auto" w:fill="auto"/>
            <w:vAlign w:val="center"/>
          </w:tcPr>
          <w:p>
            <w:pPr>
              <w:pStyle w:val="22"/>
              <w:tabs>
                <w:tab w:val="left" w:pos="0"/>
                <w:tab w:val="left" w:pos="420"/>
              </w:tabs>
              <w:spacing w:line="232" w:lineRule="exact"/>
              <w:ind w:left="0" w:leftChars="0" w:firstLine="0" w:firstLineChars="0"/>
              <w:jc w:val="center"/>
              <w:rPr>
                <w:rFonts w:cs="仿宋_GB2312" w:asciiTheme="minorEastAsia" w:hAnsiTheme="minorEastAsia" w:eastAsiaTheme="minorEastAsia"/>
                <w:color w:val="auto"/>
                <w:sz w:val="15"/>
                <w:szCs w:val="15"/>
                <w:highlight w:val="none"/>
                <w:lang w:val="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413"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2789"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属于第十七条第一款应当设置、使用外语标识的公共场所的，系数为1；</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被媒体曝光的，系数为1;</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造成恶劣影响的，系数为2。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sz w:val="15"/>
                <w:szCs w:val="15"/>
                <w:highlight w:val="none"/>
                <w:lang w:val="en" w:eastAsia="zh-CN"/>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lang w:val="en" w:eastAsia="zh-C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617"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2"/>
              <w:bidi w:val="0"/>
              <w:rPr>
                <w:rFonts w:ascii="黑体" w:hAnsi="黑体" w:eastAsia="黑体" w:cs="仿宋_GB2312"/>
                <w:color w:val="auto"/>
                <w:highlight w:val="none"/>
                <w:lang w:val="en"/>
              </w:rPr>
            </w:pPr>
            <w:bookmarkStart w:id="55" w:name="_Toc343261123"/>
            <w:bookmarkStart w:id="56" w:name="_Toc435705406"/>
            <w:r>
              <w:rPr>
                <w:rFonts w:hint="eastAsia" w:ascii="黑体" w:hAnsi="黑体" w:eastAsia="黑体" w:cs="黑体"/>
                <w:b w:val="0"/>
                <w:bCs w:val="0"/>
                <w:color w:val="auto"/>
                <w:highlight w:val="none"/>
              </w:rPr>
              <w:t>市政管理方面</w:t>
            </w:r>
            <w:bookmarkEnd w:id="55"/>
            <w:bookmarkEnd w:id="56"/>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453"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57" w:name="_Toc1018838380"/>
            <w:bookmarkStart w:id="58" w:name="_Toc1020309817"/>
            <w:r>
              <w:rPr>
                <w:rFonts w:hint="eastAsia"/>
                <w:color w:val="auto"/>
                <w:sz w:val="21"/>
                <w:szCs w:val="21"/>
                <w:highlight w:val="none"/>
                <w:lang w:val="en-US" w:eastAsia="zh-CN"/>
              </w:rPr>
              <w:t>《北京市无障碍环境建设条例》案由6</w:t>
            </w:r>
            <w:bookmarkEnd w:id="57"/>
            <w:r>
              <w:rPr>
                <w:rFonts w:hint="eastAsia"/>
                <w:color w:val="auto"/>
                <w:sz w:val="21"/>
                <w:szCs w:val="21"/>
                <w:highlight w:val="none"/>
                <w:lang w:val="en-US" w:eastAsia="zh-CN"/>
              </w:rPr>
              <w:t>项</w:t>
            </w:r>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0"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2789" w:type="dxa"/>
            <w:shd w:val="clear" w:color="auto" w:fill="auto"/>
            <w:vAlign w:val="center"/>
          </w:tcPr>
          <w:p>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同时违反第十四条第一款规定中两项的，系数为4；同时违反三项及三项以上的，系数为9。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19"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2789" w:type="dxa"/>
            <w:shd w:val="clear" w:color="auto" w:fill="auto"/>
            <w:vAlign w:val="center"/>
          </w:tcPr>
          <w:p>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造成行人伤亡或其它事故的，系数1。</w:t>
            </w: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2789"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2385" w:type="dxa"/>
            <w:shd w:val="clear" w:color="auto" w:fill="auto"/>
            <w:vAlign w:val="center"/>
          </w:tcPr>
          <w:p>
            <w:pPr>
              <w:spacing w:line="250" w:lineRule="exact"/>
              <w:rPr>
                <w:rFonts w:hint="eastAsia" w:cs="仿宋_GB2312" w:asciiTheme="minorEastAsia" w:hAnsiTheme="minorEastAsia" w:eastAsiaTheme="minorEastAsia"/>
                <w:color w:val="auto"/>
                <w:kern w:val="0"/>
                <w:sz w:val="15"/>
                <w:szCs w:val="15"/>
                <w:highlight w:val="none"/>
                <w:lang w:val="en" w:eastAsia="zh-CN"/>
              </w:rPr>
            </w:pP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8"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2789"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1.对通行秩序、市容秩序造成较大影响的，系数4；2.造成行人伤亡或其它事故的，系数9。</w:t>
            </w: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2"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2789"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1.对通行秩序造成较大影响的，系数4；2.造成行人伤亡或其它事故的，系数9。</w:t>
            </w:r>
          </w:p>
        </w:tc>
        <w:tc>
          <w:tcPr>
            <w:tcW w:w="17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p>
            <w:pPr>
              <w:spacing w:line="220"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2789"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对通行秩序、市容秩序造成较大影响的，或者造成行人伤亡或其它事故的，系数1。</w:t>
            </w:r>
          </w:p>
        </w:tc>
        <w:tc>
          <w:tcPr>
            <w:tcW w:w="17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8" w:hRule="atLeast"/>
          <w:jc w:val="center"/>
        </w:trPr>
        <w:tc>
          <w:tcPr>
            <w:tcW w:w="14218" w:type="dxa"/>
            <w:gridSpan w:val="9"/>
            <w:shd w:val="clear" w:color="auto" w:fill="auto"/>
            <w:vAlign w:val="center"/>
          </w:tcPr>
          <w:p>
            <w:pPr>
              <w:pStyle w:val="3"/>
              <w:bidi w:val="0"/>
              <w:jc w:val="center"/>
              <w:rPr>
                <w:rFonts w:hint="default" w:ascii="宋体" w:hAnsi="宋体" w:eastAsia="宋体" w:cs="宋体"/>
                <w:color w:val="auto"/>
                <w:sz w:val="21"/>
                <w:szCs w:val="21"/>
                <w:highlight w:val="none"/>
                <w:lang w:val="en-US"/>
              </w:rPr>
            </w:pPr>
            <w:bookmarkStart w:id="59" w:name="_Toc1119823230"/>
            <w:bookmarkStart w:id="60" w:name="_Toc1038902727"/>
            <w:r>
              <w:rPr>
                <w:rFonts w:hint="eastAsia" w:ascii="宋体" w:hAnsi="宋体" w:eastAsia="宋体" w:cs="宋体"/>
                <w:color w:val="auto"/>
                <w:sz w:val="21"/>
                <w:szCs w:val="21"/>
                <w:highlight w:val="none"/>
                <w:lang w:val="en-US" w:eastAsia="zh-CN"/>
              </w:rPr>
              <w:t>《中华人民共和国无障碍环境建设法》案由2项</w:t>
            </w:r>
            <w:bookmarkEnd w:id="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vMerge w:val="restart"/>
            <w:shd w:val="clear" w:color="auto" w:fill="auto"/>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p>
        </w:tc>
        <w:tc>
          <w:tcPr>
            <w:tcW w:w="1785"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pPr>
              <w:spacing w:line="220" w:lineRule="exact"/>
              <w:jc w:val="center"/>
              <w:rPr>
                <w:rFonts w:hint="eastAsia" w:ascii="宋体" w:hAnsi="宋体" w:eastAsia="宋体" w:cs="仿宋_GB2312"/>
                <w:color w:val="auto"/>
                <w:sz w:val="15"/>
                <w:szCs w:val="15"/>
                <w:highlight w:val="none"/>
                <w:lang w:val="en" w:eastAsia="zh-CN"/>
              </w:rPr>
            </w:pPr>
            <w:r>
              <w:rPr>
                <w:rFonts w:hint="eastAsia" w:ascii="宋体" w:hAnsi="宋体" w:eastAsia="宋体" w:cs="仿宋_GB2312"/>
                <w:color w:val="auto"/>
                <w:sz w:val="15"/>
                <w:szCs w:val="15"/>
                <w:highlight w:val="none"/>
                <w:lang w:val="en" w:eastAsia="zh-CN"/>
              </w:rPr>
              <w:t>街道</w:t>
            </w:r>
          </w:p>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 w:hRule="atLeast"/>
          <w:jc w:val="center"/>
        </w:trPr>
        <w:tc>
          <w:tcPr>
            <w:tcW w:w="14218" w:type="dxa"/>
            <w:gridSpan w:val="9"/>
            <w:shd w:val="clear" w:color="auto" w:fill="auto"/>
            <w:vAlign w:val="center"/>
          </w:tcPr>
          <w:p>
            <w:pPr>
              <w:pStyle w:val="3"/>
              <w:bidi w:val="0"/>
              <w:jc w:val="center"/>
              <w:rPr>
                <w:color w:val="auto"/>
                <w:highlight w:val="none"/>
              </w:rPr>
            </w:pPr>
            <w:bookmarkStart w:id="61" w:name="_Toc697382673"/>
            <w:r>
              <w:rPr>
                <w:rFonts w:hint="eastAsia"/>
                <w:color w:val="auto"/>
                <w:sz w:val="21"/>
                <w:szCs w:val="21"/>
                <w:highlight w:val="none"/>
              </w:rPr>
              <w:t>《城市道路管理条例》《北京市城市道路管理办法》案由</w:t>
            </w:r>
            <w:r>
              <w:rPr>
                <w:rFonts w:hint="eastAsia"/>
                <w:color w:val="auto"/>
                <w:sz w:val="21"/>
                <w:szCs w:val="21"/>
                <w:highlight w:val="none"/>
                <w:lang w:val="en-US" w:eastAsia="zh-CN"/>
              </w:rPr>
              <w:t>13</w:t>
            </w:r>
            <w:r>
              <w:rPr>
                <w:rFonts w:hint="eastAsia"/>
                <w:color w:val="auto"/>
                <w:sz w:val="21"/>
                <w:szCs w:val="21"/>
                <w:highlight w:val="none"/>
              </w:rPr>
              <w:t>项</w:t>
            </w:r>
            <w:bookmarkEnd w:id="60"/>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需要</w:t>
            </w:r>
            <w:r>
              <w:rPr>
                <w:rFonts w:cs="宋体" w:asciiTheme="minorEastAsia" w:hAnsiTheme="minorEastAsia" w:eastAsiaTheme="minorEastAsia"/>
                <w:color w:val="auto"/>
                <w:sz w:val="15"/>
                <w:szCs w:val="15"/>
                <w:highlight w:val="none"/>
              </w:rPr>
              <w:t>作出</w:t>
            </w:r>
            <w:r>
              <w:rPr>
                <w:rFonts w:hint="eastAsia" w:cs="宋体" w:asciiTheme="minorEastAsia" w:hAnsiTheme="minorEastAsia" w:eastAsiaTheme="minorEastAsia"/>
                <w:color w:val="auto"/>
                <w:sz w:val="15"/>
                <w:szCs w:val="15"/>
                <w:highlight w:val="none"/>
              </w:rPr>
              <w:t>其它处罚额度决定的，说明理由，报案审会决定</w:t>
            </w:r>
            <w:r>
              <w:rPr>
                <w:rFonts w:cs="宋体" w:asciiTheme="minorEastAsia" w:hAnsiTheme="minorEastAsia" w:eastAsiaTheme="minorEastAsia"/>
                <w:color w:val="auto"/>
                <w:sz w:val="15"/>
                <w:szCs w:val="15"/>
                <w:highlight w:val="none"/>
              </w:rPr>
              <w:t>。</w:t>
            </w:r>
          </w:p>
        </w:tc>
        <w:tc>
          <w:tcPr>
            <w:tcW w:w="824" w:type="dxa"/>
            <w:shd w:val="clear" w:color="auto" w:fill="auto"/>
            <w:vAlign w:val="center"/>
          </w:tcPr>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；3.造成行人伤亡或其它严重事故的，系数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应在24小时内申请补办，逾期未申请补办的，每延后1天，系数1。</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1.对通行秩序、市容秩序造成较大影响的，系数4；2.损毁地下管线或市政设施的，系数9；3.造成行人伤亡或其它严重事故的，系数9。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9"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9</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1.对城市道路造成较大损害的，或者对通行秩序、市容秩序造成较大影响的，系数4；2.造成行人伤亡或其它严重事故的，系数9。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3"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11</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擅自在桥梁或者路灯设施上设置广告牌或者其它挂浮物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2.造成行人伤亡或其它严重事故的，系数9；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3.对桥梁、路灯设施造成损坏影响使用的，系数9。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1.对通行秩序、市容秩序造成较大影响的，系数4；2.造成行人伤亡或其它严重事故的，系数9；3.对桥梁造成损害影响使用的，系数9。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2" w:name="_Toc1973624040"/>
            <w:bookmarkStart w:id="63" w:name="_Toc110851455"/>
            <w:bookmarkStart w:id="64" w:name="_Toc2062208648"/>
            <w:r>
              <w:rPr>
                <w:rFonts w:hint="eastAsia" w:asciiTheme="minorEastAsia" w:hAnsiTheme="minorEastAsia" w:eastAsiaTheme="minorEastAsia"/>
                <w:color w:val="auto"/>
                <w:sz w:val="21"/>
                <w:szCs w:val="21"/>
                <w:highlight w:val="none"/>
              </w:rPr>
              <w:t>《北京市地下设施检查井井盖管理规定》案由5项</w:t>
            </w:r>
            <w:bookmarkEnd w:id="62"/>
            <w:bookmarkEnd w:id="63"/>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2789" w:type="dxa"/>
            <w:shd w:val="clear" w:color="auto" w:fill="auto"/>
            <w:vAlign w:val="center"/>
          </w:tcPr>
          <w:p>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c>
          <w:tcPr>
            <w:tcW w:w="824" w:type="dxa"/>
            <w:shd w:val="clear" w:color="auto" w:fill="auto"/>
            <w:vAlign w:val="center"/>
          </w:tcPr>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7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20"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1．擅自移动车站、机场、居民小区、医院、学校、体育场馆、影剧院、繁华商业街区、旅游景区等人口集中地区井盖的，系数4；2.致人伤亡或者损害车辆等严重事故的，系数9。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5"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65" w:name="_Toc110851456"/>
            <w:bookmarkStart w:id="66" w:name="_Toc1333093317"/>
            <w:bookmarkStart w:id="67" w:name="_Toc1693504403"/>
            <w:r>
              <w:rPr>
                <w:rFonts w:hint="eastAsia" w:ascii="黑体" w:hAnsi="黑体" w:eastAsia="黑体"/>
                <w:b w:val="0"/>
                <w:color w:val="auto"/>
                <w:sz w:val="36"/>
                <w:szCs w:val="36"/>
                <w:highlight w:val="none"/>
              </w:rPr>
              <w:t>公用事业管理方面</w:t>
            </w:r>
            <w:bookmarkEnd w:id="65"/>
            <w:bookmarkEnd w:id="66"/>
            <w:bookmarkEnd w:id="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4"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8" w:name="_Toc110851457"/>
            <w:bookmarkStart w:id="69" w:name="_Toc1349825120"/>
            <w:bookmarkStart w:id="70" w:name="_Toc312584811"/>
            <w:r>
              <w:rPr>
                <w:rFonts w:hint="eastAsia" w:asciiTheme="minorEastAsia" w:hAnsiTheme="minorEastAsia" w:eastAsiaTheme="minorEastAsia"/>
                <w:color w:val="auto"/>
                <w:sz w:val="21"/>
                <w:szCs w:val="21"/>
                <w:highlight w:val="none"/>
              </w:rPr>
              <w:t>《城镇燃气管理条例》案由30项</w:t>
            </w:r>
            <w:bookmarkEnd w:id="68"/>
            <w:bookmarkEnd w:id="69"/>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p>
        </w:tc>
        <w:tc>
          <w:tcPr>
            <w:tcW w:w="1785" w:type="dxa"/>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tcBorders>
              <w:left w:val="single" w:color="auto" w:sz="4" w:space="0"/>
            </w:tcBorders>
            <w:shd w:val="clear" w:color="auto" w:fill="FFFFFF"/>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tcBorders>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1.持续时间超过半年的，系数4；持续时间1年以上，系数9；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spacing w:val="-6"/>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违法行为持续时间超过半年的，系数4；1年以上，系数9；2.未按燃气管理部门要求整改，或整改后再次发生类似违法行为的，系数9；3.发生相关燃气安全事故的，系数9。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auto"/>
            <w:vAlign w:val="center"/>
          </w:tcPr>
          <w:p>
            <w:pPr>
              <w:spacing w:line="232" w:lineRule="exact"/>
              <w:rPr>
                <w:rFonts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pStyle w:val="7"/>
              <w:rPr>
                <w:rFonts w:hint="eastAsia" w:asciiTheme="minorEastAsia" w:hAnsiTheme="minorEastAsia" w:eastAsiaTheme="minorEastAsia" w:cstheme="minorEastAsia"/>
                <w:color w:val="auto"/>
                <w:spacing w:val="-4"/>
                <w:sz w:val="15"/>
                <w:szCs w:val="15"/>
                <w:highlight w:val="yellow"/>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w:t>
            </w:r>
            <w:r>
              <w:rPr>
                <w:rFonts w:hint="eastAsia" w:asciiTheme="minorEastAsia" w:hAnsiTheme="minorEastAsia" w:eastAsiaTheme="minorEastAsia" w:cstheme="minorEastAsia"/>
                <w:sz w:val="15"/>
                <w:szCs w:val="15"/>
                <w:highlight w:val="none"/>
                <w:lang w:val="en-US" w:eastAsia="zh-CN"/>
              </w:rPr>
              <w:t>（</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一、（十七）</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1.未在有较大危险因素的生产经营场所和有关设施、设备上设置明显的安全警示标志有 5 处以下的，处 2 万元以下的罚款；逾期未改正的，处 5 万元以上 10 万元以下的罚款，对其直接负责的主管人员和其他直接责任人员处 1万元以上 2 万元以下的罚款；</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2.未在有较大危险因素的生产经营场所和有关设施、设备上设置明显的安全警示标志有 5 处以上 10 处以下的，处 2 万元以上 4 万元以下的罚款；逾期未改正的，处 10 万元以上 15 万元以下的罚款，对其直接负责的主管人员和其他直接责任人员处 1 万元以上 2 万元以下的罚款；</w:t>
            </w:r>
          </w:p>
          <w:p>
            <w:pPr>
              <w:pStyle w:val="8"/>
              <w:rPr>
                <w:rFonts w:hint="eastAsia"/>
                <w:lang w:val="en-US" w:eastAsia="zh-CN"/>
              </w:rPr>
            </w:pPr>
            <w:r>
              <w:rPr>
                <w:rFonts w:hint="eastAsia" w:cs="Times New Roman" w:asciiTheme="minorEastAsia" w:hAnsiTheme="minorEastAsia" w:eastAsiaTheme="minorEastAsia"/>
                <w:color w:val="auto"/>
                <w:spacing w:val="-4"/>
                <w:sz w:val="15"/>
                <w:szCs w:val="15"/>
                <w:highlight w:val="none"/>
                <w:lang w:val="en-US" w:eastAsia="zh-CN"/>
              </w:rPr>
              <w:t>3.未在有较大危险因素的生产经营场所和有关设施、设备上设置明显的安全警示标志有 10 处以上的，处 4 万元以上 5 万元以下的罚款；逾期未改正的，处 15 万元以上 20 万元以下的罚款，对其直接负责的主管人员和其他直接责任人员处 1 万元以上 2 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pPr>
              <w:pStyle w:val="22"/>
              <w:ind w:left="0" w:leftChars="0" w:firstLine="0" w:firstLineChars="0"/>
              <w:rPr>
                <w:color w:val="auto"/>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5780" w:type="dxa"/>
            <w:gridSpan w:val="4"/>
            <w:shd w:val="clear" w:color="auto" w:fill="auto"/>
            <w:vAlign w:val="center"/>
          </w:tcPr>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w:t>
            </w:r>
            <w:r>
              <w:rPr>
                <w:rFonts w:hint="eastAsia" w:asciiTheme="minorEastAsia" w:hAnsiTheme="minorEastAsia" w:eastAsiaTheme="minorEastAsia" w:cstheme="minorEastAsia"/>
                <w:sz w:val="15"/>
                <w:szCs w:val="15"/>
                <w:highlight w:val="none"/>
                <w:lang w:val="en-US" w:eastAsia="zh-CN"/>
              </w:rPr>
              <w:t>（</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一、（二十七）</w:t>
            </w:r>
          </w:p>
          <w:p>
            <w:pPr>
              <w:pStyle w:val="8"/>
              <w:rPr>
                <w:rFonts w:hint="eastAsia" w:asciiTheme="minorEastAsia" w:hAnsiTheme="minorEastAsia" w:eastAsiaTheme="minorEastAsia" w:cstheme="minorEastAsia"/>
                <w:b w:val="0"/>
                <w:bCs w:val="0"/>
                <w:color w:val="auto"/>
                <w:spacing w:val="-4"/>
                <w:sz w:val="15"/>
                <w:szCs w:val="15"/>
                <w:highlight w:val="none"/>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1.对 1 处一般事故隐患未采取措施消除的，处 2 万元以下的罚款；拒不执行的，对其直接负责的主管人员和其他直接责任人员处 5 万元以上 7 万元以下的罚款；</w:t>
            </w:r>
          </w:p>
          <w:p>
            <w:pPr>
              <w:pStyle w:val="8"/>
              <w:rPr>
                <w:rFonts w:hint="eastAsia" w:asciiTheme="minorEastAsia" w:hAnsiTheme="minorEastAsia" w:eastAsiaTheme="minorEastAsia" w:cstheme="minorEastAsia"/>
                <w:b w:val="0"/>
                <w:bCs w:val="0"/>
                <w:color w:val="auto"/>
                <w:spacing w:val="-4"/>
                <w:sz w:val="15"/>
                <w:szCs w:val="15"/>
                <w:highlight w:val="none"/>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2.对 2 处一般事故隐患未采取措施消除的，处 2 万元以上 4 万元以下的罚款；拒不执行的，对其直接负责的主管人员和其他直接责任人员处 7 万元以上 9 万元以下的罚款；</w:t>
            </w:r>
          </w:p>
          <w:p>
            <w:pPr>
              <w:pStyle w:val="8"/>
              <w:rPr>
                <w:rFonts w:hint="eastAsia" w:asciiTheme="minorEastAsia" w:hAnsiTheme="minorEastAsia" w:eastAsiaTheme="minorEastAsia" w:cstheme="minorEastAsia"/>
                <w:b w:val="0"/>
                <w:bCs w:val="0"/>
                <w:sz w:val="15"/>
                <w:szCs w:val="15"/>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3.对重大事故隐患或者 3 处以上一般事故隐患未采取措施消除的，处 4 万元以上 5 万元以下的罚款；拒不执行的，对其直接负责的主管人员和其他直接责任人员处 9 万元以上 10 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pPr>
              <w:spacing w:line="232" w:lineRule="exact"/>
              <w:ind w:firstLine="242"/>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2789"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2789"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2789"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责令停止违法行为，限期恢复原状或者采取其它补救措施，对单位处5万元以上10万元以下罚款，对个人处5000元以上5万元以下罚款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rPr>
              <w:t>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发生在人口集中地区或人员密集场所的，系数2；2.导致相关燃气安全事故的，系数4。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1" w:name="_Toc1968530984"/>
            <w:bookmarkStart w:id="72" w:name="_Toc110851458"/>
            <w:bookmarkStart w:id="73" w:name="_Toc277302333"/>
            <w:r>
              <w:rPr>
                <w:rFonts w:hint="eastAsia" w:asciiTheme="minorEastAsia" w:hAnsiTheme="minorEastAsia" w:eastAsiaTheme="minorEastAsia"/>
                <w:color w:val="auto"/>
                <w:sz w:val="21"/>
                <w:szCs w:val="21"/>
                <w:highlight w:val="none"/>
              </w:rPr>
              <w:t>《北京市燃气管理条例》案由26项</w:t>
            </w:r>
            <w:bookmarkEnd w:id="71"/>
            <w:bookmarkEnd w:id="72"/>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p>
            <w:pPr>
              <w:spacing w:line="232" w:lineRule="exact"/>
              <w:rPr>
                <w:rFonts w:cs="仿宋_GB2312"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keepNext w:val="0"/>
              <w:keepLines w:val="0"/>
              <w:pageBreakBefore w:val="0"/>
              <w:widowControl w:val="0"/>
              <w:kinsoku/>
              <w:wordWrap/>
              <w:overflowPunct/>
              <w:topLinePunct w:val="0"/>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需要作出200元以下罚款决定的，由执法人员在案卷中说明理由并自行决定。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1"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strike w:val="0"/>
                <w:dstrike w:val="0"/>
                <w:color w:val="auto"/>
                <w:kern w:val="0"/>
                <w:sz w:val="15"/>
                <w:szCs w:val="15"/>
                <w:highlight w:val="none"/>
              </w:rPr>
              <w:t>其它影响用气情形的，系数5-8；2.发生燃气事故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或者其它严重影响用气情形的，系数9。</w:t>
            </w:r>
          </w:p>
          <w:p>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；能够及时改正的，可作出不予处罚决定。</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8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8"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8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1.同时存在两项（含两项）以上违法行为的，系数5-9；2.违法行为影响正常用气的，系数5-9；3.发生燃气事故，存在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违法行为影响正常用气的，系数5-9；</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安全隐患或者的，系数9。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jc w:val="center"/>
        </w:trPr>
        <w:tc>
          <w:tcPr>
            <w:tcW w:w="940" w:type="dxa"/>
            <w:vMerge w:val="restart"/>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500" w:type="dxa"/>
            <w:vMerge w:val="restart"/>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2789" w:type="dxa"/>
            <w:vMerge w:val="restart"/>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w:t>
            </w:r>
            <w:r>
              <w:rPr>
                <w:rFonts w:hint="eastAsia" w:cs="仿宋_GB2312" w:asciiTheme="minorEastAsia" w:hAnsiTheme="minorEastAsia" w:eastAsiaTheme="minorEastAsia"/>
                <w:color w:val="auto"/>
                <w:kern w:val="0"/>
                <w:sz w:val="15"/>
                <w:szCs w:val="15"/>
                <w:highlight w:val="none"/>
                <w:lang w:eastAsia="zh-CN"/>
              </w:rPr>
              <w:t>或者存在</w:t>
            </w:r>
            <w:r>
              <w:rPr>
                <w:rFonts w:hint="eastAsia" w:cs="仿宋_GB2312" w:asciiTheme="minorEastAsia" w:hAnsiTheme="minorEastAsia" w:eastAsiaTheme="minorEastAsia"/>
                <w:color w:val="auto"/>
                <w:kern w:val="0"/>
                <w:sz w:val="15"/>
                <w:szCs w:val="15"/>
                <w:highlight w:val="none"/>
              </w:rPr>
              <w:t>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c>
          <w:tcPr>
            <w:tcW w:w="824" w:type="dxa"/>
            <w:vMerge w:val="restart"/>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8"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w:t>
            </w:r>
            <w:r>
              <w:rPr>
                <w:rFonts w:hint="eastAsia" w:cs="宋体" w:asciiTheme="minorEastAsia" w:hAnsiTheme="minorEastAsia" w:eastAsiaTheme="minorEastAsia"/>
                <w:color w:val="auto"/>
                <w:kern w:val="0"/>
                <w:sz w:val="15"/>
                <w:szCs w:val="15"/>
                <w:highlight w:val="none"/>
              </w:rPr>
              <w:t>系数7</w:t>
            </w:r>
            <w:r>
              <w:rPr>
                <w:rFonts w:hint="eastAsia" w:cs="仿宋_GB2312" w:asciiTheme="minorEastAsia" w:hAnsiTheme="minorEastAsia" w:eastAsiaTheme="minorEastAsia"/>
                <w:color w:val="auto"/>
                <w:kern w:val="0"/>
                <w:sz w:val="15"/>
                <w:szCs w:val="15"/>
                <w:highlight w:val="none"/>
              </w:rPr>
              <w:t>；2.发生燃气事故，存在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0"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的，系数2；2.导致相关燃气安全事故的，系数4。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0"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4" w:name="_Toc110851459"/>
            <w:bookmarkStart w:id="75" w:name="_Toc226560937"/>
            <w:bookmarkStart w:id="76" w:name="_Toc697937810"/>
            <w:r>
              <w:rPr>
                <w:rFonts w:hint="eastAsia" w:asciiTheme="minorEastAsia" w:hAnsiTheme="minorEastAsia" w:eastAsiaTheme="minorEastAsia"/>
                <w:color w:val="auto"/>
                <w:sz w:val="21"/>
                <w:szCs w:val="21"/>
                <w:highlight w:val="none"/>
              </w:rPr>
              <w:t>《北京市消防条例》案由1项</w:t>
            </w:r>
            <w:bookmarkEnd w:id="74"/>
            <w:bookmarkEnd w:id="75"/>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违反条款：第二十八条第（四）项；处罚条款：第八十三条 责令改正，并可处1万元以上3万元以下罚款。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1.适用于餐饮等行业的生产经营单位使用燃气，逾期未改正的情形。</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7" w:name="_Toc110851460"/>
            <w:bookmarkStart w:id="78" w:name="_Toc1826085962"/>
            <w:bookmarkStart w:id="79" w:name="_Toc1974241014"/>
            <w:r>
              <w:rPr>
                <w:rFonts w:hint="eastAsia" w:asciiTheme="minorEastAsia" w:hAnsiTheme="minorEastAsia" w:eastAsiaTheme="minorEastAsia"/>
                <w:color w:val="auto"/>
                <w:sz w:val="21"/>
                <w:szCs w:val="21"/>
                <w:highlight w:val="none"/>
              </w:rPr>
              <w:t>《北京市清洁燃料车辆加气站管理规定》案由7项</w:t>
            </w:r>
            <w:bookmarkEnd w:id="77"/>
            <w:bookmarkEnd w:id="78"/>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5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8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6"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使用明火检查燃气泄露</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1"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1180295235"/>
            <w:bookmarkStart w:id="81" w:name="_Toc110851461"/>
            <w:bookmarkStart w:id="82" w:name="_Toc1473999580"/>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80"/>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8"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故意隐瞒相关情况，对安全、稳定、质量合格供热造成较大影响的，系数为1。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5"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7"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天，变量系数为</w:t>
            </w:r>
            <w:r>
              <w:rPr>
                <w:rFonts w:hint="eastAsia" w:cs="宋体" w:asciiTheme="minorEastAsia" w:hAnsiTheme="minorEastAsia" w:eastAsiaTheme="minorEastAsia"/>
                <w:color w:val="auto"/>
                <w:kern w:val="0"/>
                <w:sz w:val="15"/>
                <w:szCs w:val="15"/>
                <w:highlight w:val="none"/>
                <w:lang w:val="en-US" w:eastAsia="zh-CN"/>
              </w:rPr>
              <w:t>1，3天的，系数2，以此类推，6天及以上的，系数5；2.造成较大社会影响的，系数3-5。</w:t>
            </w:r>
          </w:p>
        </w:tc>
        <w:tc>
          <w:tcPr>
            <w:tcW w:w="17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7" w:hRule="atLeast"/>
          <w:jc w:val="center"/>
        </w:trPr>
        <w:tc>
          <w:tcPr>
            <w:tcW w:w="9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2789"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autoSpaceDE w:val="0"/>
              <w:spacing w:line="226"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9" w:hRule="atLeast"/>
          <w:jc w:val="center"/>
        </w:trPr>
        <w:tc>
          <w:tcPr>
            <w:tcW w:w="9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2789"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2789" w:type="dxa"/>
            <w:vMerge w:val="restart"/>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1．拆改行为明显影响到其它用户供暖效果的，系数为5；2.造成供暖中止等供暖事故的，系数为9。</w:t>
            </w: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26"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26"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2789" w:type="dxa"/>
            <w:vMerge w:val="continue"/>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1．严重影响到正常供暖的，系数为5；2.造成供暖事故的，系数为9。</w:t>
            </w: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26" w:lineRule="exact"/>
              <w:ind w:left="6" w:hanging="21"/>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26" w:lineRule="exact"/>
              <w:ind w:left="6" w:hanging="21"/>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2789"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1．明显影响到采暖效果的，系数为0.5；2.造成供暖中止等供暖事故的，系数为1。</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2789"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危害、损坏供热设施的行为</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3" w:name="_Toc984069521"/>
            <w:bookmarkStart w:id="84" w:name="_Toc110851462"/>
            <w:bookmarkStart w:id="85" w:name="_Toc450128508"/>
            <w:r>
              <w:rPr>
                <w:rFonts w:hint="eastAsia" w:asciiTheme="minorEastAsia" w:hAnsiTheme="minorEastAsia" w:eastAsiaTheme="minorEastAsia"/>
                <w:color w:val="auto"/>
                <w:sz w:val="21"/>
                <w:szCs w:val="21"/>
                <w:highlight w:val="none"/>
              </w:rPr>
              <w:t>《北京市民用建筑节能管理办法》案由2项</w:t>
            </w:r>
            <w:bookmarkEnd w:id="83"/>
            <w:bookmarkEnd w:id="84"/>
            <w:bookmarkEnd w:id="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2789" w:type="dxa"/>
            <w:vMerge w:val="restart"/>
            <w:shd w:val="clear" w:color="auto" w:fill="auto"/>
            <w:vAlign w:val="center"/>
          </w:tcPr>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6" w:name="_Toc1807772981"/>
            <w:bookmarkStart w:id="87" w:name="_Toc636329439"/>
            <w:bookmarkStart w:id="88" w:name="_Toc2100881276"/>
            <w:bookmarkStart w:id="89" w:name="_Toc110851463"/>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6"/>
            <w:bookmarkEnd w:id="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供电、供气、供热单位未按照规定报送结算数据</w:t>
            </w:r>
          </w:p>
        </w:tc>
        <w:tc>
          <w:tcPr>
            <w:tcW w:w="2789"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违反条款：第二十六条第三款</w:t>
            </w:r>
          </w:p>
          <w:p>
            <w:pPr>
              <w:pStyle w:val="8"/>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处罚条款：第五十八条，责令限期改正。</w:t>
            </w:r>
          </w:p>
        </w:tc>
        <w:tc>
          <w:tcPr>
            <w:tcW w:w="851"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leftChars="0" w:hanging="21" w:firstLineChars="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w:t>
            </w:r>
            <w:r>
              <w:rPr>
                <w:rFonts w:hint="eastAsia" w:cs="宋体" w:asciiTheme="minorEastAsia" w:hAnsiTheme="minorEastAsia" w:eastAsiaTheme="minorEastAsia"/>
                <w:color w:val="auto"/>
                <w:kern w:val="0"/>
                <w:sz w:val="15"/>
                <w:szCs w:val="15"/>
                <w:highlight w:val="none"/>
                <w:lang w:eastAsia="zh-CN"/>
              </w:rPr>
              <w:t>行政</w:t>
            </w:r>
            <w:r>
              <w:rPr>
                <w:rFonts w:hint="eastAsia" w:cs="宋体" w:asciiTheme="minorEastAsia" w:hAnsiTheme="minorEastAsia" w:eastAsiaTheme="minorEastAsia"/>
                <w:color w:val="auto"/>
                <w:kern w:val="0"/>
                <w:sz w:val="15"/>
                <w:szCs w:val="15"/>
                <w:highlight w:val="none"/>
              </w:rPr>
              <w:t>处罚。</w:t>
            </w:r>
          </w:p>
          <w:p>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自</w:t>
            </w:r>
            <w:r>
              <w:rPr>
                <w:rFonts w:hint="eastAsia" w:cs="宋体" w:asciiTheme="minorEastAsia" w:hAnsiTheme="minorEastAsia" w:eastAsiaTheme="minorEastAsia"/>
                <w:color w:val="auto"/>
                <w:kern w:val="0"/>
                <w:sz w:val="15"/>
                <w:szCs w:val="15"/>
                <w:highlight w:val="none"/>
                <w:lang w:val="en-US" w:eastAsia="zh-CN"/>
              </w:rPr>
              <w:t>2024年3月1日起施行。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hint="eastAsia"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lang w:eastAsia="zh-Hans"/>
              </w:rPr>
            </w:pPr>
            <w:bookmarkStart w:id="90" w:name="_Toc891896242"/>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lang w:eastAsia="zh-Hans"/>
              </w:rPr>
              <w:t>中华人民共和国安全生产法</w:t>
            </w:r>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rPr>
              <w:t>《北京市安全生产条例》</w:t>
            </w:r>
            <w:r>
              <w:rPr>
                <w:rFonts w:asciiTheme="minorEastAsia" w:hAnsiTheme="minorEastAsia" w:eastAsiaTheme="minorEastAsia"/>
                <w:color w:val="auto"/>
                <w:sz w:val="21"/>
                <w:szCs w:val="21"/>
                <w:highlight w:val="none"/>
                <w:lang w:eastAsia="zh-Hans"/>
              </w:rPr>
              <w:t>案由</w:t>
            </w:r>
            <w:r>
              <w:rPr>
                <w:rFonts w:hint="eastAsia" w:asciiTheme="minorEastAsia" w:hAnsiTheme="minorEastAsia" w:eastAsiaTheme="minorEastAsia"/>
                <w:color w:val="auto"/>
                <w:sz w:val="21"/>
                <w:szCs w:val="21"/>
                <w:highlight w:val="none"/>
              </w:rPr>
              <w:t>12</w:t>
            </w:r>
            <w:r>
              <w:rPr>
                <w:rFonts w:asciiTheme="minorEastAsia" w:hAnsiTheme="minorEastAsia" w:eastAsiaTheme="minorEastAsia"/>
                <w:color w:val="auto"/>
                <w:sz w:val="21"/>
                <w:szCs w:val="21"/>
                <w:highlight w:val="none"/>
                <w:lang w:eastAsia="zh-Hans"/>
              </w:rPr>
              <w:t>项</w:t>
            </w:r>
            <w:bookmarkEnd w:id="88"/>
            <w:bookmarkEnd w:id="89"/>
            <w:bookmarkEnd w:id="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违反条款:《中华人民共和国安全生产法》第二十一条第（一）项至第（七）项（根据实际选择）;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罚条款:第九十四条第一款,责令限期改正，处二万元以上五万元以下的罚款；逾期未改正的，处五万元以上十万元以下的罚款，责令生产经营单位停产停业整顿。</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1.未履行第一项至第七项中任一项职责的，处 2 万元以上 3 万元以下的罚款；逾期未改正的，处 5 万元以上 7 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2.未履行第一项至第七项中任两项职责的，处 3 万元以上 4 万元以下的罚款；逾期未改正的，处 7 万元以上 9 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3.未履行第一项至第七项中任三项以上职责的，处 4 万元以上 5 万元以下的罚款；逾期未改正的，处 9 万元以上 10 万元以下的罚款。</w:t>
            </w:r>
          </w:p>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1.违反第五项、第七项中任一项职责的，并处2万元以上3万元以下的罚款；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2.同时违反第五项、第七项两项职责的，并处3万元以上5万元以下的罚款。</w:t>
            </w:r>
          </w:p>
        </w:tc>
        <w:tc>
          <w:tcPr>
            <w:tcW w:w="824"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6"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未按照规定设置安全生产管理机构或者配备安全生产管理人员</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color w:val="auto"/>
                <w:highlight w:val="none"/>
              </w:rPr>
            </w:pPr>
            <w:r>
              <w:rPr>
                <w:rFonts w:hint="eastAsia" w:asciiTheme="minorEastAsia" w:hAnsiTheme="minorEastAsia" w:eastAsiaTheme="minorEastAsia"/>
                <w:color w:val="auto"/>
                <w:sz w:val="15"/>
                <w:szCs w:val="15"/>
                <w:highlight w:val="none"/>
              </w:rPr>
              <w:t>违反条款：第二十四条第二款；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widowControl/>
              <w:suppressLineNumbers w:val="0"/>
              <w:jc w:val="left"/>
              <w:rPr>
                <w:rFonts w:ascii="宋体" w:hAnsi="宋体" w:eastAsia="宋体" w:cs="宋体"/>
                <w:kern w:val="0"/>
                <w:sz w:val="15"/>
                <w:szCs w:val="15"/>
                <w:lang w:val="en-US" w:eastAsia="zh-CN" w:bidi="ar"/>
              </w:rPr>
            </w:pPr>
            <w:r>
              <w:rPr>
                <w:rFonts w:ascii="宋体" w:hAnsi="宋体" w:eastAsia="宋体" w:cs="宋体"/>
                <w:kern w:val="0"/>
                <w:sz w:val="15"/>
                <w:szCs w:val="15"/>
                <w:lang w:val="en-US" w:eastAsia="zh-CN" w:bidi="ar"/>
              </w:rPr>
              <w:t>1.除矿山、金属冶炼、建筑施工、运输单位和危险物品的生产、经营、储存、装卸单位以外的生产经营单位，从业人员总数为 100人或者 100人以下， 未配备专职或者兼职安全生产管理人员的处 3万元以下的罚款；逾期未改正的，并处 10 万元以上 13万元以下的罚款，对其直接负责的主管人员和其他直接责任人员处2万元以上3万元以下的罚款；</w:t>
            </w:r>
          </w:p>
          <w:p>
            <w:pPr>
              <w:keepNext w:val="0"/>
              <w:keepLines w:val="0"/>
              <w:widowControl/>
              <w:suppressLineNumbers w:val="0"/>
              <w:jc w:val="left"/>
              <w:rPr>
                <w:sz w:val="15"/>
                <w:szCs w:val="15"/>
              </w:rPr>
            </w:pPr>
            <w:r>
              <w:rPr>
                <w:rFonts w:ascii="宋体" w:hAnsi="宋体" w:eastAsia="宋体" w:cs="宋体"/>
                <w:kern w:val="0"/>
                <w:sz w:val="15"/>
                <w:szCs w:val="15"/>
                <w:lang w:val="en-US" w:eastAsia="zh-CN" w:bidi="ar"/>
              </w:rPr>
              <w:t xml:space="preserve"> 2.除矿山、金属冶炼、建筑施工、运输单位和危险物品的生产、经营、储存、装卸单位以外的生产经营单位，从业人员总数超过 100 人，未设置安全生产管理机构或者未配备专职安全生产管理人员的，处3万元以上5万元以下的罚款；逾期未改正的，并处13万元以上15万元以下的罚款，对其直接负责的主管人员和其他直接责任人员处3万元以上4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5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其他负责人和安全生产管理人员未履行本法规定的安全生产管理职责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leftChars="0" w:hanging="21" w:firstLineChars="0"/>
              <w:rPr>
                <w:rFonts w:hint="eastAsia" w:cs="宋体" w:asciiTheme="minorEastAsia" w:hAnsiTheme="minorEastAsia" w:eastAsiaTheme="minorEastAsia"/>
                <w:strike w:val="0"/>
                <w:dstrike w:val="0"/>
                <w:color w:val="auto"/>
                <w:kern w:val="0"/>
                <w:sz w:val="15"/>
                <w:szCs w:val="15"/>
                <w:highlight w:val="none"/>
                <w:lang w:val="en-US" w:eastAsia="zh-CN" w:bidi="ar-SA"/>
              </w:rPr>
            </w:pPr>
            <w:r>
              <w:rPr>
                <w:rFonts w:hint="eastAsia" w:cs="宋体" w:asciiTheme="minorEastAsia" w:hAnsiTheme="minorEastAsia" w:eastAsiaTheme="minorEastAsia"/>
                <w:strike/>
                <w:dstrike w:val="0"/>
                <w:color w:val="auto"/>
                <w:kern w:val="0"/>
                <w:sz w:val="15"/>
                <w:szCs w:val="15"/>
                <w:highlight w:val="none"/>
                <w:lang w:val="en-US" w:eastAsia="zh-CN" w:bidi="ar-SA"/>
              </w:rPr>
              <w:t>1</w:t>
            </w:r>
            <w:r>
              <w:rPr>
                <w:rFonts w:hint="eastAsia" w:cs="宋体" w:asciiTheme="minorEastAsia" w:hAnsiTheme="minorEastAsia" w:eastAsiaTheme="minorEastAsia"/>
                <w:strike w:val="0"/>
                <w:dstrike w:val="0"/>
                <w:color w:val="auto"/>
                <w:kern w:val="0"/>
                <w:sz w:val="15"/>
                <w:szCs w:val="15"/>
                <w:highlight w:val="none"/>
                <w:lang w:val="en-US" w:eastAsia="zh-CN" w:bidi="ar-SA"/>
              </w:rPr>
              <w:t>.未履行第一项至第七项中任一项职责的，处1万元以上2万元以下的罚款；</w:t>
            </w:r>
          </w:p>
          <w:p>
            <w:pPr>
              <w:spacing w:line="232" w:lineRule="exact"/>
              <w:ind w:left="6" w:leftChars="0" w:hanging="21" w:firstLineChars="0"/>
              <w:rPr>
                <w:rFonts w:hint="eastAsia" w:cs="宋体" w:asciiTheme="minorEastAsia" w:hAnsiTheme="minorEastAsia" w:eastAsiaTheme="minorEastAsia"/>
                <w:strike w:val="0"/>
                <w:dstrike w:val="0"/>
                <w:color w:val="auto"/>
                <w:kern w:val="0"/>
                <w:sz w:val="15"/>
                <w:szCs w:val="15"/>
                <w:highlight w:val="none"/>
                <w:lang w:val="en-US" w:eastAsia="zh-CN" w:bidi="ar-SA"/>
              </w:rPr>
            </w:pPr>
            <w:r>
              <w:rPr>
                <w:rFonts w:hint="eastAsia" w:cs="宋体" w:asciiTheme="minorEastAsia" w:hAnsiTheme="minorEastAsia" w:eastAsiaTheme="minorEastAsia"/>
                <w:strike w:val="0"/>
                <w:dstrike w:val="0"/>
                <w:color w:val="auto"/>
                <w:kern w:val="0"/>
                <w:sz w:val="15"/>
                <w:szCs w:val="15"/>
                <w:highlight w:val="none"/>
                <w:lang w:val="en-US" w:eastAsia="zh-CN" w:bidi="ar-SA"/>
              </w:rPr>
              <w:t>2.未履行第一项至第七项中任两项职责的，处2万元以上3万元以下的罚款；</w:t>
            </w:r>
          </w:p>
          <w:p>
            <w:pPr>
              <w:spacing w:line="232" w:lineRule="exact"/>
              <w:ind w:left="6" w:leftChars="0" w:hanging="21" w:firstLineChars="0"/>
              <w:rPr>
                <w:rFonts w:cs="宋体" w:asciiTheme="minorEastAsia" w:hAnsiTheme="minorEastAsia" w:eastAsiaTheme="minorEastAsia"/>
                <w:strike/>
                <w:dstrike w:val="0"/>
                <w:color w:val="auto"/>
                <w:kern w:val="0"/>
                <w:sz w:val="15"/>
                <w:szCs w:val="15"/>
                <w:highlight w:val="none"/>
                <w:lang w:val="en-US" w:eastAsia="zh-CN" w:bidi="ar-SA"/>
              </w:rPr>
            </w:pPr>
            <w:r>
              <w:rPr>
                <w:rFonts w:hint="eastAsia" w:cs="宋体" w:asciiTheme="minorEastAsia" w:hAnsiTheme="minorEastAsia" w:eastAsiaTheme="minorEastAsia"/>
                <w:strike w:val="0"/>
                <w:dstrike w:val="0"/>
                <w:color w:val="auto"/>
                <w:kern w:val="0"/>
                <w:sz w:val="15"/>
                <w:szCs w:val="15"/>
                <w:highlight w:val="none"/>
                <w:lang w:val="en-US" w:eastAsia="zh-CN" w:bidi="ar-SA"/>
              </w:rPr>
              <w:t>3.未履行第一项至第七项中任三项以上职责的，处3万元的罚款；</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2"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按照规定对从业人员、被派遣劳动者、实习学生进行安全生产教育和培训的人数为3人以下的，处5万元以下的罚款；逾期未改正的，处10万元以上15万元以下的罚款，对其直接负责的主管人员和其他直接责任人员 2万元以上3万元以下的罚款；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按照规定对从业人员、被派遣劳动者、实习学生进行安全生产教育和培训的人数为3人以上的，处5万元以上10万元以下的罚款；逾期未改正的，处15万元以上20万元以下的罚款，对其直接负责的主管人员和其他直接责任人员处3万元以上5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1"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bCs/>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1.生产经营单位未如实记录安全生产教育和培训情况的人数为 5 人以下的，处 5 万元以下的罚款；逾期未改正的，并处 10 万元以上 15 万元以下的罚款，对其直接负责的主管人员和其他责任人员处 2 万元以上 4 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2.生产经营单位未如实记录安全生产教育和培训情况人数为 5 人以上的，处 5 万元以上 10 万元以下的罚款；逾期未改正的，并处 15 万元以上 20 万元以下的罚款，对其直接负责的主管人员和其他责任人员处 4 万元以上 5 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未在有较大危险因素的生产经营场所和有关设施、设备上设置明显的安全警示标志</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未在有较大危险因素的生产经营场所和有关设施、设备上设置明显的安全警示标志有5处以下的，处2万元以下的罚款；逾期未改正的，处5万元以上10万元以下的罚款，对其直接负责的主管人员和其他直接责任人员处1万元以上2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2.未在有较大危险因素的生产经营场所和有关设施、设备上设置明显的安全警示标志有5处以上10处以下的，处2万元以上 4万元以下的罚款；逾期未改正的，处10万元以上15万元以下的罚款，对其直接负责的主管人员和其他直接责任人员处 1万元以上2万元以下的罚款；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未在有较大危险因素的生产经营场所和有关设施、设备上设置明显的安全警示标志有10处以上的，处4万元以上5万元以下的罚款；逾期未改正的，处15万元以上20万元以下的罚款，对其直接负责的主管人员和其他直接责任人员处1万元以上 2万元以下的罚款。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8"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未建立事故隐患排查治理制度</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除危险物品的生产、经营、储存、装卸单位以及矿山、金属冶炼、建筑施工、运输单位以外的生产经营单位，未建立事故隐患排查治理制度，处5万元以下的罚款；逾期未改正的，并处10万元以上15万元以下的罚款，对其直接负责的主管人员和其他直接责任人员处2万元以上3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9"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未如实记录事故隐患排查治理情况或者未向从业人员通报</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存在未将事故隐患排查治理情况如实记录或者未向从业人员通报情况之一的，处5万元以下的罚款；逾期未改正的，并处10万元以上15万元以下的罚款，对其直接负责的主管人员和其他直接责任人员处2万元以上4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将事故隐患排查治理情况如实记录并且未向从业人员通报的，处5万元以上10万元以下的罚款；逾期未改正的，并处15万元以上20万元以下的罚款，对其直接负责的主管人员和其他直接责任人员处4万元以上5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重大事故隐患排查治理情况未按照规定报告</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除危险物品的生产、经营、储存、装卸单位以及矿山、金属冶炼、建筑施工、运输单位以外的生产经营单位，重大事故隐患排查治理情况未按照规定报告的，处5万元以下的罚款；逾期未改正的，并处10万元以上15万元以下的罚款，对其直接负责的主管人员和其他直接责任人员处2万元以上3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9"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未向从业人员如实告知有关安全生产事项</w:t>
            </w:r>
          </w:p>
        </w:tc>
        <w:tc>
          <w:tcPr>
            <w:tcW w:w="2789"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1.生产经营单位未按照规定向从业人员如实告知作业场所和工作岗位存在的危险因素、防范措施以及事故应急措施中的任一项安全生产事项的，处 5万元以下的罚款；逾期未改正的，并处10万元以上15万元以下的罚款，对其直接负责的主管人员和其他直接责任人员处2万元以上3万元以下的罚款；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按照规定向从业人员如实告知作业场所和工作岗位存在的危险因素、防范措施以及事故应急措施中的任两项安全生产事项的，处5万元以上10万元以下的罚款；逾期未改正的，并处15万元以上20万元以下的罚款，对其直接负责的主管人员和其他直接责任人员处3万元以上5万元以下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生产经营单位未按照规定向从业人员如实告知作业场所和工作岗位存在的危险因素、防范措施以及事故应急措施中的全部安全生产事项的，处10万元的罚款；逾期未改正的，并处20万元的罚款，对其直接负责的主管人员和其他直接责任人员处5万元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cs="宋体" w:asciiTheme="minorEastAsia" w:hAnsiTheme="minorEastAsia" w:eastAsiaTheme="minorEastAsia"/>
                <w:strike/>
                <w:dstrike w:val="0"/>
                <w:color w:val="auto"/>
                <w:kern w:val="0"/>
                <w:sz w:val="15"/>
                <w:szCs w:val="15"/>
                <w:highlight w:val="none"/>
              </w:rPr>
              <w:br w:type="textWrapping"/>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0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5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拒绝、阻碍负有安全生产监督管理职责的部门依法实施监督检查</w:t>
            </w:r>
          </w:p>
        </w:tc>
        <w:tc>
          <w:tcPr>
            <w:tcW w:w="2789" w:type="dxa"/>
            <w:shd w:val="clear" w:color="auto" w:fill="auto"/>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1.生产经营单位拒绝安全生产行政执法人员依法监督检查，拒不改正的，</w:t>
            </w:r>
            <w:r>
              <w:rPr>
                <w:rFonts w:hint="default" w:cs="宋体" w:asciiTheme="minorEastAsia" w:hAnsiTheme="minorEastAsia" w:eastAsiaTheme="minorEastAsia"/>
                <w:strike w:val="0"/>
                <w:dstrike w:val="0"/>
                <w:color w:val="auto"/>
                <w:kern w:val="0"/>
                <w:sz w:val="15"/>
                <w:szCs w:val="15"/>
                <w:highlight w:val="none"/>
                <w:lang w:val="en-US" w:eastAsia="zh-CN"/>
              </w:rPr>
              <w:t>处2万元以上10万元以下的罚款，对其直接负责的主管人员和其他直接责任人员处1万元的罚款；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2.生产经营单位阻碍安全生产行政执法人员依法监督检查，拒不改正的，处10万元以上20万元以下的罚款，对其直接负责的主管人员和其他直接责任人员处1万元以上2万元以下的罚款。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未执行专项安全生产管理措施逾期未改正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 处罚条款：第六十一条，责令限期改正；逾期未改正的，责令停止生产经营活动。</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ind w:left="6" w:hanging="21"/>
              <w:jc w:val="lef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eastAsia="zh-CN"/>
              </w:rPr>
              <w:t>无</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8"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1" w:name="_Toc110851464"/>
            <w:bookmarkStart w:id="92" w:name="_Toc1075063771"/>
            <w:bookmarkStart w:id="93" w:name="_Toc18906041"/>
            <w:r>
              <w:rPr>
                <w:rFonts w:hint="eastAsia" w:asciiTheme="minorEastAsia" w:hAnsiTheme="minorEastAsia" w:eastAsiaTheme="minorEastAsia"/>
                <w:color w:val="auto"/>
                <w:sz w:val="21"/>
                <w:szCs w:val="21"/>
                <w:highlight w:val="none"/>
              </w:rPr>
              <w:t>《北京市生产安全事故隐患排查治理办法》</w:t>
            </w:r>
            <w:r>
              <w:rPr>
                <w:rFonts w:hint="eastAsia" w:asciiTheme="minorEastAsia" w:hAnsiTheme="minorEastAsia" w:eastAsiaTheme="minorEastAsia"/>
                <w:color w:val="auto"/>
                <w:sz w:val="21"/>
                <w:szCs w:val="21"/>
                <w:highlight w:val="none"/>
                <w:lang w:eastAsia="zh-Hans"/>
              </w:rPr>
              <w:t>案由</w:t>
            </w:r>
            <w:r>
              <w:rPr>
                <w:rFonts w:asciiTheme="minorEastAsia" w:hAnsiTheme="minorEastAsia" w:eastAsiaTheme="minorEastAsia"/>
                <w:color w:val="auto"/>
                <w:sz w:val="21"/>
                <w:szCs w:val="21"/>
                <w:highlight w:val="none"/>
                <w:lang w:eastAsia="zh-Hans"/>
              </w:rPr>
              <w:t>2</w:t>
            </w:r>
            <w:r>
              <w:rPr>
                <w:rFonts w:hint="eastAsia" w:asciiTheme="minorEastAsia" w:hAnsiTheme="minorEastAsia" w:eastAsiaTheme="minorEastAsia"/>
                <w:color w:val="auto"/>
                <w:sz w:val="21"/>
                <w:szCs w:val="21"/>
                <w:highlight w:val="none"/>
                <w:lang w:eastAsia="zh-Hans"/>
              </w:rPr>
              <w:t>项</w:t>
            </w:r>
            <w:bookmarkEnd w:id="91"/>
            <w:bookmarkEnd w:id="92"/>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主要负责人未履行规定的事故隐患排查治理职责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1.经责令限期改正，主要负责人未履行其中任一项职责的，对主要负责人处2万元以上3万元以下的罚款；</w:t>
            </w: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2.经责令限期改正，主要负责人未履行其中任两项以上职责的，对主要负责人处3万元以上5万元以下的罚款。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未定期通报事故隐患排查治理情况，或者未公示重大事故隐患的危害程度、影响范围和应急措施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b/>
                <w:bCs/>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北京市应急管理局关于印发《北京市应急管理轻微违法行为依法不予行政处罚事项清单》的通知（京应急规文〔2023〕2号）</w:t>
            </w:r>
          </w:p>
          <w:p>
            <w:pPr>
              <w:pStyle w:val="7"/>
              <w:rPr>
                <w:rFonts w:hint="eastAsia" w:asciiTheme="minorEastAsia" w:hAnsiTheme="minorEastAsia" w:eastAsiaTheme="minorEastAsia" w:cstheme="minorEastAsia"/>
                <w:b/>
                <w:bCs/>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全部具备相应“不予处罚适用条件”的，依法不予行政处罚。</w:t>
            </w: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不予处罚适用条件：</w:t>
            </w:r>
            <w:r>
              <w:rPr>
                <w:rFonts w:hint="eastAsia" w:asciiTheme="minorEastAsia" w:hAnsiTheme="minorEastAsia" w:eastAsiaTheme="minorEastAsia" w:cstheme="minorEastAsia"/>
                <w:color w:val="auto"/>
                <w:spacing w:val="-4"/>
                <w:sz w:val="15"/>
                <w:szCs w:val="15"/>
                <w:highlight w:val="none"/>
                <w:lang w:val="en-US" w:eastAsia="zh-CN"/>
              </w:rPr>
              <w:t>1.首次被发现；2.已向从业人员通报了隐患排查治理情况但未每月通报，或者就重大事故隐患的危害程度、影响范围和应急措施已向从业人员进行了公示但公示不全；3.及时改正；4.危害后果轻微。</w:t>
            </w:r>
          </w:p>
          <w:p>
            <w:pPr>
              <w:pStyle w:val="7"/>
              <w:rPr>
                <w:rFonts w:hint="eastAsia" w:asciiTheme="minorEastAsia" w:hAnsiTheme="minorEastAsia" w:eastAsiaTheme="minorEastAsia" w:cstheme="minorEastAsia"/>
                <w:color w:val="auto"/>
                <w:spacing w:val="-4"/>
                <w:sz w:val="15"/>
                <w:szCs w:val="15"/>
                <w:highlight w:val="none"/>
                <w:lang w:val="en-US" w:eastAsia="zh-CN"/>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1.存在虽向从业人员通报了隐患排查治理情况但未每月通报，或者就重大</w:t>
            </w:r>
            <w:r>
              <w:rPr>
                <w:rFonts w:hint="default" w:cs="宋体" w:asciiTheme="minorEastAsia" w:hAnsiTheme="minorEastAsia" w:eastAsiaTheme="minorEastAsia"/>
                <w:strike w:val="0"/>
                <w:dstrike w:val="0"/>
                <w:color w:val="auto"/>
                <w:kern w:val="0"/>
                <w:sz w:val="15"/>
                <w:szCs w:val="15"/>
                <w:highlight w:val="none"/>
                <w:lang w:val="en-US" w:eastAsia="zh-CN"/>
              </w:rPr>
              <w:t xml:space="preserve">事故隐患的危害程度、影响范围和应急措施虽向从业人员进行了公示但公示不全的，可以处2万元以下的罚款；逾期未改正的，并处5万元以上7万元以下的罚款； </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2.未向从业人员通报隐患排查治理情况，或者未向从业人员公示事故隐患的危害程度、影响范围和应急措施的，可以处2万元以上5万元以下的罚款；逾期未改正的，并处7万元以上10万元以下的罚款。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4" w:name="_Toc110851465"/>
            <w:bookmarkStart w:id="95" w:name="_Toc780858134"/>
            <w:bookmarkStart w:id="96" w:name="_Toc1291379037"/>
            <w:r>
              <w:rPr>
                <w:rFonts w:hint="eastAsia" w:asciiTheme="minorEastAsia" w:hAnsiTheme="minorEastAsia" w:eastAsiaTheme="minorEastAsia"/>
                <w:color w:val="auto"/>
                <w:sz w:val="21"/>
                <w:szCs w:val="21"/>
                <w:highlight w:val="none"/>
              </w:rPr>
              <w:t>《北京市单用途预付卡管理条例》案由7项</w:t>
            </w:r>
            <w:bookmarkEnd w:id="94"/>
            <w:bookmarkEnd w:id="95"/>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20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6"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97" w:name="_Toc1495699393"/>
            <w:bookmarkStart w:id="98" w:name="_Toc110851466"/>
            <w:bookmarkStart w:id="99" w:name="_Toc1655466988"/>
            <w:r>
              <w:rPr>
                <w:rFonts w:hint="eastAsia" w:ascii="黑体" w:hAnsi="黑体" w:eastAsia="黑体"/>
                <w:b w:val="0"/>
                <w:color w:val="auto"/>
                <w:sz w:val="36"/>
                <w:szCs w:val="36"/>
                <w:highlight w:val="none"/>
              </w:rPr>
              <w:t>园林绿化管理方面</w:t>
            </w:r>
            <w:bookmarkEnd w:id="97"/>
            <w:bookmarkEnd w:id="98"/>
            <w:bookmarkEnd w:id="9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0" w:name="_Toc110851467"/>
            <w:bookmarkStart w:id="101" w:name="_Toc1065346755"/>
            <w:bookmarkStart w:id="102" w:name="_Toc1801139429"/>
            <w:r>
              <w:rPr>
                <w:rFonts w:hint="eastAsia" w:asciiTheme="minorEastAsia" w:hAnsiTheme="minorEastAsia" w:eastAsiaTheme="minorEastAsia"/>
                <w:color w:val="auto"/>
                <w:sz w:val="21"/>
                <w:szCs w:val="21"/>
                <w:highlight w:val="none"/>
              </w:rPr>
              <w:t>《北京市绿化条例》案由16项</w:t>
            </w:r>
            <w:bookmarkEnd w:id="100"/>
            <w:bookmarkEnd w:id="101"/>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以内，变量系数为0，闲置面积1000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，变量系数增加1；</w:t>
            </w:r>
          </w:p>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闲置时间超过一年的，系数为4；3. 尘土飞扬，对市容环境造成严重影响的，系数9。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系数为4；造成树木大面积死亡（胸径30厘米以上树木3棵以上，以及树木死亡10株以上的），或者造成珍贵树种死亡，景区风貌破坏严重难以复原，以及其它社会恶劣影响和重大经济损失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2789"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1.造成树木死亡（胸径小于30厘米且不满3株），绿地损毁的，变量系数为1；</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2.造成树木大面积死亡（胸径30厘米以上的，或树木死亡3株以上），绿地使用功能丧失，或者其它社会恶劣影响和重大经济损失的，变量系数为3。</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在树木旁或者绿地内倾倒、排放污水、垃圾、渣土及其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废弃物</w:t>
            </w:r>
          </w:p>
        </w:tc>
        <w:tc>
          <w:tcPr>
            <w:tcW w:w="2789"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6</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损毁树木、花草及绿化设施</w:t>
            </w:r>
          </w:p>
        </w:tc>
        <w:tc>
          <w:tcPr>
            <w:tcW w:w="2789"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2385" w:type="dxa"/>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yellow"/>
                <w:lang w:eastAsia="zh-CN"/>
              </w:rPr>
            </w:pPr>
            <w:r>
              <w:rPr>
                <w:rFonts w:hint="eastAsia" w:cs="宋体" w:asciiTheme="minorEastAsia" w:hAnsiTheme="minorEastAsia" w:eastAsiaTheme="minorEastAsia"/>
                <w:color w:val="auto"/>
                <w:kern w:val="0"/>
                <w:sz w:val="15"/>
                <w:szCs w:val="15"/>
                <w:highlight w:val="yellow"/>
              </w:rPr>
              <w:t>按照简易程序执行</w:t>
            </w:r>
            <w:r>
              <w:rPr>
                <w:rFonts w:hint="eastAsia" w:cs="宋体" w:asciiTheme="minorEastAsia" w:hAnsiTheme="minorEastAsia" w:eastAsiaTheme="minorEastAsia"/>
                <w:color w:val="auto"/>
                <w:kern w:val="0"/>
                <w:sz w:val="15"/>
                <w:szCs w:val="15"/>
                <w:highlight w:val="yellow"/>
                <w:lang w:eastAsia="zh-CN"/>
              </w:rPr>
              <w:t>。</w:t>
            </w: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yellow"/>
              </w:rPr>
            </w:pPr>
            <w:r>
              <w:rPr>
                <w:rFonts w:hint="eastAsia" w:asciiTheme="minorEastAsia" w:hAnsiTheme="minorEastAsia" w:eastAsiaTheme="minorEastAsia"/>
                <w:color w:val="auto"/>
                <w:sz w:val="15"/>
                <w:szCs w:val="15"/>
                <w:highlight w:val="yellow"/>
              </w:rPr>
              <w:t>街道</w:t>
            </w:r>
          </w:p>
          <w:p>
            <w:pPr>
              <w:spacing w:line="206" w:lineRule="exact"/>
              <w:jc w:val="center"/>
              <w:rPr>
                <w:rFonts w:cs="宋体" w:asciiTheme="minorEastAsia" w:hAnsiTheme="minorEastAsia" w:eastAsiaTheme="minorEastAsia"/>
                <w:color w:val="auto"/>
                <w:kern w:val="0"/>
                <w:sz w:val="15"/>
                <w:szCs w:val="15"/>
                <w:highlight w:val="yellow"/>
              </w:rPr>
            </w:pPr>
            <w:r>
              <w:rPr>
                <w:rFonts w:hint="eastAsia" w:asciiTheme="minorEastAsia" w:hAnsiTheme="minorEastAsia" w:eastAsiaTheme="minorEastAsia"/>
                <w:color w:val="auto"/>
                <w:sz w:val="15"/>
                <w:szCs w:val="15"/>
                <w:highlight w:val="yellow"/>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造成树木、绿地或绿化设施损毁严重的，系数9。</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罚款数额＝50×（1＋</w:t>
            </w:r>
            <w:r>
              <w:rPr>
                <w:rFonts w:hint="eastAsia" w:cs="宋体" w:asciiTheme="minorEastAsia" w:hAnsiTheme="minorEastAsia" w:eastAsiaTheme="minorEastAsia"/>
                <w:color w:val="auto"/>
                <w:kern w:val="0"/>
                <w:sz w:val="15"/>
                <w:szCs w:val="15"/>
                <w:highlight w:val="yellow"/>
                <w:lang w:eastAsia="zh-CN"/>
              </w:rPr>
              <w:t>常量系数＋变量系数＋区域系数</w:t>
            </w:r>
            <w:r>
              <w:rPr>
                <w:rFonts w:hint="eastAsia" w:cs="宋体" w:asciiTheme="minorEastAsia" w:hAnsiTheme="minorEastAsia" w:eastAsiaTheme="minorEastAsia"/>
                <w:color w:val="auto"/>
                <w:kern w:val="0"/>
                <w:sz w:val="15"/>
                <w:szCs w:val="15"/>
                <w:highlight w:val="yellow"/>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yellow"/>
              </w:rPr>
            </w:pPr>
            <w:r>
              <w:rPr>
                <w:rFonts w:hint="eastAsia" w:asciiTheme="minorEastAsia" w:hAnsiTheme="minorEastAsia" w:eastAsiaTheme="minorEastAsia"/>
                <w:color w:val="auto"/>
                <w:sz w:val="15"/>
                <w:szCs w:val="15"/>
                <w:highlight w:val="yellow"/>
              </w:rPr>
              <w:t>街道</w:t>
            </w:r>
          </w:p>
          <w:p>
            <w:pPr>
              <w:spacing w:line="206" w:lineRule="exact"/>
              <w:jc w:val="center"/>
              <w:rPr>
                <w:rFonts w:cs="宋体" w:asciiTheme="minorEastAsia" w:hAnsiTheme="minorEastAsia" w:eastAsiaTheme="minorEastAsia"/>
                <w:color w:val="auto"/>
                <w:kern w:val="0"/>
                <w:sz w:val="15"/>
                <w:szCs w:val="15"/>
                <w:highlight w:val="yellow"/>
              </w:rPr>
            </w:pPr>
            <w:r>
              <w:rPr>
                <w:rFonts w:hint="eastAsia" w:asciiTheme="minorEastAsia" w:hAnsiTheme="minorEastAsia" w:eastAsiaTheme="minorEastAsia"/>
                <w:color w:val="auto"/>
                <w:sz w:val="15"/>
                <w:szCs w:val="15"/>
                <w:highlight w:val="yellow"/>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物品</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绿地或绿化设施损毁严重的，系数9。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损害绿化成果及绿化设施的行为</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擅自改变公共绿地性质和用途的，系数5-9；主动改正违法行为或者减轻违法后果的，系数1-4。2.改变其它绿地的，系数1-4；3.存在其它情节严重或者社会影响恶劣的情形，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罚款数额＝面积×300×（1＋变量系数）</w:t>
            </w:r>
          </w:p>
        </w:tc>
        <w:tc>
          <w:tcPr>
            <w:tcW w:w="2385"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2789" w:type="dxa"/>
            <w:shd w:val="clear" w:color="auto" w:fill="auto"/>
            <w:vAlign w:val="center"/>
          </w:tcPr>
          <w:p>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2789" w:type="dxa"/>
            <w:shd w:val="clear" w:color="auto" w:fill="auto"/>
            <w:vAlign w:val="center"/>
          </w:tcPr>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存在以下情节的，增加相应变量系数:1.临时占用公共绿地的，系数5-9；主动改正违法行为或者减轻违法后果的，系数1-4。2.临时占用其它绿地的，系数1-4；3.存在其它情节严重或者社会影响恶劣的情形，系数5-9。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 +变量系数）</w:t>
            </w:r>
          </w:p>
        </w:tc>
        <w:tc>
          <w:tcPr>
            <w:tcW w:w="2385" w:type="dxa"/>
            <w:shd w:val="clear" w:color="auto" w:fill="auto"/>
            <w:vAlign w:val="center"/>
          </w:tcPr>
          <w:p>
            <w:pPr>
              <w:spacing w:line="21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1"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3" w:name="_Toc675066993"/>
            <w:bookmarkStart w:id="104" w:name="_Toc110851468"/>
            <w:bookmarkStart w:id="105" w:name="_Toc177791596"/>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103"/>
            <w:bookmarkEnd w:id="104"/>
            <w:bookmarkEnd w:id="1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0"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6" w:name="_Toc1576301640"/>
            <w:bookmarkStart w:id="107" w:name="_Toc110851469"/>
            <w:bookmarkStart w:id="108" w:name="_Toc677187225"/>
            <w:r>
              <w:rPr>
                <w:rFonts w:hint="eastAsia" w:asciiTheme="minorEastAsia" w:hAnsiTheme="minorEastAsia" w:eastAsiaTheme="minorEastAsia"/>
                <w:color w:val="auto"/>
                <w:sz w:val="21"/>
                <w:szCs w:val="21"/>
                <w:highlight w:val="none"/>
              </w:rPr>
              <w:t>《北京市古树名木保护管理条例》案由11项</w:t>
            </w:r>
            <w:bookmarkEnd w:id="106"/>
            <w:bookmarkEnd w:id="107"/>
            <w:bookmarkEnd w:id="1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4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对古树名木刻划钉钉（缠绕绳索、攀树折枝、剥损树皮）</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违反条款：第十二条第（一）项；</w:t>
            </w:r>
          </w:p>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0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借用古树名木树干做支撑物</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违反条款：第十二条第（二）项；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擅自采摘古树名木果实</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1"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在划定的范围内挖坑取土（动用明火、排放烟气、倾倒污水污物、堆放物料、修建建筑物构筑物）</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6"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擅自移植古树名木</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违反条款：第十二条第（五）项、第十五条第二款；处罚条款：第二十二条 处以损失额1倍至2倍的罚款；造成死亡的，处以损失额2倍至3倍罚款。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1.擅自移植一级古树或者具有特殊历史价值和特别珍贵名木的，系数为1；2.造成古树名木树干皮层损伤部分超过树干周长50%，受伤根系超过全部根系40%，主枝损伤超过树冠50%的，系数1。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擅自砍伐古树名木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违反条款：第十二条第（六）项；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 处以损失额3倍至5倍罚款。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1.擅自砍伐一级古树或者具有特殊历史价值和特别珍贵名木的，系数为1；2.造成古树名木死亡的，系数为1。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罚款数额＝损失额×（3＋</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损坏古树名木标志及附属设施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违反条款：第六条；处罚条款：第十七条 责令恢复原貌，赔偿损失，并可处损失额1倍以下的罚款。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按照规定的执行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未按规定养护管理古树名木</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违反条款：第十一条第一款；处罚条款：第十八条第一款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未按要求对古树名木治理、复壮</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违反条款：第十一条第二款；处罚条款：第十八条第一款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3"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擅自处理死亡古树名木</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违反条款：第十一条第三款；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处罚条款：第十八条第二款 每株处以2000元至1万元罚款。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7"/>
              <w:spacing w:line="212" w:lineRule="exact"/>
              <w:jc w:val="both"/>
              <w:rPr>
                <w:rFonts w:hint="default"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擅自处理死亡一级古树的，变量系数4；二级古树的，变量系数3</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＋变量系数）×N。N为株数。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建设施工未按规定对古树名木</w:t>
            </w:r>
            <w:r>
              <w:rPr>
                <w:rFonts w:cs="宋体" w:asciiTheme="minorEastAsia" w:hAnsiTheme="minorEastAsia" w:eastAsiaTheme="minorEastAsia"/>
                <w:color w:val="auto"/>
                <w:kern w:val="0"/>
                <w:sz w:val="15"/>
                <w:szCs w:val="15"/>
                <w:highlight w:val="none"/>
              </w:rPr>
              <w:t>采取避让保护措施</w:t>
            </w:r>
          </w:p>
        </w:tc>
        <w:tc>
          <w:tcPr>
            <w:tcW w:w="2789" w:type="dxa"/>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处罚条款：第二十一条 责令停止施工。造成古树名木损害的，依照本条例有关规定处理。</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9" w:name="_Toc1179814324"/>
            <w:bookmarkStart w:id="110" w:name="_Toc465734653"/>
            <w:bookmarkStart w:id="111" w:name="_Toc110851470"/>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09"/>
            <w:bookmarkEnd w:id="110"/>
            <w:bookmarkEnd w:id="1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2789"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按照《基准》规定的执行</w:t>
            </w:r>
            <w:r>
              <w:rPr>
                <w:rFonts w:hint="eastAsia" w:cs="宋体" w:asciiTheme="minorEastAsia" w:hAnsiTheme="minorEastAsia" w:eastAsiaTheme="minorEastAsia"/>
                <w:color w:val="auto"/>
                <w:kern w:val="0"/>
                <w:sz w:val="15"/>
                <w:szCs w:val="15"/>
                <w:highlight w:val="none"/>
                <w:lang w:eastAsia="zh-CN"/>
              </w:rPr>
              <w:t>。</w:t>
            </w:r>
          </w:p>
        </w:tc>
        <w:tc>
          <w:tcPr>
            <w:tcW w:w="17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9"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2789"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17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1.改变</w:t>
            </w:r>
            <w:r>
              <w:rPr>
                <w:rFonts w:cs="宋体" w:asciiTheme="minorEastAsia" w:hAnsiTheme="minorEastAsia" w:eastAsiaTheme="minorEastAsia"/>
                <w:color w:val="auto"/>
                <w:kern w:val="0"/>
                <w:sz w:val="15"/>
                <w:szCs w:val="15"/>
                <w:highlight w:val="none"/>
              </w:rPr>
              <w:t>市主要公园</w:t>
            </w:r>
            <w:r>
              <w:rPr>
                <w:rFonts w:hint="eastAsia" w:cs="宋体" w:asciiTheme="minorEastAsia" w:hAnsiTheme="minorEastAsia" w:eastAsiaTheme="minorEastAsia"/>
                <w:color w:val="auto"/>
                <w:kern w:val="0"/>
                <w:sz w:val="15"/>
                <w:szCs w:val="15"/>
                <w:highlight w:val="none"/>
              </w:rPr>
              <w:t>功能</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2789"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p>
        </w:tc>
        <w:tc>
          <w:tcPr>
            <w:tcW w:w="17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2789"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p>
        </w:tc>
        <w:tc>
          <w:tcPr>
            <w:tcW w:w="17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＋变量系数）×面积。</w:t>
            </w:r>
          </w:p>
        </w:tc>
        <w:tc>
          <w:tcPr>
            <w:tcW w:w="23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5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pPr>
              <w:spacing w:line="240" w:lineRule="exact"/>
              <w:rPr>
                <w:rFonts w:cs="宋体" w:asciiTheme="minorEastAsia" w:hAnsiTheme="minorEastAsia" w:eastAsiaTheme="minorEastAsia"/>
                <w:color w:val="auto"/>
                <w:kern w:val="0"/>
                <w:sz w:val="15"/>
                <w:szCs w:val="15"/>
                <w:highlight w:val="none"/>
              </w:rPr>
            </w:pP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2789" w:type="dxa"/>
            <w:shd w:val="clear" w:color="auto" w:fill="auto"/>
            <w:vAlign w:val="center"/>
          </w:tcPr>
          <w:p>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2789" w:type="dxa"/>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1" w:hRule="atLeast"/>
          <w:jc w:val="center"/>
        </w:trPr>
        <w:tc>
          <w:tcPr>
            <w:tcW w:w="14218" w:type="dxa"/>
            <w:gridSpan w:val="9"/>
            <w:shd w:val="clear" w:color="auto" w:fill="auto"/>
            <w:vAlign w:val="center"/>
          </w:tcPr>
          <w:p>
            <w:pPr>
              <w:pStyle w:val="2"/>
              <w:bidi w:val="0"/>
              <w:rPr>
                <w:rFonts w:ascii="黑体" w:hAnsi="黑体" w:eastAsia="黑体" w:cs="宋体"/>
                <w:color w:val="auto"/>
                <w:kern w:val="0"/>
                <w:highlight w:val="none"/>
              </w:rPr>
            </w:pPr>
            <w:bookmarkStart w:id="112" w:name="_Toc124716043"/>
            <w:r>
              <w:rPr>
                <w:rFonts w:hint="eastAsia" w:ascii="黑体" w:hAnsi="黑体" w:eastAsia="黑体" w:cs="黑体"/>
                <w:b w:val="0"/>
                <w:bCs w:val="0"/>
                <w:color w:val="auto"/>
                <w:highlight w:val="none"/>
              </w:rPr>
              <w:t>环境保护管理方面</w:t>
            </w:r>
            <w:bookmarkEnd w:id="1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14218" w:type="dxa"/>
            <w:gridSpan w:val="9"/>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13" w:name="_Toc138275872"/>
            <w:r>
              <w:rPr>
                <w:rFonts w:hint="eastAsia"/>
                <w:color w:val="auto"/>
                <w:sz w:val="21"/>
                <w:szCs w:val="21"/>
                <w:highlight w:val="none"/>
              </w:rPr>
              <w:t>《中华人民共和国大气污染防治法》案由</w:t>
            </w:r>
            <w:r>
              <w:rPr>
                <w:rFonts w:hint="eastAsia"/>
                <w:color w:val="auto"/>
                <w:sz w:val="21"/>
                <w:szCs w:val="21"/>
                <w:highlight w:val="none"/>
                <w:lang w:val="en-US" w:eastAsia="zh-CN"/>
              </w:rPr>
              <w:t>17</w:t>
            </w:r>
            <w:r>
              <w:rPr>
                <w:rFonts w:hint="eastAsia"/>
                <w:color w:val="auto"/>
                <w:sz w:val="21"/>
                <w:szCs w:val="21"/>
                <w:highlight w:val="none"/>
              </w:rPr>
              <w:t>项</w:t>
            </w:r>
            <w:bookmarkEnd w:id="1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1.垃圾占地面积10㎡以下的，系数0；11－15㎡的，系数1；16－20㎡系数2，以此类推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运输散装、流体物料车辆未采取密闭或者其</w:t>
            </w:r>
            <w:r>
              <w:rPr>
                <w:rFonts w:hint="eastAsia" w:asciiTheme="minorEastAsia" w:hAnsiTheme="minorEastAsia" w:eastAsiaTheme="minorEastAsia"/>
                <w:color w:val="auto"/>
                <w:sz w:val="15"/>
                <w:szCs w:val="15"/>
                <w:highlight w:val="red"/>
                <w:lang w:eastAsia="zh-CN"/>
              </w:rPr>
              <w:t>他</w:t>
            </w:r>
            <w:r>
              <w:rPr>
                <w:rFonts w:hint="eastAsia" w:asciiTheme="minorEastAsia" w:hAnsiTheme="minorEastAsia" w:eastAsiaTheme="minorEastAsia"/>
                <w:color w:val="auto"/>
                <w:sz w:val="15"/>
                <w:szCs w:val="15"/>
                <w:highlight w:val="none"/>
              </w:rPr>
              <w:t>措施防止物料遗撒</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尘土飞扬，对环境造成严重影响的，系数5-9。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4"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9" w:hRule="atLeast"/>
          <w:jc w:val="center"/>
        </w:trPr>
        <w:tc>
          <w:tcPr>
            <w:tcW w:w="940" w:type="dxa"/>
            <w:vMerge w:val="restart"/>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6"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4"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16</w:t>
            </w:r>
          </w:p>
        </w:tc>
        <w:tc>
          <w:tcPr>
            <w:tcW w:w="1500"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1.经责令改正，仍拒不接受监督检查的，系数为4；2.空气重污染预警期间，拒不接受监督检查的，系数4；3.造成大气污染或者不良社会影响等较为严重情形之一的，系数为4-9。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“拒不配合”的情形，不纳入本案由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0" w:hRule="atLeast"/>
          <w:jc w:val="center"/>
        </w:trPr>
        <w:tc>
          <w:tcPr>
            <w:tcW w:w="940" w:type="dxa"/>
            <w:tcBorders>
              <w:bottom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17</w:t>
            </w:r>
          </w:p>
        </w:tc>
        <w:tc>
          <w:tcPr>
            <w:tcW w:w="1500"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2789"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1.经责令改正，仍弄虚作假的，系数为4；2.空气重污染预警期间，弄虚作假的，系数4；3.造成大气污染或者不良社会影响等较为严重情形之一的，系数为4-9。</w:t>
            </w:r>
          </w:p>
        </w:tc>
        <w:tc>
          <w:tcPr>
            <w:tcW w:w="17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Times New Roman"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虚假陈述”的情形，不纳入本案由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9" w:hRule="atLeast"/>
          <w:jc w:val="center"/>
        </w:trPr>
        <w:tc>
          <w:tcPr>
            <w:tcW w:w="14218" w:type="dxa"/>
            <w:gridSpan w:val="9"/>
            <w:tcBorders>
              <w:bottom w:val="single" w:color="auto"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14" w:name="_Toc2052911917"/>
            <w:r>
              <w:rPr>
                <w:rFonts w:hint="eastAsia"/>
                <w:color w:val="auto"/>
                <w:sz w:val="21"/>
                <w:szCs w:val="21"/>
                <w:highlight w:val="none"/>
              </w:rPr>
              <w:t>《北京市大气污染防治条例》案由8项</w:t>
            </w:r>
            <w:bookmarkEnd w:id="1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tcBorders>
              <w:top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2789"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p>
        </w:tc>
        <w:tc>
          <w:tcPr>
            <w:tcW w:w="1785"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0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产生较大环境污染或者社会影响的，系数为5-8；造成事故或者其它社会恶劣影响的，系数为9。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1"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1.对大气环境或者生产生活造成较大影响的，系数2-3；2.导致事故发生或者其它恶劣影响的，系数为3。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5"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shd w:val="clear" w:fill="FF0000"/>
              </w:rPr>
              <w:t>在政府划定的禁止范围内露天烧烤食品</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根据案件情形，需要作出公式之外其它罚款额度处罚的，报案审会决定。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7"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7"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违反条款：第八十三条；处罚条款：第一百二十一条：责令改正，处二千元以上二万以下罚款；拒不改正的，车辆不得上道路行驶。</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0"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40"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产生较大环境污染或者社会影响的，系数为5-8；造成社会恶劣影响或者其它严重后果的，系数为9。</w:t>
            </w:r>
          </w:p>
        </w:tc>
        <w:tc>
          <w:tcPr>
            <w:tcW w:w="17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5" w:name="_Toc110851471"/>
            <w:bookmarkStart w:id="116" w:name="_Toc1309704035"/>
            <w:bookmarkStart w:id="117" w:name="_Toc1745180410"/>
            <w:r>
              <w:rPr>
                <w:rFonts w:hint="eastAsia" w:asciiTheme="minorEastAsia" w:hAnsiTheme="minorEastAsia" w:eastAsiaTheme="minorEastAsia"/>
                <w:color w:val="auto"/>
                <w:sz w:val="21"/>
                <w:szCs w:val="21"/>
                <w:highlight w:val="none"/>
              </w:rPr>
              <w:t>《北京市环境噪声污染防治办法》案由</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项</w:t>
            </w:r>
            <w:bookmarkEnd w:id="115"/>
            <w:bookmarkEnd w:id="116"/>
            <w:bookmarkEnd w:id="1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2" w:hRule="atLeast"/>
          <w:jc w:val="center"/>
        </w:trPr>
        <w:tc>
          <w:tcPr>
            <w:tcW w:w="940"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2789"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tabs>
                <w:tab w:val="left" w:pos="312"/>
              </w:tabs>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噪声较大或者持续时间较长，或者造成其它社会恶劣影响等情形，系数为1；2.媒体曝光，造成不良社会影响的，系数2；3.在中（高）考考场周边的，系数2。</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18" w:name="_Toc110851472"/>
            <w:bookmarkStart w:id="119" w:name="_Toc193344115"/>
            <w:bookmarkStart w:id="120" w:name="_Toc2131642380"/>
            <w:r>
              <w:rPr>
                <w:rStyle w:val="32"/>
                <w:rFonts w:hint="eastAsia" w:asciiTheme="minorEastAsia" w:hAnsiTheme="minorEastAsia" w:eastAsiaTheme="minorEastAsia"/>
                <w:color w:val="auto"/>
                <w:sz w:val="21"/>
                <w:szCs w:val="21"/>
                <w:highlight w:val="none"/>
              </w:rPr>
              <w:t>《中华人民共和国噪声污染防治法》案由</w:t>
            </w:r>
            <w:r>
              <w:rPr>
                <w:rStyle w:val="32"/>
                <w:rFonts w:hint="eastAsia" w:asciiTheme="minorEastAsia" w:hAnsiTheme="minorEastAsia" w:eastAsiaTheme="minorEastAsia"/>
                <w:color w:val="auto"/>
                <w:sz w:val="21"/>
                <w:szCs w:val="21"/>
                <w:highlight w:val="none"/>
                <w:lang w:val="en-US" w:eastAsia="zh-CN"/>
              </w:rPr>
              <w:t>6</w:t>
            </w:r>
            <w:r>
              <w:rPr>
                <w:rStyle w:val="32"/>
                <w:rFonts w:hint="eastAsia" w:asciiTheme="minorEastAsia" w:hAnsiTheme="minorEastAsia" w:eastAsiaTheme="minorEastAsia"/>
                <w:color w:val="auto"/>
                <w:sz w:val="21"/>
                <w:szCs w:val="21"/>
                <w:highlight w:val="none"/>
              </w:rPr>
              <w:t>项</w:t>
            </w:r>
            <w:bookmarkEnd w:id="118"/>
            <w:bookmarkEnd w:id="119"/>
            <w:bookmarkEnd w:id="1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1.噪声较大或者持续时间较长，系数1-4；2.存在在中高考等特殊时段，投诉举报较多，媒体曝光，或者造成其它社会恶劣影响等情形的，系数5-9。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c>
          <w:tcPr>
            <w:tcW w:w="824"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bookmarkStart w:id="121" w:name="_Toc110851473"/>
            <w:bookmarkStart w:id="122" w:name="_Toc760985315"/>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或者投诉举报较多的，系数1-2;2.存在较大安全隐患或者造成社会恶劣影响的，系数3-4。</w:t>
            </w:r>
          </w:p>
        </w:tc>
        <w:tc>
          <w:tcPr>
            <w:tcW w:w="1785" w:type="dxa"/>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p>
        </w:tc>
        <w:tc>
          <w:tcPr>
            <w:tcW w:w="1500" w:type="dxa"/>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1"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23" w:name="_Toc939694038"/>
            <w:r>
              <w:rPr>
                <w:rFonts w:hint="eastAsia" w:ascii="黑体" w:hAnsi="黑体" w:eastAsia="黑体"/>
                <w:b w:val="0"/>
                <w:color w:val="auto"/>
                <w:sz w:val="36"/>
                <w:szCs w:val="36"/>
                <w:highlight w:val="none"/>
              </w:rPr>
              <w:t>施工现场管理方面</w:t>
            </w:r>
            <w:bookmarkEnd w:id="121"/>
            <w:bookmarkEnd w:id="122"/>
            <w:bookmarkEnd w:id="1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4" w:name="_Toc360439743"/>
            <w:bookmarkStart w:id="125" w:name="_Toc110851474"/>
            <w:bookmarkStart w:id="126" w:name="_Toc1669927446"/>
            <w:r>
              <w:rPr>
                <w:rFonts w:hint="eastAsia" w:asciiTheme="minorEastAsia" w:hAnsiTheme="minorEastAsia" w:eastAsiaTheme="minorEastAsia"/>
                <w:color w:val="auto"/>
                <w:sz w:val="21"/>
                <w:szCs w:val="21"/>
                <w:highlight w:val="none"/>
              </w:rPr>
              <w:t>《北京市大气污染防治条例》施工现场执法案由16项</w:t>
            </w:r>
            <w:bookmarkEnd w:id="124"/>
            <w:bookmarkEnd w:id="125"/>
            <w:bookmarkEnd w:id="1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未对施工现场内除主要道路和物料堆放场地外其它场地进行覆盖或者临时绿化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路面长21－30米的，系数1；31－40米的，系数2；以此类推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未修复的道路长21－30米的，系数1；31－40米的，系数2；以此类推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7" w:name="_Toc1299249536"/>
            <w:bookmarkStart w:id="128" w:name="_Toc110851475"/>
            <w:bookmarkStart w:id="129" w:name="_Toc854219027"/>
            <w:r>
              <w:rPr>
                <w:rFonts w:hint="eastAsia" w:asciiTheme="minorEastAsia" w:hAnsiTheme="minorEastAsia" w:eastAsiaTheme="minorEastAsia"/>
                <w:color w:val="auto"/>
                <w:sz w:val="21"/>
                <w:szCs w:val="21"/>
                <w:highlight w:val="none"/>
              </w:rPr>
              <w:t>《北京市建设工程施工现场管理办法》案由13项</w:t>
            </w:r>
            <w:bookmarkEnd w:id="127"/>
            <w:bookmarkEnd w:id="128"/>
            <w:bookmarkEnd w:id="1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5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w:t>
            </w:r>
            <w:r>
              <w:rPr>
                <w:rFonts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6－</w:t>
            </w:r>
            <w:r>
              <w:rPr>
                <w:rFonts w:asciiTheme="minorEastAsia" w:hAnsiTheme="minorEastAsia" w:eastAsiaTheme="minorEastAsia"/>
                <w:color w:val="auto"/>
                <w:sz w:val="15"/>
                <w:szCs w:val="15"/>
                <w:highlight w:val="none"/>
              </w:rPr>
              <w:t>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。2.其他严重污染环境情形的，系数为9。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p>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未设置时间持续较长、垃圾堆放量较大，垃圾飘洒、恶臭等环境脏乱严重等情形，系数为1。</w:t>
            </w:r>
          </w:p>
        </w:tc>
        <w:tc>
          <w:tcPr>
            <w:tcW w:w="1785"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未搭设密闭式专用垃圾通道时间持续较长或不采用容器吊运时间较长的，系数为1。</w:t>
            </w:r>
          </w:p>
        </w:tc>
        <w:tc>
          <w:tcPr>
            <w:tcW w:w="1785"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30" w:name="_Toc110851476"/>
            <w:bookmarkStart w:id="131" w:name="_Toc2005568916"/>
            <w:bookmarkStart w:id="132" w:name="_Toc1256403622"/>
            <w:r>
              <w:rPr>
                <w:rFonts w:hint="eastAsia" w:ascii="黑体" w:hAnsi="黑体" w:eastAsia="黑体"/>
                <w:b w:val="0"/>
                <w:color w:val="auto"/>
                <w:sz w:val="36"/>
                <w:szCs w:val="36"/>
                <w:highlight w:val="none"/>
              </w:rPr>
              <w:t>停车场管理方面案由</w:t>
            </w:r>
            <w:bookmarkEnd w:id="130"/>
            <w:bookmarkEnd w:id="131"/>
            <w:bookmarkEnd w:id="1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3" w:name="_Toc509001082"/>
            <w:bookmarkStart w:id="134" w:name="_Toc429358351"/>
            <w:bookmarkStart w:id="135" w:name="_Toc110851477"/>
            <w:r>
              <w:rPr>
                <w:rFonts w:hint="eastAsia" w:asciiTheme="minorEastAsia" w:hAnsiTheme="minorEastAsia" w:eastAsiaTheme="minorEastAsia"/>
                <w:color w:val="auto"/>
                <w:sz w:val="21"/>
                <w:szCs w:val="21"/>
                <w:highlight w:val="none"/>
              </w:rPr>
              <w:t>《北京市机动车停车管理办法》案由13项</w:t>
            </w:r>
            <w:bookmarkEnd w:id="133"/>
            <w:bookmarkEnd w:id="134"/>
            <w:bookmarkEnd w:id="1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2789" w:type="dxa"/>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2304" w:type="dxa"/>
            <w:shd w:val="clear" w:color="auto" w:fill="auto"/>
            <w:vAlign w:val="center"/>
          </w:tcPr>
          <w:p>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rPr>
              <w:t>按照《基准》的规定执行</w:t>
            </w:r>
            <w:r>
              <w:rPr>
                <w:rFonts w:hint="eastAsia" w:cs="宋体" w:asciiTheme="minorEastAsia" w:hAnsiTheme="minorEastAsia" w:eastAsiaTheme="minorEastAsia"/>
                <w:bCs/>
                <w:color w:val="auto"/>
                <w:kern w:val="0"/>
                <w:sz w:val="15"/>
                <w:szCs w:val="15"/>
                <w:highlight w:val="none"/>
                <w:lang w:eastAsia="zh-CN"/>
              </w:rPr>
              <w:t>。</w:t>
            </w:r>
          </w:p>
        </w:tc>
        <w:tc>
          <w:tcPr>
            <w:tcW w:w="1785" w:type="dxa"/>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常量系数＋区域系数</w:t>
            </w:r>
            <w:r>
              <w:rPr>
                <w:rFonts w:hint="eastAsia" w:cs="宋体" w:asciiTheme="minorEastAsia" w:hAnsiTheme="minorEastAsia" w:eastAsiaTheme="minorEastAsia"/>
                <w:bCs/>
                <w:color w:val="auto"/>
                <w:kern w:val="0"/>
                <w:sz w:val="15"/>
                <w:szCs w:val="15"/>
                <w:highlight w:val="none"/>
              </w:rPr>
              <w:t>）</w:t>
            </w:r>
          </w:p>
        </w:tc>
        <w:tc>
          <w:tcPr>
            <w:tcW w:w="2385" w:type="dxa"/>
            <w:shd w:val="clear" w:color="auto" w:fill="auto"/>
            <w:vAlign w:val="center"/>
          </w:tcPr>
          <w:p>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2789"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违反条款：第二十条第一款；处罚条款：第三十二条第二款:处1万元罚款.</w:t>
            </w:r>
          </w:p>
        </w:tc>
        <w:tc>
          <w:tcPr>
            <w:tcW w:w="85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0"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2789"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认定可参照国家GB11/T-596-2008标准），系数0.5；同时存在本款2个以上（含2个）违法形态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2789"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2789"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停车场管理单位在停车区域从事影响车辆安全停放的其</w:t>
            </w:r>
            <w:r>
              <w:rPr>
                <w:rFonts w:hint="eastAsia" w:asciiTheme="minorEastAsia" w:hAnsiTheme="minorEastAsia" w:eastAsiaTheme="minorEastAsia"/>
                <w:color w:val="auto"/>
                <w:sz w:val="15"/>
                <w:szCs w:val="15"/>
                <w:highlight w:val="none"/>
                <w:shd w:val="clear" w:fill="FF0000"/>
                <w:lang w:eastAsia="zh-CN"/>
              </w:rPr>
              <w:t>他</w:t>
            </w:r>
            <w:r>
              <w:rPr>
                <w:rFonts w:hint="eastAsia" w:asciiTheme="minorEastAsia" w:hAnsiTheme="minorEastAsia" w:eastAsiaTheme="minorEastAsia"/>
                <w:color w:val="auto"/>
                <w:sz w:val="15"/>
                <w:szCs w:val="15"/>
                <w:highlight w:val="none"/>
              </w:rPr>
              <w:t>经营活动</w:t>
            </w:r>
          </w:p>
        </w:tc>
        <w:tc>
          <w:tcPr>
            <w:tcW w:w="2789"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停车场管理单位未遵守国家和本市其</w:t>
            </w:r>
            <w:r>
              <w:rPr>
                <w:rFonts w:hint="eastAsia" w:asciiTheme="minorEastAsia" w:hAnsiTheme="minorEastAsia" w:eastAsiaTheme="minorEastAsia"/>
                <w:color w:val="auto"/>
                <w:sz w:val="15"/>
                <w:szCs w:val="15"/>
                <w:highlight w:val="none"/>
                <w:shd w:val="clear" w:fill="FF0000"/>
                <w:lang w:eastAsia="zh-CN"/>
              </w:rPr>
              <w:t>他</w:t>
            </w:r>
            <w:r>
              <w:rPr>
                <w:rFonts w:hint="eastAsia" w:asciiTheme="minorEastAsia" w:hAnsiTheme="minorEastAsia" w:eastAsiaTheme="minorEastAsia"/>
                <w:color w:val="auto"/>
                <w:sz w:val="15"/>
                <w:szCs w:val="15"/>
                <w:highlight w:val="none"/>
              </w:rPr>
              <w:t>相关停车管理服务规范和标准</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一年内群众投诉3次以上的，系数1；2.设置地桩、地锁等障碍物数量2个，系数1；3个，系数2，以此累加</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10个及以上的，系数9</w:t>
            </w:r>
            <w:r>
              <w:rPr>
                <w:rFonts w:hint="eastAsia" w:cs="宋体" w:asciiTheme="minorEastAsia" w:hAnsiTheme="minorEastAsia" w:eastAsiaTheme="minorEastAsia"/>
                <w:color w:val="auto"/>
                <w:kern w:val="0"/>
                <w:sz w:val="15"/>
                <w:szCs w:val="15"/>
                <w:highlight w:val="none"/>
              </w:rPr>
              <w:t>；3.存在其它严重影响通行和市容秩序、致使公共安全等事件的，系数9。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6" w:name="_Toc1557995543"/>
            <w:bookmarkStart w:id="137" w:name="_Toc110851478"/>
            <w:bookmarkStart w:id="138" w:name="_Toc1642510659"/>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6"/>
            <w:bookmarkEnd w:id="137"/>
            <w:bookmarkEnd w:id="1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1.仅限于中心城区范围内经营性停车设施；2.《条例》未涉及的停车设施经营单位应遵守的其它规定，依据《办法》第二十一条规定执行。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9" w:name="_Toc878395085"/>
            <w:bookmarkStart w:id="140" w:name="_Toc67594986"/>
            <w:bookmarkStart w:id="141" w:name="_Toc110851479"/>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39"/>
            <w:bookmarkEnd w:id="140"/>
            <w:bookmarkEnd w:id="1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2789"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5"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2789"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150" w:firstLineChars="100"/>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9" w:hRule="atLeast"/>
          <w:jc w:val="center"/>
        </w:trPr>
        <w:tc>
          <w:tcPr>
            <w:tcW w:w="940" w:type="dxa"/>
            <w:vMerge w:val="restart"/>
            <w:tcBorders>
              <w:top w:val="single" w:color="000000" w:sz="4" w:space="0"/>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500"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适应于非经营性非机车停车场。</w:t>
            </w:r>
          </w:p>
        </w:tc>
        <w:tc>
          <w:tcPr>
            <w:tcW w:w="82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7" w:hRule="atLeast"/>
          <w:jc w:val="center"/>
        </w:trPr>
        <w:tc>
          <w:tcPr>
            <w:tcW w:w="940" w:type="dxa"/>
            <w:vMerge w:val="continue"/>
            <w:tcBorders>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1" w:hRule="atLeast"/>
          <w:jc w:val="center"/>
        </w:trPr>
        <w:tc>
          <w:tcPr>
            <w:tcW w:w="940" w:type="dxa"/>
            <w:vMerge w:val="continue"/>
            <w:tcBorders>
              <w:left w:val="single" w:color="000000" w:sz="4" w:space="0"/>
              <w:bottom w:val="single" w:color="auto"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5"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按照《北京市非机动车管理条例》进行查处。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4"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1"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c>
          <w:tcPr>
            <w:tcW w:w="824"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5"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tc>
        <w:tc>
          <w:tcPr>
            <w:tcW w:w="824"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42" w:name="_Toc2072679585"/>
            <w:bookmarkStart w:id="143" w:name="_Toc1549181582"/>
            <w:bookmarkStart w:id="144" w:name="_Toc110851480"/>
            <w:r>
              <w:rPr>
                <w:rFonts w:hint="eastAsia" w:ascii="黑体" w:hAnsi="黑体" w:eastAsia="黑体"/>
                <w:b w:val="0"/>
                <w:color w:val="auto"/>
                <w:sz w:val="36"/>
                <w:szCs w:val="36"/>
                <w:highlight w:val="none"/>
              </w:rPr>
              <w:t>交通运输管理方面</w:t>
            </w:r>
            <w:bookmarkEnd w:id="142"/>
            <w:bookmarkEnd w:id="143"/>
            <w:bookmarkEnd w:id="1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5" w:name="_Toc1833599949"/>
            <w:bookmarkStart w:id="146" w:name="_Toc110851481"/>
            <w:bookmarkStart w:id="147" w:name="_Toc192409684"/>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5"/>
            <w:bookmarkEnd w:id="146"/>
            <w:bookmarkEnd w:id="1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500" w:type="dxa"/>
            <w:shd w:val="clear" w:color="auto" w:fill="auto"/>
            <w:vAlign w:val="center"/>
          </w:tcPr>
          <w:p>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cs="宋体" w:asciiTheme="minorEastAsia" w:hAnsiTheme="minorEastAsia" w:eastAsiaTheme="minorEastAsia"/>
                <w:bCs/>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shd w:val="clear" w:color="auto" w:fill="auto"/>
            <w:vAlign w:val="center"/>
          </w:tcPr>
          <w:p>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街道</w:t>
            </w:r>
          </w:p>
          <w:p>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8" w:name="_Toc121789162"/>
            <w:bookmarkStart w:id="149" w:name="_Toc110851482"/>
            <w:bookmarkStart w:id="150" w:name="_Toc793120085"/>
            <w:r>
              <w:rPr>
                <w:rFonts w:hint="eastAsia" w:asciiTheme="minorEastAsia" w:hAnsiTheme="minorEastAsia" w:eastAsiaTheme="minorEastAsia"/>
                <w:color w:val="auto"/>
                <w:sz w:val="21"/>
                <w:szCs w:val="21"/>
                <w:highlight w:val="none"/>
              </w:rPr>
              <w:t>《北京市查处非法客运若干规定》案由2项</w:t>
            </w:r>
            <w:bookmarkEnd w:id="148"/>
            <w:bookmarkEnd w:id="149"/>
            <w:bookmarkEnd w:id="1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造成秩序混乱或者较大社会影响的，系数1-3。</w:t>
            </w: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cs="宋体" w:asciiTheme="minorEastAsia" w:hAnsiTheme="minorEastAsia" w:eastAsiaTheme="minorEastAsia"/>
                <w:bCs/>
                <w:color w:val="auto"/>
                <w:sz w:val="15"/>
                <w:szCs w:val="15"/>
                <w:highlight w:val="none"/>
              </w:rPr>
              <w:t>）</w:t>
            </w:r>
          </w:p>
        </w:tc>
        <w:tc>
          <w:tcPr>
            <w:tcW w:w="23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4"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51" w:name="_Toc110851483"/>
            <w:bookmarkStart w:id="152" w:name="_Toc360901343"/>
            <w:bookmarkStart w:id="153" w:name="_Toc734791251"/>
            <w:r>
              <w:rPr>
                <w:rFonts w:hint="eastAsia" w:ascii="黑体" w:hAnsi="黑体" w:eastAsia="黑体"/>
                <w:b w:val="0"/>
                <w:color w:val="auto"/>
                <w:sz w:val="36"/>
                <w:szCs w:val="36"/>
                <w:highlight w:val="none"/>
              </w:rPr>
              <w:t>市场监督管理（流动无照经营）方面</w:t>
            </w:r>
            <w:bookmarkEnd w:id="151"/>
            <w:bookmarkEnd w:id="152"/>
            <w:bookmarkEnd w:id="1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54" w:name="_Toc110851484"/>
            <w:bookmarkStart w:id="155" w:name="_Toc704954681"/>
            <w:bookmarkStart w:id="156" w:name="_Toc504994495"/>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54"/>
            <w:bookmarkEnd w:id="155"/>
            <w:bookmarkEnd w:id="1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75"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2789"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其它机动车、电动车为经营工具；经营违禁品；占用非机动车道或者其它公共场所面积较大；或者造成通行秩序、市容秩序混乱等无照经营情形，原则按照“摆摊设点”案由查处；需要给予500元以下较轻罚款的，说明理由，报案审会决定按照“无照经营”案由查处。</w:t>
            </w: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2789"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4"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500"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2789"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2304"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asciiTheme="minorEastAsia" w:hAnsiTheme="minorEastAsia" w:eastAsiaTheme="minorEastAsia"/>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需要给予其它处罚额度的，报案审会决定。</w:t>
            </w:r>
          </w:p>
          <w:p>
            <w:pPr>
              <w:spacing w:line="232" w:lineRule="exact"/>
              <w:contextualSpacing/>
              <w:rPr>
                <w:rFonts w:hint="eastAsia" w:asciiTheme="minorEastAsia" w:hAnsiTheme="minorEastAsia" w:eastAsiaTheme="minorEastAsia"/>
                <w:strike w:val="0"/>
                <w:dstrike w:val="0"/>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7" w:name="_Toc1070422418"/>
            <w:bookmarkStart w:id="158" w:name="_Toc110851485"/>
            <w:bookmarkStart w:id="159" w:name="_Toc1160691890"/>
            <w:r>
              <w:rPr>
                <w:rFonts w:hint="eastAsia" w:ascii="黑体" w:hAnsi="黑体" w:eastAsia="黑体"/>
                <w:b w:val="0"/>
                <w:color w:val="auto"/>
                <w:sz w:val="36"/>
                <w:szCs w:val="36"/>
                <w:highlight w:val="none"/>
              </w:rPr>
              <w:t>城市规划管理方面</w:t>
            </w:r>
            <w:bookmarkEnd w:id="157"/>
            <w:bookmarkEnd w:id="158"/>
            <w:bookmarkEnd w:id="1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60" w:name="_Toc187041735"/>
            <w:bookmarkStart w:id="161" w:name="_Toc110851486"/>
            <w:bookmarkStart w:id="162" w:name="_Toc961352188"/>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60"/>
            <w:bookmarkEnd w:id="161"/>
            <w:bookmarkEnd w:id="1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8569" w:type="dxa"/>
            <w:gridSpan w:val="5"/>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vMerge w:val="continue"/>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bottom w:val="single" w:color="auto" w:sz="4" w:space="0"/>
            </w:tcBorders>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tcBorders>
              <w:bottom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tcBorders>
              <w:bottom w:val="single" w:color="auto" w:sz="4" w:space="0"/>
            </w:tcBorders>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tcBorders>
              <w:bottom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shd w:val="clear" w:color="auto" w:fill="auto"/>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2789"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2"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63" w:name="_Toc331751861"/>
            <w:bookmarkStart w:id="164" w:name="_Toc250975437"/>
            <w:bookmarkStart w:id="165" w:name="_Toc110851487"/>
            <w:r>
              <w:rPr>
                <w:rFonts w:hint="eastAsia" w:ascii="黑体" w:hAnsi="黑体" w:eastAsia="黑体"/>
                <w:b w:val="0"/>
                <w:color w:val="auto"/>
                <w:sz w:val="36"/>
                <w:szCs w:val="36"/>
                <w:highlight w:val="none"/>
              </w:rPr>
              <w:t>旅游管理（黑导游）方面</w:t>
            </w:r>
            <w:bookmarkEnd w:id="163"/>
            <w:bookmarkEnd w:id="164"/>
            <w:bookmarkEnd w:id="1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6" w:name="_Toc363033362"/>
            <w:bookmarkStart w:id="167" w:name="_Toc103234006"/>
            <w:bookmarkStart w:id="168" w:name="_Toc110851488"/>
            <w:r>
              <w:rPr>
                <w:rFonts w:hint="eastAsia" w:asciiTheme="minorEastAsia" w:hAnsiTheme="minorEastAsia" w:eastAsiaTheme="minorEastAsia"/>
                <w:color w:val="auto"/>
                <w:sz w:val="21"/>
                <w:szCs w:val="21"/>
                <w:highlight w:val="none"/>
              </w:rPr>
              <w:t>《中华人民共和国旅游法》案由1项</w:t>
            </w:r>
            <w:bookmarkEnd w:id="166"/>
            <w:bookmarkEnd w:id="167"/>
            <w:bookmarkEnd w:id="1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在4A级景区，系数1；5A级景区，系数2。</w:t>
            </w:r>
          </w:p>
        </w:tc>
        <w:tc>
          <w:tcPr>
            <w:tcW w:w="1785" w:type="dxa"/>
            <w:shd w:val="clear" w:color="auto" w:fill="auto"/>
            <w:vAlign w:val="center"/>
          </w:tcPr>
          <w:p>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5"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36"/>
                <w:szCs w:val="36"/>
                <w:highlight w:val="none"/>
              </w:rPr>
            </w:pPr>
            <w:bookmarkStart w:id="169" w:name="_Toc1411480696"/>
            <w:bookmarkStart w:id="170" w:name="_Toc110851489"/>
            <w:bookmarkStart w:id="171" w:name="_Toc8089072"/>
            <w:r>
              <w:rPr>
                <w:rFonts w:hint="eastAsia" w:ascii="黑体" w:hAnsi="黑体" w:eastAsia="黑体"/>
                <w:b w:val="0"/>
                <w:color w:val="auto"/>
                <w:sz w:val="36"/>
                <w:szCs w:val="36"/>
                <w:highlight w:val="none"/>
              </w:rPr>
              <w:t>食品安全管理方面</w:t>
            </w:r>
            <w:bookmarkEnd w:id="169"/>
            <w:bookmarkEnd w:id="170"/>
            <w:bookmarkEnd w:id="17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2" w:name="_Toc948913247"/>
            <w:bookmarkStart w:id="173" w:name="_Toc2139524843"/>
            <w:bookmarkStart w:id="174" w:name="_Toc110851490"/>
            <w:r>
              <w:rPr>
                <w:rFonts w:hint="eastAsia" w:asciiTheme="minorEastAsia" w:hAnsiTheme="minorEastAsia" w:eastAsiaTheme="minorEastAsia"/>
                <w:color w:val="auto"/>
                <w:sz w:val="21"/>
                <w:szCs w:val="21"/>
                <w:highlight w:val="none"/>
              </w:rPr>
              <w:t>《北京市小规模食品生产经营管理规定》案由23项</w:t>
            </w:r>
            <w:bookmarkEnd w:id="172"/>
            <w:bookmarkEnd w:id="173"/>
            <w:bookmarkEnd w:id="1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备案载明的经营区域或经营时段的，系数</w:t>
            </w:r>
            <w:r>
              <w:rPr>
                <w:rFonts w:hint="eastAsia" w:cs="宋体" w:asciiTheme="minorEastAsia" w:hAnsiTheme="minorEastAsia" w:eastAsiaTheme="minorEastAsia"/>
                <w:color w:val="auto"/>
                <w:kern w:val="0"/>
                <w:sz w:val="15"/>
                <w:szCs w:val="15"/>
                <w:highlight w:val="none"/>
              </w:rPr>
              <w:t>为</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食品摊贩用非食品原料生产制作食品（在食品中添加食品添加剂以外的化学物质和其它可能危害人体健康的物质、用回收食品作为原料生产加工食品）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2789"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食品摊贩生产制作致病性微生物，农药残留、兽药残留、生物毒素、重金属等污染物质以及其它危害人体健康的物质含量超过食品安全标准限量的食品</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食品摊贩生产制作其它不符合食品安全标准的食品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为0.5；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区人民政府确定的不得经营的类别的，系数为</w:t>
            </w:r>
            <w:r>
              <w:rPr>
                <w:rFonts w:hint="eastAsia" w:asciiTheme="minorEastAsia" w:hAnsiTheme="minorEastAsia" w:eastAsiaTheme="minorEastAsia"/>
                <w:color w:val="auto"/>
                <w:sz w:val="15"/>
                <w:szCs w:val="15"/>
                <w:highlight w:val="none"/>
              </w:rPr>
              <w:t>0。</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标签的预包装食品，系数为2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不符合法律、法规规定的食品，系数为</w:t>
            </w:r>
            <w:r>
              <w:rPr>
                <w:rFonts w:hint="eastAsia" w:cs="宋体" w:asciiTheme="minorEastAsia" w:hAnsiTheme="minorEastAsia" w:eastAsiaTheme="minorEastAsia"/>
                <w:color w:val="auto"/>
                <w:kern w:val="0"/>
                <w:sz w:val="15"/>
                <w:szCs w:val="15"/>
                <w:highlight w:val="none"/>
              </w:rPr>
              <w:t>1。</w:t>
            </w: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75" w:name="_Toc41635676"/>
            <w:bookmarkStart w:id="176" w:name="_Toc110851491"/>
            <w:bookmarkStart w:id="177" w:name="_Toc995130248"/>
            <w:r>
              <w:rPr>
                <w:rFonts w:hint="eastAsia" w:ascii="黑体" w:hAnsi="黑体" w:eastAsia="黑体"/>
                <w:b w:val="0"/>
                <w:color w:val="auto"/>
                <w:sz w:val="36"/>
                <w:szCs w:val="36"/>
                <w:highlight w:val="none"/>
              </w:rPr>
              <w:t>能源运行管理方面</w:t>
            </w:r>
            <w:bookmarkEnd w:id="175"/>
            <w:bookmarkEnd w:id="176"/>
            <w:bookmarkEnd w:id="17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90" w:hRule="atLeast"/>
          <w:jc w:val="center"/>
        </w:trPr>
        <w:tc>
          <w:tcPr>
            <w:tcW w:w="14218" w:type="dxa"/>
            <w:gridSpan w:val="9"/>
            <w:shd w:val="clear" w:color="auto" w:fill="auto"/>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78" w:name="_Toc110851492"/>
            <w:bookmarkStart w:id="179" w:name="_Toc1430386737"/>
            <w:bookmarkStart w:id="180" w:name="_Toc1482088652"/>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78"/>
            <w:bookmarkEnd w:id="179"/>
            <w:bookmarkEnd w:id="1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18"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2789"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966"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2789"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其它额度处罚的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065"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2789" w:type="dxa"/>
            <w:shd w:val="clear" w:color="auto" w:fill="FFFFFF"/>
            <w:vAlign w:val="center"/>
          </w:tcPr>
          <w:p>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造成严重后果或者社会恶劣影响的，系数4。</w:t>
            </w:r>
          </w:p>
        </w:tc>
        <w:tc>
          <w:tcPr>
            <w:tcW w:w="1785"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423" w:hRule="atLeast"/>
          <w:jc w:val="center"/>
        </w:trPr>
        <w:tc>
          <w:tcPr>
            <w:tcW w:w="14218" w:type="dxa"/>
            <w:gridSpan w:val="9"/>
            <w:tcBorders>
              <w:bottom w:val="single" w:color="auto" w:sz="4" w:space="0"/>
            </w:tcBorders>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tcBorders>
              <w:bottom w:val="single" w:color="auto" w:sz="4" w:space="0"/>
            </w:tcBorders>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1" w:name="_Toc1283420232"/>
            <w:bookmarkStart w:id="182" w:name="_Toc1932982768"/>
            <w:bookmarkStart w:id="183" w:name="_Toc110851493"/>
            <w:r>
              <w:rPr>
                <w:rFonts w:hint="eastAsia" w:asciiTheme="minorEastAsia" w:hAnsiTheme="minorEastAsia" w:eastAsiaTheme="minorEastAsia"/>
                <w:color w:val="auto"/>
                <w:sz w:val="21"/>
                <w:szCs w:val="21"/>
                <w:highlight w:val="none"/>
              </w:rPr>
              <w:t>《中华人民共和国可再生能源法》案由2项</w:t>
            </w:r>
            <w:bookmarkEnd w:id="181"/>
            <w:bookmarkEnd w:id="182"/>
            <w:bookmarkEnd w:id="1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2"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2789"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993"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2789"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26" w:hRule="atLeast"/>
          <w:jc w:val="center"/>
        </w:trPr>
        <w:tc>
          <w:tcPr>
            <w:tcW w:w="14218" w:type="dxa"/>
            <w:gridSpan w:val="9"/>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电力管理类案由12项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58" w:hRule="atLeast"/>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84" w:name="_Toc2142516953"/>
            <w:bookmarkStart w:id="185" w:name="_Toc110851494"/>
            <w:bookmarkStart w:id="186" w:name="_Toc503113588"/>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84"/>
            <w:bookmarkEnd w:id="185"/>
            <w:bookmarkEnd w:id="18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01"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2789"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p>
        </w:tc>
        <w:tc>
          <w:tcPr>
            <w:tcW w:w="17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546"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FFFFFF"/>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1.使用1台（套）应当淘汰的危及生产安全的设备或者1种工艺逾期未改正的，处5万元以上10万元以下的罚款，对其直接负责的主管人员和其他直接责任人员处1万元以上2万元以下的罚款；</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2.使用2台（套）应当淘汰的危及生产安全的设备或者2种工艺逾期未改正的，处10万元以上15万元以下的罚款，对其直接负责的主管人员和其他直接责任人员处1万元以上2万元以下的罚款；</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3.使用3台（套）以上应当淘汰的危及生产安全的设备或者3种以上工艺逾期未改正的，处15万元以上20万元以下的罚款，对其直接负责的主管人员和其他直接责任人员处1万元以上2万元以下的罚款。</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4.逾期未改正，经责令仍拒不改正的，可予以责令停产停业整顿。</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2789"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未经许可从事电力供应业务，系数2。</w:t>
            </w:r>
          </w:p>
        </w:tc>
        <w:tc>
          <w:tcPr>
            <w:tcW w:w="1785"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79"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w:t>
            </w:r>
            <w:r>
              <w:rPr>
                <w:rFonts w:hint="eastAsia" w:asciiTheme="minorEastAsia" w:hAnsiTheme="minorEastAsia" w:eastAsiaTheme="minorEastAsia"/>
                <w:color w:val="FF0000"/>
                <w:sz w:val="15"/>
                <w:szCs w:val="15"/>
                <w:highlight w:val="none"/>
              </w:rPr>
              <w:t>第</w:t>
            </w:r>
            <w:r>
              <w:rPr>
                <w:rFonts w:hint="eastAsia" w:asciiTheme="minorEastAsia" w:hAnsiTheme="minorEastAsia" w:eastAsiaTheme="minorEastAsia"/>
                <w:color w:val="FF0000"/>
                <w:sz w:val="15"/>
                <w:szCs w:val="15"/>
                <w:highlight w:val="none"/>
                <w:lang w:eastAsia="zh-CN"/>
              </w:rPr>
              <w:t>十九</w:t>
            </w:r>
            <w:r>
              <w:rPr>
                <w:rFonts w:hint="eastAsia" w:asciiTheme="minorEastAsia" w:hAnsiTheme="minorEastAsia" w:eastAsiaTheme="minorEastAsia"/>
                <w:color w:val="FF0000"/>
                <w:sz w:val="15"/>
                <w:szCs w:val="15"/>
                <w:highlight w:val="none"/>
              </w:rPr>
              <w:t>条</w:t>
            </w:r>
            <w:r>
              <w:rPr>
                <w:rFonts w:hint="eastAsia" w:asciiTheme="minorEastAsia" w:hAnsiTheme="minorEastAsia" w:eastAsiaTheme="minorEastAsia"/>
                <w:color w:val="auto"/>
                <w:sz w:val="15"/>
                <w:szCs w:val="15"/>
                <w:highlight w:val="none"/>
              </w:rPr>
              <w:t>相关规定。</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47"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2789"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p>
        </w:tc>
        <w:tc>
          <w:tcPr>
            <w:tcW w:w="17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72"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89" w:type="dxa"/>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违反条款：《电力供应与使用条例》第三十一条第（一）（二）（三）（四）（五）（六）项；处罚条款：第四十一条，责令停止违法行为，追缴电费并处应交电费５倍以下的罚款。</w:t>
            </w:r>
          </w:p>
        </w:tc>
        <w:tc>
          <w:tcPr>
            <w:tcW w:w="851"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2304"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785"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385" w:type="dxa"/>
            <w:vMerge w:val="continue"/>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412" w:hRule="atLeast"/>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87" w:name="_Toc348249845"/>
            <w:bookmarkStart w:id="188" w:name="_Toc409668775"/>
            <w:bookmarkStart w:id="189" w:name="_Toc110851495"/>
            <w:r>
              <w:rPr>
                <w:rFonts w:hint="eastAsia" w:asciiTheme="minorEastAsia" w:hAnsiTheme="minorEastAsia" w:eastAsiaTheme="minorEastAsia"/>
                <w:color w:val="auto"/>
                <w:sz w:val="21"/>
                <w:szCs w:val="21"/>
                <w:highlight w:val="none"/>
              </w:rPr>
              <w:t>《电力设施保护条例》《电力设施保护条例实施细则》案由5项</w:t>
            </w:r>
            <w:bookmarkEnd w:id="187"/>
            <w:bookmarkEnd w:id="188"/>
            <w:bookmarkEnd w:id="1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500"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2789"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处罚条款：第二十七条，责令改正；拒不改正的，处１万元以下的罚款。</w:t>
            </w:r>
          </w:p>
        </w:tc>
        <w:tc>
          <w:tcPr>
            <w:tcW w:w="851"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4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2789"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pStyle w:val="22"/>
              <w:ind w:left="0" w:leftChars="0" w:firstLine="0" w:firstLineChars="0"/>
              <w:rPr>
                <w:color w:val="auto"/>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9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2789"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1.造成电能损失较大或者设施损坏的，系数2-3；2.造成事故的，系数4。</w:t>
            </w: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3"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2789"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p>
        </w:tc>
        <w:tc>
          <w:tcPr>
            <w:tcW w:w="1785"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2789" w:type="dxa"/>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p>
        </w:tc>
        <w:tc>
          <w:tcPr>
            <w:tcW w:w="1785"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tcBorders>
              <w:bottom w:val="single" w:color="auto" w:sz="4" w:space="0"/>
            </w:tcBorders>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674" w:hRule="atLeast"/>
          <w:jc w:val="center"/>
        </w:trPr>
        <w:tc>
          <w:tcPr>
            <w:tcW w:w="14218" w:type="dxa"/>
            <w:gridSpan w:val="9"/>
            <w:tcBorders>
              <w:bottom w:val="single" w:color="auto" w:sz="4" w:space="0"/>
            </w:tcBorders>
            <w:shd w:val="clear" w:color="auto" w:fill="FFFFFF"/>
            <w:vAlign w:val="center"/>
          </w:tcPr>
          <w:p>
            <w:pPr>
              <w:pStyle w:val="3"/>
              <w:bidi w:val="0"/>
              <w:jc w:val="center"/>
              <w:rPr>
                <w:rFonts w:hint="default"/>
                <w:lang w:val="en-US" w:eastAsia="zh-CN"/>
              </w:rPr>
            </w:pPr>
            <w:bookmarkStart w:id="190" w:name="_Toc1958487226"/>
            <w:r>
              <w:rPr>
                <w:rFonts w:hint="eastAsia"/>
                <w:sz w:val="21"/>
                <w:szCs w:val="21"/>
                <w:lang w:val="en-US" w:eastAsia="zh-CN"/>
              </w:rPr>
              <w:t>《北京市优化营商环境条例》案由1项</w:t>
            </w:r>
            <w:bookmarkEnd w:id="1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pPr>
              <w:pStyle w:val="8"/>
              <w:jc w:val="center"/>
              <w:rPr>
                <w:rFonts w:hint="eastAsia" w:eastAsia="仿宋_GB2312"/>
                <w:sz w:val="15"/>
                <w:szCs w:val="15"/>
                <w:lang w:val="en-US" w:eastAsia="zh-CN"/>
              </w:rPr>
            </w:pPr>
            <w:r>
              <w:rPr>
                <w:rFonts w:hint="eastAsia"/>
                <w:sz w:val="15"/>
                <w:szCs w:val="15"/>
                <w:lang w:val="en-US" w:eastAsia="zh-CN"/>
              </w:rPr>
              <w:t>1</w:t>
            </w:r>
          </w:p>
        </w:tc>
        <w:tc>
          <w:tcPr>
            <w:tcW w:w="1500" w:type="dxa"/>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供电企业供电可靠率低于国家有关规定</w:t>
            </w:r>
          </w:p>
        </w:tc>
        <w:tc>
          <w:tcPr>
            <w:tcW w:w="2789" w:type="dxa"/>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违反</w:t>
            </w:r>
            <w:r>
              <w:rPr>
                <w:rStyle w:val="62"/>
                <w:rFonts w:hint="eastAsia" w:asciiTheme="minorEastAsia" w:hAnsiTheme="minorEastAsia" w:eastAsiaTheme="minorEastAsia" w:cstheme="minorEastAsia"/>
                <w:sz w:val="15"/>
                <w:szCs w:val="15"/>
                <w:lang w:val="en-US" w:eastAsia="zh-CN" w:bidi="ar"/>
              </w:rPr>
              <w:t>条款、处罚条款：第四十三条 供电企业应当保障供电设施的正常、稳定运行，确保供电质量符合国家规定。市城市管理部门应当加强对供电企业年供电可靠率的监督，对低于国家有关规定的，责令改正，可以处五万元以上五十万元以下罚款。</w:t>
            </w:r>
          </w:p>
        </w:tc>
        <w:tc>
          <w:tcPr>
            <w:tcW w:w="5780" w:type="dxa"/>
            <w:gridSpan w:val="4"/>
            <w:tcBorders>
              <w:bottom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lang w:eastAsia="zh-CN"/>
              </w:rPr>
            </w:pPr>
            <w:r>
              <w:rPr>
                <w:rFonts w:hint="eastAsia" w:asciiTheme="majorEastAsia" w:hAnsiTheme="majorEastAsia" w:eastAsiaTheme="majorEastAsia" w:cstheme="majorEastAsia"/>
                <w:sz w:val="15"/>
                <w:szCs w:val="15"/>
                <w:lang w:eastAsia="zh-CN"/>
              </w:rPr>
              <w:t>《北京市城市管理委员会关于修订</w:t>
            </w:r>
            <w:r>
              <w:rPr>
                <w:rFonts w:hint="default" w:asciiTheme="majorEastAsia" w:hAnsiTheme="majorEastAsia" w:eastAsiaTheme="majorEastAsia" w:cstheme="majorEastAsia"/>
                <w:sz w:val="15"/>
                <w:szCs w:val="15"/>
                <w:lang w:val="en-US" w:eastAsia="zh-CN"/>
              </w:rPr>
              <w:t>&lt;</w:t>
            </w:r>
            <w:r>
              <w:rPr>
                <w:rFonts w:hint="eastAsia" w:asciiTheme="majorEastAsia" w:hAnsiTheme="majorEastAsia" w:eastAsiaTheme="majorEastAsia" w:cstheme="majorEastAsia"/>
                <w:sz w:val="15"/>
                <w:szCs w:val="15"/>
                <w:lang w:eastAsia="zh-CN"/>
              </w:rPr>
              <w:t>北京电网供电可靠性管制工作细则（试行）</w:t>
            </w:r>
            <w:r>
              <w:rPr>
                <w:rFonts w:hint="default" w:asciiTheme="majorEastAsia" w:hAnsiTheme="majorEastAsia" w:eastAsiaTheme="majorEastAsia" w:cstheme="majorEastAsia"/>
                <w:sz w:val="15"/>
                <w:szCs w:val="15"/>
                <w:lang w:val="en-US" w:eastAsia="zh-CN"/>
              </w:rPr>
              <w:t>&gt;</w:t>
            </w:r>
            <w:r>
              <w:rPr>
                <w:rFonts w:hint="eastAsia" w:asciiTheme="majorEastAsia" w:hAnsiTheme="majorEastAsia" w:eastAsiaTheme="majorEastAsia" w:cstheme="majorEastAsia"/>
                <w:sz w:val="15"/>
                <w:szCs w:val="15"/>
                <w:lang w:eastAsia="zh-CN"/>
              </w:rPr>
              <w:t>的通知》</w:t>
            </w:r>
            <w:r>
              <w:rPr>
                <w:rFonts w:hint="default" w:asciiTheme="majorEastAsia" w:hAnsiTheme="majorEastAsia" w:eastAsiaTheme="majorEastAsia" w:cstheme="majorEastAsia"/>
                <w:sz w:val="15"/>
                <w:szCs w:val="15"/>
                <w:lang w:val="en-US" w:eastAsia="zh-CN"/>
              </w:rPr>
              <w:t xml:space="preserve">  </w:t>
            </w:r>
            <w:r>
              <w:rPr>
                <w:rFonts w:hint="eastAsia" w:asciiTheme="majorEastAsia" w:hAnsiTheme="majorEastAsia" w:eastAsiaTheme="majorEastAsia" w:cstheme="majorEastAsia"/>
                <w:sz w:val="15"/>
                <w:szCs w:val="15"/>
              </w:rPr>
              <w:t>城市电网年供电可靠率（ASAI）</w:t>
            </w:r>
            <w:r>
              <w:rPr>
                <w:rFonts w:hint="eastAsia" w:asciiTheme="majorEastAsia" w:hAnsiTheme="majorEastAsia" w:eastAsiaTheme="majorEastAsia" w:cstheme="majorEastAsia"/>
                <w:sz w:val="15"/>
                <w:szCs w:val="15"/>
                <w:lang w:eastAsia="zh-CN"/>
              </w:rPr>
              <w:t>应</w:t>
            </w:r>
            <w:r>
              <w:rPr>
                <w:rFonts w:hint="eastAsia" w:asciiTheme="majorEastAsia" w:hAnsiTheme="majorEastAsia" w:eastAsiaTheme="majorEastAsia" w:cstheme="majorEastAsia"/>
                <w:sz w:val="15"/>
                <w:szCs w:val="15"/>
              </w:rPr>
              <w:t>高于99%（含99%），且较上年变化率在-0.002至0.002个百分点之间（含）</w:t>
            </w:r>
            <w:r>
              <w:rPr>
                <w:rFonts w:hint="eastAsia" w:asciiTheme="majorEastAsia" w:hAnsiTheme="majorEastAsia" w:eastAsiaTheme="majorEastAsia" w:cstheme="majorEastAsia"/>
                <w:sz w:val="15"/>
                <w:szCs w:val="15"/>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rPr>
            </w:pPr>
            <w:r>
              <w:rPr>
                <w:rFonts w:hint="eastAsia" w:asciiTheme="majorEastAsia" w:hAnsiTheme="majorEastAsia" w:eastAsiaTheme="majorEastAsia" w:cstheme="majorEastAsia"/>
                <w:sz w:val="15"/>
                <w:szCs w:val="15"/>
                <w:lang w:val="en-US" w:eastAsia="zh-CN"/>
              </w:rPr>
              <w:t>1.</w:t>
            </w:r>
            <w:r>
              <w:rPr>
                <w:rFonts w:hint="eastAsia" w:asciiTheme="majorEastAsia" w:hAnsiTheme="majorEastAsia" w:eastAsiaTheme="majorEastAsia" w:cstheme="majorEastAsia"/>
                <w:sz w:val="15"/>
                <w:szCs w:val="15"/>
              </w:rPr>
              <w:t>城市电网年供电可靠率（ASAI）低于上年0.002至0.004个百分点（含0.004），处罚5万元。</w:t>
            </w:r>
          </w:p>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rPr>
            </w:pPr>
            <w:r>
              <w:rPr>
                <w:rFonts w:hint="eastAsia" w:asciiTheme="majorEastAsia" w:hAnsiTheme="majorEastAsia" w:eastAsiaTheme="majorEastAsia" w:cstheme="majorEastAsia"/>
                <w:sz w:val="15"/>
                <w:szCs w:val="15"/>
                <w:lang w:val="en-US" w:eastAsia="zh-CN"/>
              </w:rPr>
              <w:t>2.</w:t>
            </w:r>
            <w:r>
              <w:rPr>
                <w:rFonts w:hint="eastAsia" w:asciiTheme="majorEastAsia" w:hAnsiTheme="majorEastAsia" w:eastAsiaTheme="majorEastAsia" w:cstheme="majorEastAsia"/>
                <w:sz w:val="15"/>
                <w:szCs w:val="15"/>
              </w:rPr>
              <w:t>城市电网年供电可靠率（ASAI）低于上年0.004至0.006个百分点（含0.006），处罚20万元。</w:t>
            </w:r>
          </w:p>
          <w:p>
            <w:pPr>
              <w:spacing w:line="232" w:lineRule="exact"/>
              <w:ind w:firstLine="300" w:firstLineChars="200"/>
              <w:rPr>
                <w:rFonts w:hint="eastAsia" w:asciiTheme="minorEastAsia" w:hAnsiTheme="minorEastAsia" w:eastAsiaTheme="minorEastAsia"/>
                <w:color w:val="auto"/>
                <w:sz w:val="15"/>
                <w:szCs w:val="15"/>
                <w:highlight w:val="none"/>
              </w:rPr>
            </w:pPr>
            <w:r>
              <w:rPr>
                <w:rFonts w:hint="eastAsia" w:asciiTheme="majorEastAsia" w:hAnsiTheme="majorEastAsia" w:eastAsiaTheme="majorEastAsia" w:cstheme="majorEastAsia"/>
                <w:sz w:val="15"/>
                <w:szCs w:val="15"/>
                <w:lang w:val="en-US" w:eastAsia="zh-CN"/>
              </w:rPr>
              <w:t>3.</w:t>
            </w:r>
            <w:r>
              <w:rPr>
                <w:rFonts w:hint="eastAsia" w:asciiTheme="majorEastAsia" w:hAnsiTheme="majorEastAsia" w:eastAsiaTheme="majorEastAsia" w:cstheme="majorEastAsia"/>
                <w:sz w:val="15"/>
                <w:szCs w:val="15"/>
              </w:rPr>
              <w:t>城市电网年供电可靠率（ASAI）低于99%，或低于上年0.006个百分点以上，处罚50万元。</w:t>
            </w:r>
          </w:p>
        </w:tc>
        <w:tc>
          <w:tcPr>
            <w:tcW w:w="2385" w:type="dxa"/>
            <w:tcBorders>
              <w:bottom w:val="single" w:color="auto" w:sz="4" w:space="0"/>
            </w:tcBorders>
            <w:shd w:val="clear" w:color="auto" w:fill="FFFFFF"/>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Theme="minorEastAsia" w:hAnsiTheme="minorEastAsia" w:eastAsiaTheme="minorEastAsia"/>
                <w:color w:val="auto"/>
                <w:sz w:val="15"/>
                <w:szCs w:val="15"/>
                <w:highlight w:val="none"/>
              </w:rPr>
            </w:pPr>
          </w:p>
        </w:tc>
        <w:tc>
          <w:tcPr>
            <w:tcW w:w="824" w:type="dxa"/>
            <w:tcBorders>
              <w:bottom w:val="single" w:color="auto" w:sz="4" w:space="0"/>
            </w:tcBorders>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5229" w:type="dxa"/>
            <w:gridSpan w:val="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tLeast"/>
              <w:jc w:val="center"/>
              <w:textAlignment w:val="auto"/>
              <w:rPr>
                <w:rFonts w:asciiTheme="minorEastAsia" w:hAnsiTheme="minorEastAsia" w:eastAsiaTheme="minorEastAsia"/>
                <w:color w:val="auto"/>
                <w:sz w:val="21"/>
                <w:szCs w:val="21"/>
                <w:highlight w:val="none"/>
              </w:rPr>
            </w:pPr>
            <w:bookmarkStart w:id="191" w:name="_Toc1490732698"/>
            <w:bookmarkStart w:id="192" w:name="_Toc110851497"/>
            <w:bookmarkStart w:id="193" w:name="_Toc1180300814"/>
            <w:r>
              <w:rPr>
                <w:rFonts w:hint="eastAsia" w:asciiTheme="minorEastAsia" w:hAnsiTheme="minorEastAsia" w:eastAsiaTheme="minorEastAsia"/>
                <w:color w:val="auto"/>
                <w:sz w:val="21"/>
                <w:szCs w:val="21"/>
                <w:highlight w:val="none"/>
              </w:rPr>
              <w:t>《中华人民共和国石油天然气管道保护法》</w:t>
            </w:r>
            <w:bookmarkEnd w:id="191"/>
            <w:bookmarkEnd w:id="192"/>
            <w:bookmarkStart w:id="194" w:name="_Toc63324556"/>
            <w:bookmarkStart w:id="195" w:name="_Toc110851498"/>
            <w:r>
              <w:rPr>
                <w:rFonts w:hint="eastAsia" w:asciiTheme="minorEastAsia" w:hAnsiTheme="minorEastAsia" w:eastAsiaTheme="minorEastAsia"/>
                <w:color w:val="auto"/>
                <w:sz w:val="21"/>
                <w:szCs w:val="21"/>
                <w:highlight w:val="none"/>
              </w:rPr>
              <w:t>案由22项</w:t>
            </w:r>
            <w:bookmarkEnd w:id="193"/>
            <w:bookmarkEnd w:id="194"/>
            <w:bookmarkEnd w:id="195"/>
          </w:p>
        </w:tc>
        <w:tc>
          <w:tcPr>
            <w:tcW w:w="8989" w:type="dxa"/>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（注：不含东城、西城、平谷、天安门）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618"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未依法对管道进行巡护、检测和维修</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1.未建立巡护制度的，系数2；2.未配备专人进行日常巡护的，系数2；3.未定期对管道风险比较大的区段和场所进行重点监测采取有效措施的，系数2；4.造成事故或者其它严重后果的，系数4。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2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1.未采取任何措施继续使用，存在较大隐患的，系数2-3；2.造成事故或者其它严重后果的，系数4。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3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spacing w:val="-3"/>
                <w:kern w:val="0"/>
                <w:sz w:val="15"/>
                <w:szCs w:val="15"/>
                <w:highlight w:val="none"/>
              </w:rPr>
            </w:pPr>
            <w:r>
              <w:rPr>
                <w:rFonts w:hint="eastAsia" w:cs="宋体" w:asciiTheme="minorEastAsia" w:hAnsiTheme="minorEastAsia" w:eastAsiaTheme="minorEastAsia"/>
                <w:color w:val="auto"/>
                <w:spacing w:val="-3"/>
                <w:kern w:val="0"/>
                <w:sz w:val="15"/>
                <w:szCs w:val="15"/>
                <w:highlight w:val="none"/>
              </w:rPr>
              <w:t>1.未依法设置或者未修复更新，存在较大隐患的，系数1-3；2.造成事故或者其它严重后果的，系数4。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5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1.未报送备案，逾期6-10日，系数1，逾期11-15日，系数2，以此类推；2.造成事故或者其它严重后果的，系数4。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4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2789" w:type="dxa"/>
            <w:shd w:val="clear" w:color="auto" w:fill="auto"/>
            <w:vAlign w:val="center"/>
          </w:tcPr>
          <w:p>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1.未制定预案的，系数2；2.造成事故或者其它严重后果的，系数4。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05"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2789"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1.启动应急预案迟缓的，系数2；2.措施明显失当的，系数2；3.造成事故危害扩大的，系数4。</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9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2789"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1.未采取任何安全防护措施的，系数2；2.致使事故或者其它严重后果的，系数4。</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692"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946"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51"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9"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86"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87"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15"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在管道线路中心线两侧各五米地域范围内挖塘、修渠、修晒场、修建水产养殖场、建温室、建家畜棚圈、建房以及修建其它建筑物、构筑物</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40"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7"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32"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73"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06"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16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634" w:hRule="atLeast"/>
          <w:jc w:val="center"/>
        </w:trPr>
        <w:tc>
          <w:tcPr>
            <w:tcW w:w="940" w:type="dxa"/>
            <w:tcBorders>
              <w:bottom w:val="single" w:color="auto" w:sz="4" w:space="0"/>
            </w:tcBorders>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7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882"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3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66"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5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bl>
    <w:p/>
    <w:tbl>
      <w:tblPr>
        <w:tblStyle w:val="23"/>
        <w:tblW w:w="14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99"/>
        <w:gridCol w:w="441"/>
        <w:gridCol w:w="489"/>
        <w:gridCol w:w="1011"/>
        <w:gridCol w:w="696"/>
        <w:gridCol w:w="2093"/>
        <w:gridCol w:w="1345"/>
        <w:gridCol w:w="2490"/>
        <w:gridCol w:w="1949"/>
        <w:gridCol w:w="2"/>
        <w:gridCol w:w="697"/>
        <w:gridCol w:w="697"/>
        <w:gridCol w:w="712"/>
        <w:gridCol w:w="148"/>
        <w:gridCol w:w="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trPr>
        <w:tc>
          <w:tcPr>
            <w:tcW w:w="14329" w:type="dxa"/>
            <w:gridSpan w:val="15"/>
            <w:noWrap w:val="0"/>
            <w:vAlign w:val="center"/>
          </w:tcPr>
          <w:p>
            <w:pPr>
              <w:pStyle w:val="2"/>
              <w:bidi w:val="0"/>
              <w:rPr>
                <w:rFonts w:hint="eastAsia"/>
                <w:sz w:val="21"/>
                <w:szCs w:val="21"/>
              </w:rPr>
            </w:pPr>
            <w:bookmarkStart w:id="196" w:name="_Toc1437339030"/>
            <w:bookmarkStart w:id="197" w:name="_Toc1953583257"/>
            <w:bookmarkStart w:id="198" w:name="_Toc341845612"/>
            <w:bookmarkStart w:id="199" w:name="_Toc110851502"/>
            <w:bookmarkStart w:id="200" w:name="_Toc1528064169"/>
            <w:r>
              <w:rPr>
                <w:rFonts w:hint="eastAsia"/>
                <w:sz w:val="21"/>
                <w:szCs w:val="21"/>
              </w:rPr>
              <w:t>生态环境管理方面</w:t>
            </w:r>
            <w:bookmarkEnd w:id="196"/>
            <w:r>
              <w:rPr>
                <w:rFonts w:hint="eastAsia"/>
                <w:sz w:val="21"/>
                <w:szCs w:val="21"/>
                <w:lang w:val="en-US" w:eastAsia="zh-CN"/>
              </w:rPr>
              <w:t>2</w:t>
            </w:r>
            <w:r>
              <w:rPr>
                <w:rFonts w:hint="eastAsia"/>
                <w:sz w:val="21"/>
                <w:szCs w:val="21"/>
              </w:rPr>
              <w:t>项</w:t>
            </w:r>
            <w:bookmarkEnd w:id="197"/>
            <w:bookmarkEnd w:id="198"/>
            <w:bookmarkEnd w:id="199"/>
            <w:bookmarkEnd w:id="200"/>
          </w:p>
          <w:p>
            <w:pPr>
              <w:jc w:val="center"/>
              <w:rPr>
                <w:rFonts w:hint="eastAsia" w:asciiTheme="minorEastAsia" w:hAnsiTheme="minorEastAsia" w:eastAsiaTheme="minorEastAsia" w:cstheme="minorEastAsia"/>
                <w:b/>
                <w:bCs/>
                <w:sz w:val="21"/>
                <w:szCs w:val="21"/>
              </w:rPr>
            </w:pPr>
          </w:p>
          <w:p>
            <w:pPr>
              <w:rPr>
                <w:rFonts w:hint="eastAsia" w:eastAsia="宋体"/>
                <w:lang w:val="en-US" w:eastAsia="zh-CN"/>
              </w:rPr>
            </w:pPr>
            <w:r>
              <w:rPr>
                <w:rFonts w:hint="eastAsia" w:asciiTheme="minorEastAsia" w:hAnsiTheme="minorEastAsia" w:eastAsiaTheme="minorEastAsia" w:cstheme="minorEastAsia"/>
                <w:lang w:val="en-US" w:eastAsia="zh-CN"/>
              </w:rPr>
              <w:t>《北京市生态环境局关于印发&lt;北京市生态环境行政处罚裁量权基准（2023年版）&gt;的通知》（京环发〔2023〕15号）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4"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1</w:t>
            </w:r>
          </w:p>
        </w:tc>
        <w:tc>
          <w:tcPr>
            <w:tcW w:w="1500" w:type="dxa"/>
            <w:gridSpan w:val="2"/>
            <w:noWrap w:val="0"/>
            <w:vAlign w:val="center"/>
          </w:tcPr>
          <w:p>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不使用清洁能源</w:t>
            </w:r>
          </w:p>
        </w:tc>
        <w:tc>
          <w:tcPr>
            <w:tcW w:w="2789" w:type="dxa"/>
            <w:gridSpan w:val="2"/>
            <w:noWrap w:val="0"/>
            <w:vAlign w:val="center"/>
          </w:tcPr>
          <w:p>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《北京市大气污染防治条例》违反条款：第五十三条第三款；处罚条款：第一百零三条第二款，责令限期改正，处一万元以上十万元以下罚款。</w:t>
            </w:r>
          </w:p>
        </w:tc>
        <w:tc>
          <w:tcPr>
            <w:tcW w:w="5784" w:type="dxa"/>
            <w:gridSpan w:val="3"/>
            <w:noWrap w:val="0"/>
            <w:vAlign w:val="center"/>
          </w:tcPr>
          <w:p>
            <w:pPr>
              <w:spacing w:line="232" w:lineRule="exact"/>
              <w:rPr>
                <w:rFonts w:ascii="宋体" w:hAnsi="宋体" w:eastAsia="宋体" w:cs="仿宋_GB2312"/>
                <w:kern w:val="0"/>
                <w:sz w:val="15"/>
                <w:szCs w:val="15"/>
              </w:rPr>
            </w:pPr>
            <w:r>
              <w:rPr>
                <w:rFonts w:hint="eastAsia" w:ascii="宋体" w:hAnsi="宋体" w:eastAsia="宋体" w:cs="仿宋_GB2312"/>
                <w:kern w:val="0"/>
                <w:sz w:val="15"/>
                <w:szCs w:val="15"/>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0"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2</w:t>
            </w:r>
          </w:p>
        </w:tc>
        <w:tc>
          <w:tcPr>
            <w:tcW w:w="1500"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工业企业不能密闭的易产生扬尘的物料，未设置不低于堆放物高度的严密围挡，或者未采取有效覆盖措施防治扬尘污染</w:t>
            </w:r>
          </w:p>
        </w:tc>
        <w:tc>
          <w:tcPr>
            <w:tcW w:w="2789"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《北京市大气污染防治条例》违反条款：第八十二条第一款；处罚条款：第一百二十条，责令改正，处一万元以上十万元以下罚款；拒不改正的，责令停工整治或者停业整治。</w:t>
            </w:r>
          </w:p>
        </w:tc>
        <w:tc>
          <w:tcPr>
            <w:tcW w:w="5784" w:type="dxa"/>
            <w:gridSpan w:val="3"/>
            <w:noWrap w:val="0"/>
            <w:vAlign w:val="center"/>
          </w:tcPr>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未密闭贮存易产生扬尘的物料，</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pPr>
              <w:pStyle w:val="22"/>
              <w:spacing w:after="0" w:line="232" w:lineRule="exact"/>
              <w:ind w:left="0" w:leftChars="0" w:firstLine="0" w:firstLineChars="0"/>
              <w:textAlignment w:val="center"/>
              <w:rPr>
                <w:rFonts w:ascii="宋体" w:hAnsi="宋体" w:eastAsia="宋体" w:cs="仿宋_GB2312"/>
                <w:sz w:val="15"/>
                <w:szCs w:val="15"/>
              </w:rPr>
            </w:pPr>
            <w:r>
              <w:rPr>
                <w:rFonts w:hint="eastAsia" w:ascii="宋体" w:hAnsi="宋体" w:eastAsia="宋体" w:cs="仿宋_GB2312"/>
                <w:sz w:val="15"/>
                <w:szCs w:val="15"/>
              </w:rPr>
              <w:t>未设置严密围挡，或未采取有效覆盖措施防治扬尘，</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pPr>
              <w:pStyle w:val="22"/>
              <w:spacing w:after="0" w:line="232" w:lineRule="exact"/>
              <w:ind w:left="0" w:leftChars="0" w:firstLine="0" w:firstLineChars="0"/>
              <w:textAlignment w:val="center"/>
              <w:rPr>
                <w:rFonts w:ascii="宋体" w:hAnsi="宋体" w:eastAsia="宋体"/>
                <w:sz w:val="15"/>
                <w:szCs w:val="15"/>
              </w:rPr>
            </w:pPr>
            <w:r>
              <w:rPr>
                <w:rFonts w:hint="eastAsia" w:ascii="宋体" w:hAnsi="宋体" w:eastAsia="宋体" w:cs="仿宋_GB2312"/>
                <w:color w:val="000000"/>
                <w:kern w:val="0"/>
                <w:sz w:val="15"/>
                <w:szCs w:val="15"/>
                <w:lang w:bidi="ar"/>
              </w:rPr>
              <w:t>拒不改正的，责令停工整治或者停业整治。</w:t>
            </w:r>
          </w:p>
        </w:tc>
        <w:tc>
          <w:tcPr>
            <w:tcW w:w="2108" w:type="dxa"/>
            <w:gridSpan w:val="4"/>
            <w:noWrap w:val="0"/>
            <w:vAlign w:val="center"/>
          </w:tcPr>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可以从重处罚的情形</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1．两年内因同类环境违法行为被处罚3次（含3次）以上的；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2．重污染天气预警期间超标排放大气污染物的；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3．在案件查处中对执法人员进行威胁、辱骂、殴打、恐吓或者打击报复的；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4．环境违法行为造成跨行政区域环境污染的；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5．环境违法行为引起不良社会反响的；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6．其他具有从重情节的。</w:t>
            </w: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trPr>
        <w:tc>
          <w:tcPr>
            <w:tcW w:w="14329" w:type="dxa"/>
            <w:gridSpan w:val="15"/>
            <w:noWrap w:val="0"/>
            <w:vAlign w:val="center"/>
          </w:tcPr>
          <w:p>
            <w:pPr>
              <w:pStyle w:val="2"/>
              <w:bidi w:val="0"/>
              <w:rPr>
                <w:rFonts w:hint="eastAsia"/>
                <w:sz w:val="21"/>
                <w:szCs w:val="21"/>
              </w:rPr>
            </w:pPr>
            <w:bookmarkStart w:id="201" w:name="_Toc1112894806"/>
            <w:bookmarkStart w:id="202" w:name="_Toc110851503"/>
            <w:bookmarkStart w:id="203" w:name="_Toc2083203269"/>
            <w:bookmarkStart w:id="204" w:name="_Toc1642327804"/>
            <w:r>
              <w:rPr>
                <w:rFonts w:hint="eastAsia"/>
                <w:sz w:val="21"/>
                <w:szCs w:val="21"/>
              </w:rPr>
              <w:t>水务管理方面</w:t>
            </w:r>
            <w:r>
              <w:rPr>
                <w:rFonts w:hint="eastAsia"/>
                <w:sz w:val="21"/>
                <w:szCs w:val="21"/>
                <w:lang w:val="en-US" w:eastAsia="zh-CN"/>
              </w:rPr>
              <w:t>19</w:t>
            </w:r>
            <w:r>
              <w:rPr>
                <w:rFonts w:hint="eastAsia"/>
                <w:sz w:val="21"/>
                <w:szCs w:val="21"/>
              </w:rPr>
              <w:t>项</w:t>
            </w:r>
            <w:bookmarkEnd w:id="201"/>
            <w:bookmarkEnd w:id="202"/>
            <w:bookmarkEnd w:id="203"/>
            <w:bookmarkEnd w:id="204"/>
          </w:p>
          <w:p>
            <w:pPr>
              <w:rPr>
                <w:rFonts w:hint="eastAsia"/>
              </w:rPr>
            </w:pPr>
          </w:p>
          <w:p>
            <w:pPr>
              <w:rPr>
                <w:rFonts w:hint="eastAsia" w:eastAsia="宋体"/>
                <w:lang w:eastAsia="zh-CN"/>
              </w:rPr>
            </w:pPr>
            <w:r>
              <w:rPr>
                <w:rFonts w:hint="eastAsia" w:ascii="宋体" w:hAnsi="宋体" w:eastAsia="宋体"/>
                <w:sz w:val="15"/>
                <w:szCs w:val="15"/>
                <w:lang w:eastAsia="zh-CN"/>
              </w:rPr>
              <w:t>《北京市水务局关于印发</w:t>
            </w:r>
            <w:r>
              <w:rPr>
                <w:rFonts w:hint="default" w:ascii="宋体" w:hAnsi="宋体"/>
                <w:sz w:val="15"/>
                <w:szCs w:val="15"/>
                <w:lang w:val="en-US" w:eastAsia="zh-CN"/>
              </w:rPr>
              <w:t>&lt;</w:t>
            </w:r>
            <w:r>
              <w:rPr>
                <w:rFonts w:hint="eastAsia" w:ascii="宋体" w:hAnsi="宋体" w:eastAsia="宋体"/>
                <w:sz w:val="15"/>
                <w:szCs w:val="15"/>
                <w:lang w:eastAsia="zh-CN"/>
              </w:rPr>
              <w:t>北京市常用水行政处罚裁量基准表</w:t>
            </w:r>
            <w:r>
              <w:rPr>
                <w:rFonts w:hint="default" w:ascii="宋体" w:hAnsi="宋体"/>
                <w:sz w:val="15"/>
                <w:szCs w:val="15"/>
                <w:lang w:val="en-US" w:eastAsia="zh-CN"/>
              </w:rPr>
              <w:t>&gt;</w:t>
            </w:r>
            <w:r>
              <w:rPr>
                <w:rFonts w:hint="eastAsia" w:ascii="宋体" w:hAnsi="宋体" w:eastAsia="宋体"/>
                <w:sz w:val="15"/>
                <w:szCs w:val="15"/>
                <w:lang w:eastAsia="zh-CN"/>
              </w:rPr>
              <w:t>的通知》</w:t>
            </w:r>
            <w:r>
              <w:rPr>
                <w:rFonts w:hint="eastAsia" w:ascii="宋体" w:hAnsi="宋体"/>
                <w:sz w:val="15"/>
                <w:szCs w:val="15"/>
                <w:lang w:eastAsia="zh-CN"/>
              </w:rPr>
              <w:t>（京水务法〔2023〕12号）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28"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向雨水收集口、雨水管道排放或者倾倒污水、污物和垃圾等废弃物</w:t>
            </w:r>
          </w:p>
        </w:tc>
        <w:tc>
          <w:tcPr>
            <w:tcW w:w="2789"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《北京市水污染防治条例》</w:t>
            </w:r>
          </w:p>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违反条款：第三十九条第二款；处罚条款：第八十六条，责令停止违法行为，对个人处一千元以上一万元以下的罚款；对单位处一万元以上十万元以下的罚款。</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对单位：倾倒少量生活污水的，1万≤罚款额≤3万；排放或者倾倒污水污物和垃圾等废弃物，3万＜罚款额≤6</w:t>
            </w:r>
            <w:r>
              <w:rPr>
                <w:rFonts w:hint="eastAsia" w:ascii="宋体" w:hAnsi="宋体" w:eastAsia="宋体" w:cs="仿宋_GB2312"/>
                <w:color w:val="000000"/>
                <w:kern w:val="0"/>
                <w:sz w:val="15"/>
                <w:szCs w:val="15"/>
                <w:lang w:bidi="ar"/>
              </w:rPr>
              <w:tab/>
            </w:r>
            <w:r>
              <w:rPr>
                <w:rFonts w:hint="eastAsia" w:ascii="宋体" w:hAnsi="宋体" w:eastAsia="宋体" w:cs="仿宋_GB2312"/>
                <w:color w:val="000000"/>
                <w:kern w:val="0"/>
                <w:sz w:val="15"/>
                <w:szCs w:val="15"/>
                <w:lang w:bidi="ar"/>
              </w:rPr>
              <w:t>万；排放或者倾倒污水污物和垃圾等废弃物，情节严重的，6万＜罚款额≤10万。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对个人：倾倒少量生活污水的，0.1万≤罚款额≤0.3万；排放或者倾倒污水污物和垃圾等废弃物，0.3万＜罚款额≤0.6万；</w:t>
            </w:r>
            <w:r>
              <w:rPr>
                <w:rFonts w:hint="eastAsia" w:ascii="宋体" w:hAnsi="宋体" w:eastAsia="宋体" w:cs="仿宋_GB2312"/>
                <w:color w:val="000000"/>
                <w:kern w:val="0"/>
                <w:sz w:val="15"/>
                <w:szCs w:val="15"/>
                <w:lang w:bidi="ar"/>
              </w:rPr>
              <w:tab/>
            </w:r>
            <w:r>
              <w:rPr>
                <w:rFonts w:hint="eastAsia" w:ascii="宋体" w:hAnsi="宋体" w:eastAsia="宋体" w:cs="仿宋_GB2312"/>
                <w:color w:val="000000"/>
                <w:kern w:val="0"/>
                <w:sz w:val="15"/>
                <w:szCs w:val="15"/>
                <w:lang w:bidi="ar"/>
              </w:rPr>
              <w:t>排放或者倾倒污水污物和垃圾等废弃物，情节严重的，0.6万＜罚款额≤1万。</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40"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pPr>
              <w:spacing w:line="232" w:lineRule="exact"/>
              <w:textAlignment w:val="center"/>
              <w:rPr>
                <w:rFonts w:ascii="宋体" w:hAnsi="宋体" w:eastAsia="宋体"/>
                <w:kern w:val="0"/>
                <w:sz w:val="15"/>
                <w:szCs w:val="15"/>
              </w:rPr>
            </w:pPr>
            <w:r>
              <w:rPr>
                <w:rFonts w:hint="eastAsia" w:ascii="宋体" w:hAnsi="宋体" w:eastAsia="宋体"/>
                <w:sz w:val="15"/>
                <w:szCs w:val="15"/>
              </w:rPr>
              <w:t>擅自倾倒、堆放、丢弃、遗撒污泥</w:t>
            </w:r>
          </w:p>
        </w:tc>
        <w:tc>
          <w:tcPr>
            <w:tcW w:w="2789" w:type="dxa"/>
            <w:gridSpan w:val="2"/>
            <w:noWrap w:val="0"/>
            <w:vAlign w:val="center"/>
          </w:tcPr>
          <w:p>
            <w:pPr>
              <w:spacing w:line="190" w:lineRule="exact"/>
              <w:textAlignment w:val="center"/>
              <w:rPr>
                <w:rFonts w:ascii="宋体" w:hAnsi="宋体" w:eastAsia="宋体"/>
                <w:kern w:val="0"/>
                <w:sz w:val="15"/>
                <w:szCs w:val="15"/>
              </w:rPr>
            </w:pPr>
            <w:r>
              <w:rPr>
                <w:rFonts w:hint="eastAsia" w:ascii="宋体" w:hAnsi="宋体" w:eastAsia="宋体"/>
                <w:sz w:val="15"/>
                <w:szCs w:val="15"/>
              </w:rPr>
              <w:t>《城镇排水与污水处理条例</w:t>
            </w:r>
            <w:r>
              <w:rPr>
                <w:rFonts w:hint="eastAsia" w:ascii="宋体" w:hAnsi="宋体" w:eastAsia="宋体"/>
                <w:spacing w:val="-4"/>
                <w:sz w:val="15"/>
                <w:szCs w:val="15"/>
              </w:rPr>
              <w:t>》违反条款：第三十条；处罚条款：第五十三条第二款，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r>
              <w:rPr>
                <w:rFonts w:hint="eastAsia" w:ascii="宋体" w:hAnsi="宋体" w:eastAsia="宋体"/>
                <w:sz w:val="15"/>
                <w:szCs w:val="15"/>
              </w:rPr>
              <w:br w:type="textWrapping"/>
            </w:r>
            <w:r>
              <w:rPr>
                <w:rFonts w:hint="eastAsia" w:ascii="宋体" w:hAnsi="宋体" w:eastAsia="宋体"/>
                <w:sz w:val="15"/>
                <w:szCs w:val="15"/>
              </w:rPr>
              <w:t>《中华人民共和国固体废物污染环境防治法》违反条款：第七十二条第一款；处罚条款：第一百零八条第二款，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24"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因巡查、维护不到位，导致窨井盖丢失、损毁，造成人员伤亡和财产损失</w:t>
            </w:r>
          </w:p>
        </w:tc>
        <w:tc>
          <w:tcPr>
            <w:tcW w:w="2789"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城镇排水与污水处理条例》违反条款：第三十八条第一款；处罚条款：第五十五条第一款第（三）项，责令改正，给予警告；逾期不改正或者造成严重后果的，处10万元以上50万元以下罚款；造成损失的，依法承担赔偿责任；构成犯罪的，依法追究刑事责任。</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逾期不改正，但未造成其他严重后果的，10万≤罚款额≤30万；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造成财产损失的，30万＜罚款额≤40万；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造成人员伤亡的，40万＜罚款额≤50万</w:t>
            </w:r>
            <w:r>
              <w:rPr>
                <w:rFonts w:ascii="宋体" w:hAnsi="宋体" w:eastAsia="宋体" w:cs="仿宋_GB2312"/>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在河湖管理范围、保护范围内围河、挖筑鱼塘、挖坑开槽、勘探或者设立线杆、线塔、无线通信塔、标识</w:t>
            </w:r>
          </w:p>
        </w:tc>
        <w:tc>
          <w:tcPr>
            <w:tcW w:w="2789" w:type="dxa"/>
            <w:gridSpan w:val="2"/>
            <w:noWrap w:val="0"/>
            <w:vAlign w:val="center"/>
          </w:tcPr>
          <w:p>
            <w:pPr>
              <w:spacing w:line="216" w:lineRule="exact"/>
              <w:textAlignment w:val="center"/>
              <w:rPr>
                <w:rFonts w:ascii="宋体" w:hAnsi="宋体" w:eastAsia="宋体"/>
                <w:sz w:val="15"/>
                <w:szCs w:val="15"/>
              </w:rPr>
            </w:pPr>
            <w:r>
              <w:rPr>
                <w:rFonts w:hint="eastAsia" w:ascii="宋体" w:hAnsi="宋体" w:eastAsia="宋体"/>
                <w:sz w:val="15"/>
                <w:szCs w:val="15"/>
              </w:rPr>
              <w:t>《北京市河湖保护管理条例》违反条款：第二十条第一款第（二）项；处罚条款：第三十九条第（一）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在保护范围内，1万≤罚款额≤3万；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在管理范围内，3万＜罚款额≤5万</w:t>
            </w:r>
            <w:r>
              <w:rPr>
                <w:rFonts w:ascii="宋体" w:hAnsi="宋体" w:eastAsia="宋体" w:cs="仿宋_GB2312"/>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r>
              <w:rPr>
                <w:rFonts w:hint="eastAsia" w:ascii="宋体" w:hAnsi="宋体" w:eastAsia="宋体" w:cs="仿宋_GB2312"/>
                <w:sz w:val="15"/>
                <w:szCs w:val="15"/>
              </w:rPr>
              <w:t>备注：危害活动同时涉及管理范围和保护范围的，按在管理范围内确定罚款额。</w:t>
            </w: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在河湖管理范围、保护范围内设置固定停车场所</w:t>
            </w:r>
          </w:p>
        </w:tc>
        <w:tc>
          <w:tcPr>
            <w:tcW w:w="2789" w:type="dxa"/>
            <w:gridSpan w:val="2"/>
            <w:noWrap w:val="0"/>
            <w:vAlign w:val="center"/>
          </w:tcPr>
          <w:p>
            <w:pPr>
              <w:spacing w:line="216" w:lineRule="exact"/>
              <w:rPr>
                <w:rFonts w:ascii="宋体" w:hAnsi="宋体" w:eastAsia="宋体"/>
                <w:sz w:val="15"/>
                <w:szCs w:val="15"/>
              </w:rPr>
            </w:pPr>
            <w:r>
              <w:rPr>
                <w:rFonts w:hint="eastAsia" w:ascii="宋体" w:hAnsi="宋体" w:eastAsia="宋体"/>
                <w:sz w:val="15"/>
                <w:szCs w:val="15"/>
              </w:rPr>
              <w:t>《北京市河湖保护管理条例》违反条款：第二十条第一款第（三）项；处罚条款：第三十九条第（二）项，责令停止违法行为，限期补办行政许可手续，处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6</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在河湖管理范围、保护范围内修路，或者修建园林小品、管理房及其附属设施</w:t>
            </w:r>
          </w:p>
        </w:tc>
        <w:tc>
          <w:tcPr>
            <w:tcW w:w="2789" w:type="dxa"/>
            <w:gridSpan w:val="2"/>
            <w:noWrap w:val="0"/>
            <w:vAlign w:val="center"/>
          </w:tcPr>
          <w:p>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一款第（四）项；处罚条款：第三十九条第（三）项，责令停止违法行为，限期补办行政许可手续，处1万元以上10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7</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在河湖管理范围、保护范围内进行河道改线、开挖人工湖泊</w:t>
            </w:r>
          </w:p>
        </w:tc>
        <w:tc>
          <w:tcPr>
            <w:tcW w:w="2789" w:type="dxa"/>
            <w:gridSpan w:val="2"/>
            <w:noWrap w:val="0"/>
            <w:vAlign w:val="center"/>
          </w:tcPr>
          <w:p>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三款；处罚条款：第三十九条第（五）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8</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毁坏或者拆除保护名录中的水工建筑物、构筑物、遗址</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《北京市河湖保护管理条例》违反条款：第二十四条第二款；处罚条款：第四十二条，责令其停止违法行为，限期恢复原状，处10万元以上50万元以下的罚款。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9</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开展水上旅游项目或者其他利用活动时使用以柴油、汽油为动力的游船</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《北京市河湖保护管理条例》违反条款：第三十一条第一款；处罚条款：第四十四条第一款，责令停止违法行为，限期改正，处8000元以上8万元以下的罚款；造成损失的，依法赔偿损失或者采取补救措施。</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10</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未经批准擅自利用河湖进行开发利用活动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《北京市河湖保护管理条例》违反条款：第三十一条第二款；处罚条款：第四十四条第二款，责令停止违法行为，限期改正，处2万元以上10万元以下的罚款。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11</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在地表饮用水水源一级保护区的水域内垂钓</w:t>
            </w:r>
          </w:p>
        </w:tc>
        <w:tc>
          <w:tcPr>
            <w:tcW w:w="2789" w:type="dxa"/>
            <w:gridSpan w:val="2"/>
            <w:noWrap w:val="0"/>
            <w:vAlign w:val="center"/>
          </w:tcPr>
          <w:p>
            <w:pPr>
              <w:spacing w:line="212" w:lineRule="exact"/>
              <w:rPr>
                <w:rFonts w:ascii="宋体" w:hAnsi="宋体" w:eastAsia="宋体"/>
                <w:spacing w:val="-4"/>
                <w:sz w:val="15"/>
                <w:szCs w:val="15"/>
              </w:rPr>
            </w:pPr>
            <w:r>
              <w:rPr>
                <w:rFonts w:hint="eastAsia" w:ascii="宋体" w:hAnsi="宋体" w:eastAsia="宋体"/>
                <w:spacing w:val="-4"/>
                <w:sz w:val="15"/>
                <w:szCs w:val="15"/>
              </w:rPr>
              <w:t xml:space="preserve">《北京市水污染防治条例》违反条款：第五十七条第二款；处罚条款：第八十条第二款，责令停止违法行为，并可以处五百元以下的罚款。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12</w:t>
            </w:r>
          </w:p>
        </w:tc>
        <w:tc>
          <w:tcPr>
            <w:tcW w:w="1500" w:type="dxa"/>
            <w:gridSpan w:val="2"/>
            <w:noWrap w:val="0"/>
            <w:vAlign w:val="center"/>
          </w:tcPr>
          <w:p>
            <w:pPr>
              <w:spacing w:line="212" w:lineRule="exact"/>
              <w:rPr>
                <w:rFonts w:ascii="宋体" w:hAnsi="宋体" w:eastAsia="宋体"/>
                <w:sz w:val="15"/>
                <w:szCs w:val="15"/>
              </w:rPr>
            </w:pPr>
            <w:r>
              <w:rPr>
                <w:rFonts w:hint="eastAsia" w:ascii="宋体" w:hAnsi="宋体" w:eastAsia="宋体"/>
                <w:sz w:val="15"/>
                <w:szCs w:val="15"/>
              </w:rPr>
              <w:t>在堤防和护堤地，从事放牧、葬坟、晒粮、开渠、打井、挖窖、取土、存放物料、开办集市贸易、开采地下资源、进行考古发掘等活动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 xml:space="preserve">《北京市河湖保护管理条例》违反条款：第十九条第（六）项；处罚条款：第三十八条，责令停止违法行为，排除阻碍或者采取其他补救措施，可以处5万元以下罚款，有违法所得的，没收违法所得。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13</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在堤防上及大型渠道内垦</w:t>
            </w:r>
            <w:r>
              <w:rPr>
                <w:rFonts w:hint="eastAsia" w:ascii="宋体" w:hAnsi="宋体" w:eastAsia="宋体"/>
                <w:sz w:val="15"/>
                <w:szCs w:val="15"/>
                <w:lang w:eastAsia="zh-CN"/>
              </w:rPr>
              <w:t>殖</w:t>
            </w:r>
            <w:r>
              <w:rPr>
                <w:rFonts w:hint="eastAsia" w:ascii="宋体" w:hAnsi="宋体" w:eastAsia="宋体"/>
                <w:sz w:val="15"/>
                <w:szCs w:val="15"/>
              </w:rPr>
              <w:t>、放牧</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《北京市水利工程保护管理条例》违反条款：第九条第（七）项；处罚条款：第二十一条第（四）项，除责令纠正违法行为、赔偿损失、采取补救措施外，并可以处警告、200元以下罚款。在堤坝及大型渠道垦</w:t>
            </w:r>
            <w:r>
              <w:rPr>
                <w:rFonts w:hint="eastAsia" w:ascii="宋体" w:hAnsi="宋体" w:eastAsia="宋体"/>
                <w:sz w:val="15"/>
                <w:szCs w:val="15"/>
                <w:lang w:eastAsia="zh-CN"/>
              </w:rPr>
              <w:t>殖</w:t>
            </w:r>
            <w:r>
              <w:rPr>
                <w:rFonts w:hint="eastAsia" w:ascii="宋体" w:hAnsi="宋体" w:eastAsia="宋体"/>
                <w:sz w:val="15"/>
                <w:szCs w:val="15"/>
              </w:rPr>
              <w:t xml:space="preserve">的，还应令其恢复地貌。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8"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14</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在河道、湖泊管理范围内倾倒垃圾、渣土从事影响河势稳定、危害河岸堤防安全和其他妨碍河道行洪的活动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 xml:space="preserve">《中华人民共和国防洪法》违反条款：第二十二条第二款；处罚条款：第五十五条第（二）项，责令停止违法行为，排除阻碍或者采取其他补救措施，可以处五万元以下的罚款。                                                                  </w:t>
            </w:r>
            <w:r>
              <w:rPr>
                <w:rFonts w:hint="eastAsia" w:ascii="宋体" w:hAnsi="宋体" w:eastAsia="宋体"/>
                <w:sz w:val="15"/>
                <w:szCs w:val="15"/>
              </w:rPr>
              <w:br w:type="textWrapping"/>
            </w:r>
            <w:r>
              <w:rPr>
                <w:rFonts w:hint="eastAsia" w:ascii="宋体" w:hAnsi="宋体" w:eastAsia="宋体"/>
                <w:sz w:val="15"/>
                <w:szCs w:val="15"/>
              </w:rPr>
              <w:t>《北京市水利工程保护管理条例》违反条款：第九条第（三）项；处罚条款：第二十一条第（二）项，责令排除阻碍或者采取其他补救措施，可以处5万元以下罚款。</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倾倒量≤5m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，罚款额≤1万；5m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倾倒量≤10m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，1万＜罚款额≤2万；10m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倾倒量≤20m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，2万＜罚款额≤3万；20m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倾倒量，3万＜罚款额≤5万</w:t>
            </w:r>
            <w:r>
              <w:rPr>
                <w:rFonts w:ascii="宋体" w:hAnsi="宋体" w:eastAsia="宋体" w:cs="Calibri"/>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26"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在地表饮用水水源保护区和准保护区内、组织水上旅游或者其他可能污染饮用水水源活动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《北京市水污染防治条例》违反条款：第六十条第一款第（一）项、第（二）项、第（三）项；第六十条第二款；处罚条款：第八十条第二款，责令停止违法行为，并处二万元以上十万元以下的罚款。</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trPr>
        <w:tc>
          <w:tcPr>
            <w:tcW w:w="940" w:type="dxa"/>
            <w:gridSpan w:val="2"/>
            <w:noWrap w:val="0"/>
            <w:vAlign w:val="center"/>
          </w:tcPr>
          <w:p>
            <w:pPr>
              <w:spacing w:line="232" w:lineRule="exact"/>
              <w:jc w:val="center"/>
              <w:rPr>
                <w:rFonts w:hint="default" w:ascii="宋体" w:hAnsi="宋体" w:eastAsia="宋体" w:cs="仿宋_GB2312"/>
                <w:kern w:val="0"/>
                <w:sz w:val="15"/>
                <w:szCs w:val="15"/>
                <w:lang w:val="en-US" w:eastAsia="zh-CN"/>
              </w:rPr>
            </w:pPr>
            <w:r>
              <w:rPr>
                <w:rFonts w:hint="eastAsia" w:ascii="宋体" w:hAnsi="宋体" w:cs="仿宋_GB2312"/>
                <w:kern w:val="0"/>
                <w:sz w:val="15"/>
                <w:szCs w:val="15"/>
                <w:lang w:val="en-US" w:eastAsia="zh-CN"/>
              </w:rPr>
              <w:t>16</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在生态清洁小流域范围内的沟道内私搭乱建、堆放物品</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《北京市水土保持条例》违反条款：第二十条第一款第（一）项；处罚条款：第三十六条，责令改正，对个人可处500元以上5000元以下罚款；对单位可处1万元以上10万元以下罚款。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7"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eastAsia="宋体" w:cs="仿宋_GB2312"/>
                <w:kern w:val="0"/>
                <w:sz w:val="15"/>
                <w:szCs w:val="15"/>
              </w:rPr>
              <w:t>1</w:t>
            </w:r>
            <w:r>
              <w:rPr>
                <w:rFonts w:hint="eastAsia" w:ascii="宋体" w:hAnsi="宋体" w:cs="仿宋_GB2312"/>
                <w:kern w:val="0"/>
                <w:sz w:val="15"/>
                <w:szCs w:val="15"/>
                <w:lang w:val="en-US" w:eastAsia="zh-CN"/>
              </w:rPr>
              <w:t>7</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在生态清洁小流域范围内随意取土、挖砂、倾倒垃圾、排放污水</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《北京市水土保持条例》违反条款：第二十条第一款第（二）项；处罚条款：第三十六条，责令改正，对个人可处500元以上5000元以下罚款；对单位可处1万元以上10万元以下罚款。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1" w:hRule="atLeast"/>
        </w:trPr>
        <w:tc>
          <w:tcPr>
            <w:tcW w:w="940" w:type="dxa"/>
            <w:gridSpan w:val="2"/>
            <w:noWrap w:val="0"/>
            <w:vAlign w:val="center"/>
          </w:tcPr>
          <w:p>
            <w:pPr>
              <w:spacing w:line="232" w:lineRule="exact"/>
              <w:jc w:val="center"/>
              <w:rPr>
                <w:rFonts w:hint="default" w:ascii="宋体" w:hAnsi="宋体" w:eastAsia="宋体" w:cs="仿宋_GB2312"/>
                <w:kern w:val="0"/>
                <w:sz w:val="15"/>
                <w:szCs w:val="15"/>
                <w:lang w:val="en-US" w:eastAsia="zh-CN"/>
              </w:rPr>
            </w:pPr>
            <w:r>
              <w:rPr>
                <w:rFonts w:hint="eastAsia" w:ascii="宋体" w:hAnsi="宋体" w:cs="仿宋_GB2312"/>
                <w:kern w:val="0"/>
                <w:sz w:val="15"/>
                <w:szCs w:val="15"/>
                <w:lang w:val="en-US" w:eastAsia="zh-CN"/>
              </w:rPr>
              <w:t>18</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在生态清洁小流域范围内破坏水土保持设施或者干扰其正常运行</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《北京市水土保持条例》违反条款：第二十条第一款第（三）项；处罚条款：第三十六条，责令改正，对个人可处500元以上5000元以下罚款；对单位可处1万元以上10万元以下罚款。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5" w:hRule="atLeast"/>
        </w:trPr>
        <w:tc>
          <w:tcPr>
            <w:tcW w:w="940" w:type="dxa"/>
            <w:gridSpan w:val="2"/>
            <w:noWrap w:val="0"/>
            <w:vAlign w:val="center"/>
          </w:tcPr>
          <w:p>
            <w:pPr>
              <w:spacing w:line="232" w:lineRule="exact"/>
              <w:jc w:val="center"/>
              <w:rPr>
                <w:rFonts w:hint="default" w:ascii="宋体" w:hAnsi="宋体" w:eastAsia="宋体" w:cs="仿宋_GB2312"/>
                <w:kern w:val="0"/>
                <w:sz w:val="15"/>
                <w:szCs w:val="15"/>
                <w:lang w:val="en-US" w:eastAsia="zh-CN"/>
              </w:rPr>
            </w:pPr>
            <w:r>
              <w:rPr>
                <w:rFonts w:hint="eastAsia" w:ascii="宋体" w:hAnsi="宋体" w:cs="仿宋_GB2312"/>
                <w:kern w:val="0"/>
                <w:sz w:val="15"/>
                <w:szCs w:val="15"/>
                <w:lang w:val="en-US" w:eastAsia="zh-CN"/>
              </w:rPr>
              <w:t>19</w:t>
            </w:r>
          </w:p>
        </w:tc>
        <w:tc>
          <w:tcPr>
            <w:tcW w:w="1500"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擅自在河湖管理范围内新建、改建或者扩大排水口</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《北京市河湖保护管理条例》违反条款：第二十八条第一款；处罚条款：第四十三条，责令停止违法行为，限期恢复原状，处5万元以上10万元以下的罚款。</w:t>
            </w:r>
          </w:p>
        </w:tc>
        <w:tc>
          <w:tcPr>
            <w:tcW w:w="5784" w:type="dxa"/>
            <w:gridSpan w:val="3"/>
            <w:noWrap w:val="0"/>
            <w:vAlign w:val="center"/>
          </w:tcPr>
          <w:p>
            <w:pPr>
              <w:pStyle w:val="22"/>
              <w:spacing w:after="0" w:line="210"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rPr>
        <w:tc>
          <w:tcPr>
            <w:tcW w:w="14329" w:type="dxa"/>
            <w:gridSpan w:val="15"/>
            <w:noWrap w:val="0"/>
            <w:vAlign w:val="center"/>
          </w:tcPr>
          <w:p>
            <w:pPr>
              <w:pStyle w:val="2"/>
              <w:bidi w:val="0"/>
              <w:rPr>
                <w:rFonts w:ascii="宋体" w:hAnsi="宋体" w:eastAsia="宋体"/>
                <w:szCs w:val="15"/>
              </w:rPr>
            </w:pPr>
            <w:bookmarkStart w:id="205" w:name="_Toc1318576686"/>
            <w:bookmarkStart w:id="206" w:name="_Toc110851504"/>
            <w:bookmarkStart w:id="207" w:name="_Toc473764242"/>
            <w:bookmarkStart w:id="208" w:name="_Toc1290044525"/>
            <w:r>
              <w:rPr>
                <w:rFonts w:hint="eastAsia"/>
                <w:sz w:val="21"/>
                <w:szCs w:val="21"/>
              </w:rPr>
              <w:t>农业农村管理方面1项</w:t>
            </w:r>
            <w:bookmarkEnd w:id="205"/>
            <w:bookmarkEnd w:id="206"/>
            <w:bookmarkEnd w:id="207"/>
            <w:bookmarkEnd w:id="2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10" w:lineRule="exact"/>
              <w:rPr>
                <w:rFonts w:ascii="宋体" w:hAnsi="宋体" w:eastAsia="宋体"/>
                <w:kern w:val="0"/>
                <w:sz w:val="15"/>
                <w:szCs w:val="15"/>
              </w:rPr>
            </w:pPr>
            <w:r>
              <w:rPr>
                <w:rFonts w:hint="eastAsia" w:ascii="宋体" w:hAnsi="宋体" w:eastAsia="宋体"/>
                <w:sz w:val="15"/>
                <w:szCs w:val="15"/>
              </w:rPr>
              <w:t>在增殖放流水域垂钓</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《北京市实施〈中华人民共和国渔业法〉办法》违反条款：第二十一条第一款第（七）项；处罚条款：第二十六条第一款第（五）项，责令停止违法行为，没收渔具，并可以处50元以上500元以下罚款。</w:t>
            </w:r>
          </w:p>
        </w:tc>
        <w:tc>
          <w:tcPr>
            <w:tcW w:w="5784" w:type="dxa"/>
            <w:gridSpan w:val="3"/>
            <w:noWrap w:val="0"/>
            <w:vAlign w:val="center"/>
          </w:tcPr>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宋体"/>
                <w:color w:val="000000"/>
                <w:kern w:val="0"/>
                <w:sz w:val="15"/>
                <w:szCs w:val="15"/>
              </w:rPr>
              <w:t>责令停止违法行为，没收渔具，并可处50元以上500元以下罚款。</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7" w:hRule="atLeast"/>
        </w:trPr>
        <w:tc>
          <w:tcPr>
            <w:tcW w:w="14329" w:type="dxa"/>
            <w:gridSpan w:val="15"/>
            <w:noWrap w:val="0"/>
            <w:vAlign w:val="center"/>
          </w:tcPr>
          <w:p>
            <w:pPr>
              <w:pStyle w:val="2"/>
              <w:bidi w:val="0"/>
              <w:rPr>
                <w:rFonts w:hint="eastAsia"/>
                <w:sz w:val="21"/>
                <w:szCs w:val="21"/>
              </w:rPr>
            </w:pPr>
            <w:bookmarkStart w:id="209" w:name="_Toc1433492438"/>
            <w:bookmarkStart w:id="210" w:name="_Toc110851505"/>
            <w:bookmarkStart w:id="211" w:name="_Toc589852508"/>
            <w:bookmarkStart w:id="212" w:name="_Toc2011773058"/>
            <w:r>
              <w:rPr>
                <w:rFonts w:hint="eastAsia"/>
                <w:sz w:val="21"/>
                <w:szCs w:val="21"/>
              </w:rPr>
              <w:t>卫生健康管理方面</w:t>
            </w:r>
            <w:r>
              <w:rPr>
                <w:rFonts w:hint="eastAsia"/>
                <w:sz w:val="21"/>
                <w:szCs w:val="21"/>
                <w:lang w:val="en-US" w:eastAsia="zh-CN"/>
              </w:rPr>
              <w:t>5</w:t>
            </w:r>
            <w:r>
              <w:rPr>
                <w:rFonts w:hint="eastAsia"/>
                <w:sz w:val="21"/>
                <w:szCs w:val="21"/>
              </w:rPr>
              <w:t>项</w:t>
            </w:r>
            <w:bookmarkEnd w:id="209"/>
            <w:bookmarkEnd w:id="210"/>
            <w:bookmarkEnd w:id="211"/>
            <w:bookmarkEnd w:id="212"/>
          </w:p>
          <w:p>
            <w:pPr>
              <w:rPr>
                <w:rFonts w:hint="eastAsia"/>
              </w:rPr>
            </w:pPr>
          </w:p>
          <w:p>
            <w:pPr>
              <w:rPr>
                <w:rFonts w:hint="eastAsia" w:eastAsia="宋体"/>
                <w:lang w:eastAsia="zh-CN"/>
              </w:rPr>
            </w:pPr>
            <w:r>
              <w:rPr>
                <w:rFonts w:hint="eastAsia" w:ascii="宋体" w:hAnsi="宋体"/>
                <w:sz w:val="15"/>
                <w:szCs w:val="15"/>
                <w:lang w:eastAsia="zh-CN"/>
              </w:rPr>
              <w:t>《北京市卫生健康委员会关于印发北京市卫生健康行政处罚裁量细则（2023年1月修订）的通知》（京卫监督〔2023〕1号）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10" w:lineRule="exact"/>
              <w:rPr>
                <w:rFonts w:ascii="宋体" w:hAnsi="宋体" w:eastAsia="宋体"/>
                <w:kern w:val="0"/>
                <w:sz w:val="15"/>
                <w:szCs w:val="15"/>
              </w:rPr>
            </w:pPr>
            <w:r>
              <w:rPr>
                <w:rFonts w:hint="eastAsia" w:ascii="宋体" w:hAnsi="宋体" w:eastAsia="宋体"/>
                <w:sz w:val="15"/>
                <w:szCs w:val="15"/>
              </w:rPr>
              <w:t>未按规定采取清除鼠迹、堵塞鼠洞、添设防范设施等措施及毒杀、诱捕等方法消灭老鼠，使鼠密度等指标符合国家控制标准</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《北京市除四害工作管理规定》违反条款：第八条；处罚条款：第十六条第（一）项，予以警告，责令限期改正，并可处以20元以上500元以下罚款；情节严重的，处以500元以上1000元以下罚款。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未按规定清除蚊蝇孳生地并运用化学、物理、生物等方法消灭蚊蝇及其幼虫，使蚊蝇密度等指标符合国家控制标准</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九条第（一）项、第（二）项、第（三）项；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发现蟑螂未按规定及时采取灭杀措施，使蟑螂密度等指标符合国家控制标准</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《北京市除四害工作管理规定》违反条款：第十条；处罚条款：第十六条第（一）项，予以警告，责令限期改正，并可处以20元以上500元以下罚款；情节严重的，处以500元以上1000元以下罚款。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未按规定配置四害防治设施或者无人负责除四害工作</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《北京市除四害工作管理规定》违反条款：第十一条；处罚条款：第十六条第（二）项，予以警告，责令限期改正，并可处以20元以上1000元以下罚款。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未造成严重后果的，情节严重的，警告，处以500元以上（不含）1000元以下（含）罚款。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未按规定采取统一的除四害措施</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《北京市除四害工作管理规定》违反条款：第十二条；处罚条款：第十六条第（三）项，给予警告，责令限期改正；逾期不改正的，可处以20元以上1000元以下罚款。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9" w:hRule="atLeast"/>
        </w:trPr>
        <w:tc>
          <w:tcPr>
            <w:tcW w:w="14329" w:type="dxa"/>
            <w:gridSpan w:val="15"/>
            <w:noWrap w:val="0"/>
            <w:vAlign w:val="center"/>
          </w:tcPr>
          <w:p>
            <w:pPr>
              <w:pStyle w:val="2"/>
              <w:bidi w:val="0"/>
              <w:rPr>
                <w:rFonts w:hint="default" w:ascii="宋体" w:hAnsi="宋体" w:eastAsia="宋体" w:cs="Times New Roman"/>
                <w:b/>
                <w:bCs/>
                <w:color w:val="000000"/>
                <w:kern w:val="44"/>
                <w:szCs w:val="15"/>
                <w:lang w:val="en-US" w:eastAsia="zh-CN" w:bidi="ar-SA"/>
              </w:rPr>
            </w:pPr>
            <w:bookmarkStart w:id="213" w:name="_Toc1245423656"/>
            <w:bookmarkStart w:id="214" w:name="_Toc979026322"/>
            <w:r>
              <w:rPr>
                <w:rFonts w:hint="eastAsia"/>
                <w:b/>
                <w:bCs/>
                <w:sz w:val="21"/>
                <w:szCs w:val="21"/>
                <w:lang w:eastAsia="zh-CN"/>
              </w:rPr>
              <w:t>住建部门</w:t>
            </w:r>
            <w:r>
              <w:rPr>
                <w:rFonts w:hint="eastAsia"/>
                <w:b/>
                <w:bCs/>
                <w:sz w:val="21"/>
                <w:szCs w:val="21"/>
                <w:lang w:val="en-US" w:eastAsia="zh-CN"/>
              </w:rPr>
              <w:t>3项</w:t>
            </w:r>
            <w:bookmarkEnd w:id="2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4329" w:type="dxa"/>
            <w:gridSpan w:val="15"/>
            <w:noWrap w:val="0"/>
            <w:vAlign w:val="center"/>
          </w:tcPr>
          <w:p>
            <w:pPr>
              <w:autoSpaceDE w:val="0"/>
              <w:autoSpaceDN w:val="0"/>
              <w:adjustRightInd w:val="0"/>
              <w:spacing w:line="520" w:lineRule="exact"/>
              <w:jc w:val="center"/>
              <w:rPr>
                <w:rFonts w:hint="default"/>
                <w:b/>
                <w:bCs/>
                <w:sz w:val="21"/>
                <w:szCs w:val="21"/>
                <w:lang w:val="en-US" w:eastAsia="zh-CN"/>
              </w:rPr>
            </w:pPr>
            <w:r>
              <w:rPr>
                <w:rFonts w:hint="eastAsia"/>
                <w:b/>
                <w:bCs/>
                <w:sz w:val="21"/>
                <w:szCs w:val="21"/>
                <w:lang w:eastAsia="zh-CN"/>
              </w:rPr>
              <w:t>《北京市物业管理条例案由》</w:t>
            </w:r>
            <w:r>
              <w:rPr>
                <w:rFonts w:hint="eastAsia"/>
                <w:b/>
                <w:bCs/>
                <w:sz w:val="21"/>
                <w:szCs w:val="21"/>
                <w:lang w:val="en-US" w:eastAsia="zh-CN"/>
              </w:rPr>
              <w:t>2项</w:t>
            </w:r>
          </w:p>
          <w:p>
            <w:pPr>
              <w:autoSpaceDE w:val="0"/>
              <w:autoSpaceDN w:val="0"/>
              <w:adjustRightInd w:val="0"/>
              <w:spacing w:line="520" w:lineRule="exact"/>
              <w:jc w:val="center"/>
              <w:rPr>
                <w:rFonts w:hint="eastAsia"/>
                <w:sz w:val="21"/>
                <w:szCs w:val="21"/>
                <w:lang w:eastAsia="zh-CN"/>
              </w:rPr>
            </w:pPr>
            <w:r>
              <w:rPr>
                <w:rFonts w:hint="eastAsia"/>
                <w:sz w:val="21"/>
                <w:szCs w:val="21"/>
                <w:lang w:eastAsia="zh-CN"/>
              </w:rPr>
              <w:t>《北京市住房和城乡建设委员会关于调整</w:t>
            </w:r>
            <w:r>
              <w:rPr>
                <w:rFonts w:hint="default"/>
                <w:sz w:val="21"/>
                <w:szCs w:val="21"/>
                <w:lang w:val="en-US" w:eastAsia="zh-CN"/>
              </w:rPr>
              <w:t>&lt;</w:t>
            </w:r>
            <w:r>
              <w:rPr>
                <w:rFonts w:hint="eastAsia"/>
                <w:sz w:val="21"/>
                <w:szCs w:val="21"/>
                <w:lang w:eastAsia="zh-CN"/>
              </w:rPr>
              <w:t>北京市住房城乡建设系统行政处罚裁量基准</w:t>
            </w:r>
            <w:r>
              <w:rPr>
                <w:rFonts w:hint="default"/>
                <w:sz w:val="21"/>
                <w:szCs w:val="21"/>
                <w:lang w:val="en-US" w:eastAsia="zh-CN"/>
              </w:rPr>
              <w:t>&gt;</w:t>
            </w:r>
            <w:r>
              <w:rPr>
                <w:rFonts w:hint="eastAsia"/>
                <w:sz w:val="21"/>
                <w:szCs w:val="21"/>
                <w:lang w:eastAsia="zh-CN"/>
              </w:rPr>
              <w:t>部分条款的通知》（</w:t>
            </w:r>
            <w:r>
              <w:rPr>
                <w:rFonts w:hint="eastAsia" w:ascii="仿宋_GB2312" w:eastAsia="仿宋_GB2312" w:cs="楷体_GB2312"/>
                <w:sz w:val="21"/>
                <w:szCs w:val="21"/>
                <w:lang w:val="zh-CN"/>
              </w:rPr>
              <w:t>京建法〔202</w:t>
            </w:r>
            <w:r>
              <w:rPr>
                <w:rFonts w:hint="eastAsia" w:ascii="仿宋_GB2312" w:eastAsia="仿宋_GB2312" w:cs="楷体_GB2312"/>
                <w:sz w:val="21"/>
                <w:szCs w:val="21"/>
                <w:lang w:val="en-US" w:eastAsia="zh-CN"/>
              </w:rPr>
              <w:t>3</w:t>
            </w:r>
            <w:r>
              <w:rPr>
                <w:rFonts w:hint="eastAsia" w:ascii="仿宋_GB2312" w:eastAsia="仿宋_GB2312" w:cs="楷体_GB2312"/>
                <w:sz w:val="21"/>
                <w:szCs w:val="21"/>
                <w:lang w:val="zh-CN"/>
              </w:rPr>
              <w:t>〕</w:t>
            </w:r>
            <w:r>
              <w:rPr>
                <w:rFonts w:hint="eastAsia" w:ascii="仿宋_GB2312" w:eastAsia="仿宋_GB2312" w:cs="楷体_GB2312"/>
                <w:sz w:val="21"/>
                <w:szCs w:val="21"/>
                <w:lang w:val="en-US" w:eastAsia="zh-CN"/>
              </w:rPr>
              <w:t>5</w:t>
            </w:r>
            <w:r>
              <w:rPr>
                <w:rFonts w:hint="eastAsia" w:ascii="仿宋_GB2312" w:eastAsia="仿宋_GB2312" w:cs="楷体_GB2312"/>
                <w:sz w:val="21"/>
                <w:szCs w:val="21"/>
                <w:lang w:val="zh-CN"/>
              </w:rPr>
              <w:t>号</w:t>
            </w:r>
            <w:r>
              <w:rPr>
                <w:rFonts w:hint="eastAsia"/>
                <w:sz w:val="21"/>
                <w:szCs w:val="21"/>
                <w:lang w:eastAsia="zh-CN"/>
              </w:rPr>
              <w:t>）</w:t>
            </w:r>
          </w:p>
          <w:p>
            <w:pPr>
              <w:autoSpaceDE w:val="0"/>
              <w:autoSpaceDN w:val="0"/>
              <w:adjustRightInd w:val="0"/>
              <w:spacing w:line="520" w:lineRule="exact"/>
              <w:jc w:val="center"/>
              <w:rPr>
                <w:rFonts w:hint="eastAsia"/>
                <w:sz w:val="21"/>
                <w:szCs w:val="21"/>
                <w:lang w:val="en-US" w:eastAsia="zh-CN"/>
              </w:rPr>
            </w:pPr>
          </w:p>
        </w:tc>
      </w:tr>
      <w:bookmarkEnd w:id="214"/>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bookmarkStart w:id="215" w:name="_Toc1056450575"/>
            <w:r>
              <w:rPr>
                <w:rFonts w:hint="eastAsia" w:ascii="宋体" w:hAnsi="宋体" w:eastAsia="宋体" w:cs="宋体"/>
                <w:i w:val="0"/>
                <w:color w:val="000000"/>
                <w:kern w:val="0"/>
                <w:sz w:val="15"/>
                <w:szCs w:val="15"/>
                <w:u w:val="none"/>
                <w:lang w:val="en-US" w:eastAsia="zh-CN" w:bidi="ar"/>
              </w:rPr>
              <w:t>37</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物业服务人未按规定将物业服务合同报街道办事处、乡镇人民政府、区住房和城乡建设或者房屋主管部门备案</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《北京市物业管理条例》违反条款：第六十三条第三款；</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处罚条款：第九十一条，责令限期改正，给予警告；逾期不改的，处五千元以上一万元以下的罚款。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责令7日内改正，警告</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1"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38</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物业服务企业项目负责人未按时报到</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w:t>
            </w:r>
            <w:r>
              <w:rPr>
                <w:rFonts w:hint="eastAsia" w:ascii="宋体" w:hAnsi="宋体" w:cs="宋体"/>
                <w:i w:val="0"/>
                <w:color w:val="000000"/>
                <w:kern w:val="0"/>
                <w:sz w:val="15"/>
                <w:szCs w:val="15"/>
                <w:u w:val="none"/>
                <w:lang w:val="en-US" w:eastAsia="zh-CN" w:bidi="ar"/>
              </w:rPr>
              <w:t>违反条款：</w:t>
            </w:r>
            <w:r>
              <w:rPr>
                <w:rFonts w:hint="eastAsia" w:ascii="宋体" w:hAnsi="宋体" w:eastAsia="宋体" w:cs="宋体"/>
                <w:i w:val="0"/>
                <w:color w:val="000000"/>
                <w:kern w:val="0"/>
                <w:sz w:val="15"/>
                <w:szCs w:val="15"/>
                <w:u w:val="none"/>
                <w:lang w:val="en-US" w:eastAsia="zh-CN" w:bidi="ar"/>
              </w:rPr>
              <w:t>第六十六条</w:t>
            </w:r>
            <w:r>
              <w:rPr>
                <w:rFonts w:hint="eastAsia" w:ascii="宋体" w:hAnsi="宋体" w:cs="宋体"/>
                <w:i w:val="0"/>
                <w:color w:val="000000"/>
                <w:kern w:val="0"/>
                <w:sz w:val="15"/>
                <w:szCs w:val="15"/>
                <w:u w:val="none"/>
                <w:lang w:val="en-US" w:eastAsia="zh-CN" w:bidi="ar"/>
              </w:rPr>
              <w:t>；处罚条款：</w:t>
            </w:r>
            <w:r>
              <w:rPr>
                <w:rFonts w:hint="eastAsia" w:ascii="宋体" w:hAnsi="宋体" w:eastAsia="宋体" w:cs="宋体"/>
                <w:i w:val="0"/>
                <w:color w:val="000000"/>
                <w:kern w:val="0"/>
                <w:sz w:val="15"/>
                <w:szCs w:val="15"/>
                <w:u w:val="none"/>
                <w:lang w:val="en-US" w:eastAsia="zh-CN" w:bidi="ar"/>
              </w:rPr>
              <w:t>第九十三条，责令限期改正；逾期不改的，处五千元以上一万元以下的罚款。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29" w:type="dxa"/>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bidi w:val="0"/>
              <w:jc w:val="center"/>
              <w:rPr>
                <w:rFonts w:hint="eastAsia"/>
                <w:b/>
                <w:bCs/>
                <w:lang w:val="en-US" w:eastAsia="zh-CN"/>
              </w:rPr>
            </w:pPr>
            <w:r>
              <w:rPr>
                <w:rFonts w:hint="eastAsia"/>
                <w:b/>
                <w:bCs/>
                <w:lang w:eastAsia="zh-CN"/>
              </w:rPr>
              <w:t>《北京市住房租赁条例》案由</w:t>
            </w:r>
            <w:r>
              <w:rPr>
                <w:rFonts w:hint="eastAsia"/>
                <w:b/>
                <w:bCs/>
                <w:lang w:val="en-US" w:eastAsia="zh-CN"/>
              </w:rPr>
              <w:t>1项</w:t>
            </w:r>
          </w:p>
          <w:p>
            <w:pPr>
              <w:jc w:val="center"/>
              <w:rPr>
                <w:rFonts w:hint="eastAsia" w:asciiTheme="minorEastAsia" w:hAnsiTheme="minorEastAsia" w:eastAsiaTheme="minorEastAsia" w:cstheme="minorEastAsia"/>
                <w:sz w:val="21"/>
                <w:szCs w:val="21"/>
                <w:lang w:val="en-US" w:eastAsia="zh-CN"/>
              </w:rPr>
            </w:pPr>
          </w:p>
          <w:p>
            <w:pPr>
              <w:jc w:val="left"/>
              <w:rPr>
                <w:rFonts w:hint="eastAsia"/>
                <w:sz w:val="15"/>
                <w:szCs w:val="15"/>
                <w:lang w:val="en-US" w:eastAsia="zh-CN"/>
              </w:rPr>
            </w:pPr>
            <w:r>
              <w:rPr>
                <w:rFonts w:hint="eastAsia"/>
                <w:sz w:val="15"/>
                <w:szCs w:val="15"/>
                <w:lang w:val="en-US" w:eastAsia="zh-CN"/>
              </w:rPr>
              <w:t>《北京市住房和城乡建设委员会关于印发</w:t>
            </w:r>
            <w:r>
              <w:rPr>
                <w:rFonts w:hint="default"/>
                <w:sz w:val="15"/>
                <w:szCs w:val="15"/>
                <w:lang w:val="en-US" w:eastAsia="zh-CN"/>
              </w:rPr>
              <w:t>&lt;</w:t>
            </w:r>
            <w:r>
              <w:rPr>
                <w:rFonts w:hint="eastAsia"/>
                <w:sz w:val="15"/>
                <w:szCs w:val="15"/>
                <w:lang w:val="en-US" w:eastAsia="zh-CN"/>
              </w:rPr>
              <w:t>北京市住房租赁条例</w:t>
            </w:r>
            <w:r>
              <w:rPr>
                <w:rFonts w:hint="default"/>
                <w:sz w:val="15"/>
                <w:szCs w:val="15"/>
                <w:lang w:val="en-US" w:eastAsia="zh-CN"/>
              </w:rPr>
              <w:t>&gt;</w:t>
            </w:r>
            <w:r>
              <w:rPr>
                <w:rFonts w:hint="eastAsia"/>
                <w:sz w:val="15"/>
                <w:szCs w:val="15"/>
                <w:lang w:val="en-US" w:eastAsia="zh-CN"/>
              </w:rPr>
              <w:t>行政处罚裁量基准的通知》（</w:t>
            </w:r>
            <w:r>
              <w:rPr>
                <w:rFonts w:ascii="微软雅黑" w:hAnsi="微软雅黑" w:eastAsia="微软雅黑" w:cs="微软雅黑"/>
                <w:i w:val="0"/>
                <w:iCs w:val="0"/>
                <w:caps w:val="0"/>
                <w:color w:val="333333"/>
                <w:spacing w:val="0"/>
                <w:sz w:val="14"/>
                <w:szCs w:val="14"/>
                <w:shd w:val="clear" w:fill="FFFFFF"/>
              </w:rPr>
              <w:t>京建法〔2022〕10号</w:t>
            </w:r>
            <w:r>
              <w:rPr>
                <w:rFonts w:hint="eastAsia"/>
                <w:sz w:val="15"/>
                <w:szCs w:val="15"/>
                <w:lang w:val="en-US" w:eastAsia="zh-CN"/>
              </w:rPr>
              <w:t>）</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15"/>
                <w:szCs w:val="15"/>
                <w:u w:val="none"/>
                <w:lang w:val="en-US" w:eastAsia="zh-CN" w:bidi="ar"/>
              </w:rPr>
            </w:pPr>
            <w:r>
              <w:rPr>
                <w:rFonts w:hint="default" w:ascii="宋体" w:hAnsi="宋体" w:cs="宋体"/>
                <w:i w:val="0"/>
                <w:color w:val="000000"/>
                <w:kern w:val="0"/>
                <w:sz w:val="15"/>
                <w:szCs w:val="15"/>
                <w:u w:val="none"/>
                <w:lang w:val="en-US" w:eastAsia="zh-CN" w:bidi="ar"/>
              </w:rPr>
              <w:t>1</w:t>
            </w:r>
          </w:p>
        </w:tc>
        <w:tc>
          <w:tcPr>
            <w:tcW w:w="930"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w:t>
            </w:r>
          </w:p>
        </w:tc>
        <w:tc>
          <w:tcPr>
            <w:tcW w:w="1707"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未按照规定出租住房</w:t>
            </w:r>
          </w:p>
        </w:tc>
        <w:tc>
          <w:tcPr>
            <w:tcW w:w="209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《北京市住房租赁条例》 违反条款：第十三条第一款第（三）项至第（五）项；处罚条款：第六十三条第三款，责令限期改正或者恢复原状，对个人可处二千元以上一万元以下罚款，对单位可处二万元以上十万元以下罚款；逾期不改的，改正前停止出租，对个人处一万元以上五万元以下罚款，对单位处十万元以上五十万元以下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责令改正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restart"/>
            <w:tcBorders>
              <w:left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color w:val="000000"/>
                <w:kern w:val="0"/>
                <w:sz w:val="15"/>
                <w:szCs w:val="15"/>
                <w:u w:val="none"/>
                <w:lang w:val="en-US" w:eastAsia="zh-CN" w:bidi="ar"/>
              </w:rPr>
            </w:pPr>
            <w:r>
              <w:rPr>
                <w:rFonts w:hint="eastAsia" w:ascii="宋体" w:hAnsi="宋体" w:cs="宋体"/>
                <w:i w:val="0"/>
                <w:color w:val="000000"/>
                <w:kern w:val="0"/>
                <w:sz w:val="15"/>
                <w:szCs w:val="15"/>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在规定期限内改正，违法情节轻微</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对个人可处二千元以上四千元以下罚款，对单位可处二万元以上四万元以下罚款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在规定期限内改正，违法情节一般的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对个人可处四千元以上七千元以下罚款，对单位可处四万元以上七万元以下罚款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C1672300A030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对个人可处七千元以上一万元以下罚款，对单位可处七万元以上十万元以下罚款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C1672300A040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逾期3日内改正的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改正前停止出租，对个人处一万元以上二万元以下罚款，对单位处十万元以上二十万元以下罚款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C1672300A050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逾期3日以上7日以内的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改正前停止出租，对个人处二万元以上四万元以下罚款，对单位处二十万元以上四十万元以下罚款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C1672300A060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逾期7日以上或违法情节严重的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改正前停止出租，对个人处四万元以上五万元以下罚款，对单位处四十万元以上五十万元以下罚款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36个月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bookmarkEnd w:id="215"/>
    </w:tbl>
    <w:p>
      <w:pPr>
        <w:pStyle w:val="8"/>
      </w:pPr>
    </w:p>
    <w:p>
      <w:pPr>
        <w:pStyle w:val="22"/>
        <w:rPr>
          <w:color w:val="auto"/>
          <w:highlight w:val="none"/>
        </w:rPr>
      </w:pPr>
    </w:p>
    <w:sectPr>
      <w:footerReference r:id="rId3" w:type="default"/>
      <w:pgSz w:w="16840" w:h="11850" w:orient="landscape"/>
      <w:pgMar w:top="1134" w:right="907" w:bottom="1134" w:left="907"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Calibri Light">
    <w:altName w:val="Calibri"/>
    <w:panose1 w:val="020F0302020204030204"/>
    <w:charset w:val="00"/>
    <w:family w:val="swiss"/>
    <w:pitch w:val="default"/>
    <w:sig w:usb0="00000000" w:usb1="00000000"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atang">
    <w:panose1 w:val="02030600000101010101"/>
    <w:charset w:val="81"/>
    <w:family w:val="roman"/>
    <w:pitch w:val="default"/>
    <w:sig w:usb0="B00002AF" w:usb1="69D77CFB" w:usb2="00000030" w:usb3="00000000" w:csb0="4008009F" w:csb1="DFD70000"/>
  </w:font>
  <w:font w:name="Microsoft JhengHei">
    <w:panose1 w:val="020B0604030504040204"/>
    <w:charset w:val="88"/>
    <w:family w:val="swiss"/>
    <w:pitch w:val="default"/>
    <w:sig w:usb0="00000087" w:usb1="28AF4000" w:usb2="00000016" w:usb3="00000000" w:csb0="00100009"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singleLevel"/>
    <w:tmpl w:val="85DDEF8A"/>
    <w:lvl w:ilvl="0" w:tentative="0">
      <w:start w:val="1"/>
      <w:numFmt w:val="decimal"/>
      <w:suff w:val="space"/>
      <w:lvlText w:val="%1."/>
      <w:lvlJc w:val="left"/>
    </w:lvl>
  </w:abstractNum>
  <w:abstractNum w:abstractNumId="1">
    <w:nsid w:val="B7F5427C"/>
    <w:multiLevelType w:val="singleLevel"/>
    <w:tmpl w:val="B7F5427C"/>
    <w:lvl w:ilvl="0" w:tentative="0">
      <w:start w:val="1"/>
      <w:numFmt w:val="decimal"/>
      <w:suff w:val="space"/>
      <w:lvlText w:val="%1."/>
      <w:lvlJc w:val="left"/>
    </w:lvl>
  </w:abstractNum>
  <w:abstractNum w:abstractNumId="2">
    <w:nsid w:val="BF0754D2"/>
    <w:multiLevelType w:val="singleLevel"/>
    <w:tmpl w:val="BF0754D2"/>
    <w:lvl w:ilvl="0" w:tentative="0">
      <w:start w:val="1"/>
      <w:numFmt w:val="decimal"/>
      <w:suff w:val="space"/>
      <w:lvlText w:val="%1."/>
      <w:lvlJc w:val="left"/>
    </w:lvl>
  </w:abstractNum>
  <w:abstractNum w:abstractNumId="3">
    <w:nsid w:val="DFDE10FF"/>
    <w:multiLevelType w:val="singleLevel"/>
    <w:tmpl w:val="DFDE10FF"/>
    <w:lvl w:ilvl="0" w:tentative="0">
      <w:start w:val="1"/>
      <w:numFmt w:val="decimal"/>
      <w:suff w:val="space"/>
      <w:lvlText w:val="%1."/>
      <w:lvlJc w:val="left"/>
    </w:lvl>
  </w:abstractNum>
  <w:abstractNum w:abstractNumId="4">
    <w:nsid w:val="FEDAE7DC"/>
    <w:multiLevelType w:val="singleLevel"/>
    <w:tmpl w:val="FEDAE7DC"/>
    <w:lvl w:ilvl="0" w:tentative="0">
      <w:start w:val="1"/>
      <w:numFmt w:val="decimal"/>
      <w:suff w:val="space"/>
      <w:lvlText w:val="%1."/>
      <w:lvlJc w:val="left"/>
    </w:lvl>
  </w:abstractNum>
  <w:abstractNum w:abstractNumId="5">
    <w:nsid w:val="6BEE3C38"/>
    <w:multiLevelType w:val="singleLevel"/>
    <w:tmpl w:val="6BEE3C38"/>
    <w:lvl w:ilvl="0" w:tentative="0">
      <w:start w:val="1"/>
      <w:numFmt w:val="decimal"/>
      <w:suff w:val="space"/>
      <w:lvlText w:val="%1."/>
      <w:lvlJc w:val="left"/>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E5FA60"/>
    <w:rsid w:val="07293178"/>
    <w:rsid w:val="09F64F97"/>
    <w:rsid w:val="0A0D460E"/>
    <w:rsid w:val="0AEF46DA"/>
    <w:rsid w:val="0B9F92F6"/>
    <w:rsid w:val="0BF216FD"/>
    <w:rsid w:val="0BFBDC50"/>
    <w:rsid w:val="0C14055E"/>
    <w:rsid w:val="0DB203EF"/>
    <w:rsid w:val="0DD71C24"/>
    <w:rsid w:val="0EA6FEA5"/>
    <w:rsid w:val="0EC7610D"/>
    <w:rsid w:val="0EEE2A65"/>
    <w:rsid w:val="0F260DF9"/>
    <w:rsid w:val="0F2B5C68"/>
    <w:rsid w:val="0FBFF7C9"/>
    <w:rsid w:val="0FC138D0"/>
    <w:rsid w:val="0FD550EB"/>
    <w:rsid w:val="0FEFC186"/>
    <w:rsid w:val="1126007C"/>
    <w:rsid w:val="11443462"/>
    <w:rsid w:val="11AE7893"/>
    <w:rsid w:val="11BB0CCA"/>
    <w:rsid w:val="11D41B63"/>
    <w:rsid w:val="12EF1C78"/>
    <w:rsid w:val="13391315"/>
    <w:rsid w:val="139F60FB"/>
    <w:rsid w:val="13EE4AF4"/>
    <w:rsid w:val="142313E0"/>
    <w:rsid w:val="15BFBDD0"/>
    <w:rsid w:val="15D74C1C"/>
    <w:rsid w:val="15F589D8"/>
    <w:rsid w:val="15FBD6F7"/>
    <w:rsid w:val="15FEFF7A"/>
    <w:rsid w:val="15FF6BF6"/>
    <w:rsid w:val="16AFC733"/>
    <w:rsid w:val="16BC7E7D"/>
    <w:rsid w:val="1713717D"/>
    <w:rsid w:val="17515270"/>
    <w:rsid w:val="17746151"/>
    <w:rsid w:val="17893B6A"/>
    <w:rsid w:val="178B26DA"/>
    <w:rsid w:val="17CEEBA9"/>
    <w:rsid w:val="17FEE426"/>
    <w:rsid w:val="17FFDA05"/>
    <w:rsid w:val="19376D81"/>
    <w:rsid w:val="1ADCBA5F"/>
    <w:rsid w:val="1AFF4782"/>
    <w:rsid w:val="1B0BDA71"/>
    <w:rsid w:val="1B644773"/>
    <w:rsid w:val="1B7D324B"/>
    <w:rsid w:val="1BEF7657"/>
    <w:rsid w:val="1BF35E59"/>
    <w:rsid w:val="1BFE9E91"/>
    <w:rsid w:val="1C0F2D2D"/>
    <w:rsid w:val="1C4C4F36"/>
    <w:rsid w:val="1CDEA6F5"/>
    <w:rsid w:val="1CEDBEA8"/>
    <w:rsid w:val="1D56F24F"/>
    <w:rsid w:val="1D916302"/>
    <w:rsid w:val="1DF7C2DA"/>
    <w:rsid w:val="1E3C30A0"/>
    <w:rsid w:val="1E3DAADE"/>
    <w:rsid w:val="1E3F93AF"/>
    <w:rsid w:val="1E7236B6"/>
    <w:rsid w:val="1E973E8F"/>
    <w:rsid w:val="1EC60A0F"/>
    <w:rsid w:val="1EC77D42"/>
    <w:rsid w:val="1ECB3ED3"/>
    <w:rsid w:val="1ECEB824"/>
    <w:rsid w:val="1ED33082"/>
    <w:rsid w:val="1EFD25F9"/>
    <w:rsid w:val="1F08609C"/>
    <w:rsid w:val="1F56FFA1"/>
    <w:rsid w:val="1FA61EEB"/>
    <w:rsid w:val="1FAF9374"/>
    <w:rsid w:val="1FBD9899"/>
    <w:rsid w:val="1FD9E9C8"/>
    <w:rsid w:val="1FDF0654"/>
    <w:rsid w:val="1FE716A2"/>
    <w:rsid w:val="1FEC0A29"/>
    <w:rsid w:val="1FEF8B73"/>
    <w:rsid w:val="220B32AF"/>
    <w:rsid w:val="22C62F3A"/>
    <w:rsid w:val="23415B68"/>
    <w:rsid w:val="23F10D53"/>
    <w:rsid w:val="23F6AEF3"/>
    <w:rsid w:val="23FFEB2E"/>
    <w:rsid w:val="245E2EB0"/>
    <w:rsid w:val="24D3A756"/>
    <w:rsid w:val="24E81237"/>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8CD0111"/>
    <w:rsid w:val="2959155B"/>
    <w:rsid w:val="29CE0AFE"/>
    <w:rsid w:val="2A050A46"/>
    <w:rsid w:val="2A6D712E"/>
    <w:rsid w:val="2AFDAF60"/>
    <w:rsid w:val="2B9EE5ED"/>
    <w:rsid w:val="2BD27518"/>
    <w:rsid w:val="2BFD14DB"/>
    <w:rsid w:val="2BFEB9B3"/>
    <w:rsid w:val="2BFFA8A5"/>
    <w:rsid w:val="2C555706"/>
    <w:rsid w:val="2D860E5E"/>
    <w:rsid w:val="2D88708D"/>
    <w:rsid w:val="2D9E7B63"/>
    <w:rsid w:val="2DA489B3"/>
    <w:rsid w:val="2DB91642"/>
    <w:rsid w:val="2DDBB70C"/>
    <w:rsid w:val="2E04154E"/>
    <w:rsid w:val="2E305283"/>
    <w:rsid w:val="2E39630E"/>
    <w:rsid w:val="2E6DCBCF"/>
    <w:rsid w:val="2E6F47F6"/>
    <w:rsid w:val="2E9B49AF"/>
    <w:rsid w:val="2EEE6647"/>
    <w:rsid w:val="2F54530E"/>
    <w:rsid w:val="2F776DEB"/>
    <w:rsid w:val="2F8215FD"/>
    <w:rsid w:val="2F8D0557"/>
    <w:rsid w:val="2FB7E173"/>
    <w:rsid w:val="2FBD08A7"/>
    <w:rsid w:val="2FBD937F"/>
    <w:rsid w:val="2FBF6FB8"/>
    <w:rsid w:val="2FD88657"/>
    <w:rsid w:val="2FE1EA2D"/>
    <w:rsid w:val="2FF78CBA"/>
    <w:rsid w:val="2FFD1DA2"/>
    <w:rsid w:val="30921B85"/>
    <w:rsid w:val="32D103B5"/>
    <w:rsid w:val="335F5F1A"/>
    <w:rsid w:val="335FA238"/>
    <w:rsid w:val="3377848B"/>
    <w:rsid w:val="337FEAF9"/>
    <w:rsid w:val="33AD165B"/>
    <w:rsid w:val="33BE9CD5"/>
    <w:rsid w:val="33C02300"/>
    <w:rsid w:val="33E7DEB3"/>
    <w:rsid w:val="33EFA73C"/>
    <w:rsid w:val="33F5E36A"/>
    <w:rsid w:val="33FF701F"/>
    <w:rsid w:val="3475285E"/>
    <w:rsid w:val="34790FFC"/>
    <w:rsid w:val="34DFCC51"/>
    <w:rsid w:val="35913FBB"/>
    <w:rsid w:val="362B56C3"/>
    <w:rsid w:val="363FA653"/>
    <w:rsid w:val="36EDADB4"/>
    <w:rsid w:val="373F77D0"/>
    <w:rsid w:val="375EA094"/>
    <w:rsid w:val="379234A4"/>
    <w:rsid w:val="379E6A40"/>
    <w:rsid w:val="37BFE79D"/>
    <w:rsid w:val="37DF2DD6"/>
    <w:rsid w:val="37DF700B"/>
    <w:rsid w:val="37EE409E"/>
    <w:rsid w:val="37F2F170"/>
    <w:rsid w:val="37F31E21"/>
    <w:rsid w:val="37F46EF3"/>
    <w:rsid w:val="39A91B73"/>
    <w:rsid w:val="39B23F7D"/>
    <w:rsid w:val="39D7FC96"/>
    <w:rsid w:val="39FF8104"/>
    <w:rsid w:val="3AB7A37F"/>
    <w:rsid w:val="3AB89792"/>
    <w:rsid w:val="3AEDF30C"/>
    <w:rsid w:val="3AEF7D57"/>
    <w:rsid w:val="3AFB607E"/>
    <w:rsid w:val="3AFF2AC7"/>
    <w:rsid w:val="3B2F6A62"/>
    <w:rsid w:val="3B2FF963"/>
    <w:rsid w:val="3B4448CF"/>
    <w:rsid w:val="3B4CE5B0"/>
    <w:rsid w:val="3B75BF38"/>
    <w:rsid w:val="3B7B2E0D"/>
    <w:rsid w:val="3B7F89B9"/>
    <w:rsid w:val="3B8A0DC3"/>
    <w:rsid w:val="3BA443B8"/>
    <w:rsid w:val="3BB1D3AC"/>
    <w:rsid w:val="3BB9F82F"/>
    <w:rsid w:val="3BCF19F8"/>
    <w:rsid w:val="3BD3A284"/>
    <w:rsid w:val="3BDF39C1"/>
    <w:rsid w:val="3BDF8995"/>
    <w:rsid w:val="3BE7BB5B"/>
    <w:rsid w:val="3BE9ECFC"/>
    <w:rsid w:val="3BEC33D1"/>
    <w:rsid w:val="3BF96EE7"/>
    <w:rsid w:val="3BFA26FF"/>
    <w:rsid w:val="3BFBF558"/>
    <w:rsid w:val="3BFD2A30"/>
    <w:rsid w:val="3BFE3B7E"/>
    <w:rsid w:val="3BFF979F"/>
    <w:rsid w:val="3C9EB686"/>
    <w:rsid w:val="3CEF330A"/>
    <w:rsid w:val="3D1D3248"/>
    <w:rsid w:val="3D323C74"/>
    <w:rsid w:val="3D6D1F84"/>
    <w:rsid w:val="3D7E3DA3"/>
    <w:rsid w:val="3D7F81D5"/>
    <w:rsid w:val="3DEFACC2"/>
    <w:rsid w:val="3E1FAF72"/>
    <w:rsid w:val="3E4A84CF"/>
    <w:rsid w:val="3E6C5DD9"/>
    <w:rsid w:val="3E7CD3F2"/>
    <w:rsid w:val="3E7F1755"/>
    <w:rsid w:val="3E8F2131"/>
    <w:rsid w:val="3EAE9719"/>
    <w:rsid w:val="3EAF6F38"/>
    <w:rsid w:val="3EB0A816"/>
    <w:rsid w:val="3EB542D6"/>
    <w:rsid w:val="3ED728FC"/>
    <w:rsid w:val="3EE37829"/>
    <w:rsid w:val="3EEB4BED"/>
    <w:rsid w:val="3EEC4AB3"/>
    <w:rsid w:val="3EF11695"/>
    <w:rsid w:val="3EF7BD61"/>
    <w:rsid w:val="3EF968EE"/>
    <w:rsid w:val="3EFC0F1E"/>
    <w:rsid w:val="3EFF20E1"/>
    <w:rsid w:val="3EFFD3E1"/>
    <w:rsid w:val="3F1EA5F2"/>
    <w:rsid w:val="3F36279F"/>
    <w:rsid w:val="3F4F4430"/>
    <w:rsid w:val="3F4F5A12"/>
    <w:rsid w:val="3F65688F"/>
    <w:rsid w:val="3F7492D0"/>
    <w:rsid w:val="3F7B1D7D"/>
    <w:rsid w:val="3F7F7C26"/>
    <w:rsid w:val="3F7FA6F9"/>
    <w:rsid w:val="3F800E58"/>
    <w:rsid w:val="3F8CBFBD"/>
    <w:rsid w:val="3F9BE200"/>
    <w:rsid w:val="3FAD292E"/>
    <w:rsid w:val="3FBBDC6F"/>
    <w:rsid w:val="3FDA01DD"/>
    <w:rsid w:val="3FDDEA02"/>
    <w:rsid w:val="3FDF16C2"/>
    <w:rsid w:val="3FDFBFB3"/>
    <w:rsid w:val="3FE64F5F"/>
    <w:rsid w:val="3FE9E51A"/>
    <w:rsid w:val="3FEA575E"/>
    <w:rsid w:val="3FEB33DD"/>
    <w:rsid w:val="3FEF1047"/>
    <w:rsid w:val="3FEF1726"/>
    <w:rsid w:val="3FEF3A59"/>
    <w:rsid w:val="3FEF617D"/>
    <w:rsid w:val="3FF200B2"/>
    <w:rsid w:val="3FF7FB14"/>
    <w:rsid w:val="3FF91D4E"/>
    <w:rsid w:val="3FFABA1D"/>
    <w:rsid w:val="3FFE6B5A"/>
    <w:rsid w:val="3FFFA0C9"/>
    <w:rsid w:val="40286339"/>
    <w:rsid w:val="40A34EF9"/>
    <w:rsid w:val="41094798"/>
    <w:rsid w:val="42AC37D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9FF1354"/>
    <w:rsid w:val="4A0B2A82"/>
    <w:rsid w:val="4B240373"/>
    <w:rsid w:val="4B5C669F"/>
    <w:rsid w:val="4B5FD1C2"/>
    <w:rsid w:val="4B7E4857"/>
    <w:rsid w:val="4C9630E6"/>
    <w:rsid w:val="4D796D4B"/>
    <w:rsid w:val="4DA78014"/>
    <w:rsid w:val="4DD29871"/>
    <w:rsid w:val="4DEF0CAE"/>
    <w:rsid w:val="4DEFFB07"/>
    <w:rsid w:val="4E7FD645"/>
    <w:rsid w:val="4E9D1594"/>
    <w:rsid w:val="4ED5FB2D"/>
    <w:rsid w:val="4EE40807"/>
    <w:rsid w:val="4EFEE3CF"/>
    <w:rsid w:val="4EFFCC04"/>
    <w:rsid w:val="4F035B5E"/>
    <w:rsid w:val="4F4DC02C"/>
    <w:rsid w:val="4F4E3BCE"/>
    <w:rsid w:val="4F4F56C9"/>
    <w:rsid w:val="4F6715EE"/>
    <w:rsid w:val="4F7FAC37"/>
    <w:rsid w:val="4FA32AE8"/>
    <w:rsid w:val="4FA6572E"/>
    <w:rsid w:val="4FAB1773"/>
    <w:rsid w:val="4FB77DE6"/>
    <w:rsid w:val="4FBBE42B"/>
    <w:rsid w:val="4FBF8279"/>
    <w:rsid w:val="4FFB8451"/>
    <w:rsid w:val="4FFB8E16"/>
    <w:rsid w:val="4FFFB35D"/>
    <w:rsid w:val="50450572"/>
    <w:rsid w:val="51624E8A"/>
    <w:rsid w:val="51DF7224"/>
    <w:rsid w:val="521F3E4B"/>
    <w:rsid w:val="52EFBDB1"/>
    <w:rsid w:val="53DE26C8"/>
    <w:rsid w:val="53E7DABE"/>
    <w:rsid w:val="53EE158E"/>
    <w:rsid w:val="53FDFCAE"/>
    <w:rsid w:val="548B2661"/>
    <w:rsid w:val="54CA1FCA"/>
    <w:rsid w:val="54F115E0"/>
    <w:rsid w:val="55447A06"/>
    <w:rsid w:val="555BA0AF"/>
    <w:rsid w:val="557F36C1"/>
    <w:rsid w:val="55DF30E4"/>
    <w:rsid w:val="55FA15B7"/>
    <w:rsid w:val="562D8241"/>
    <w:rsid w:val="567F53D9"/>
    <w:rsid w:val="56B5692E"/>
    <w:rsid w:val="56BEE398"/>
    <w:rsid w:val="57014352"/>
    <w:rsid w:val="5707333B"/>
    <w:rsid w:val="573D63DA"/>
    <w:rsid w:val="576E940A"/>
    <w:rsid w:val="57AFC138"/>
    <w:rsid w:val="57BFE285"/>
    <w:rsid w:val="57D5B179"/>
    <w:rsid w:val="57DBE7AC"/>
    <w:rsid w:val="57DD41C0"/>
    <w:rsid w:val="57E70F57"/>
    <w:rsid w:val="57EF46D5"/>
    <w:rsid w:val="57FBCD8A"/>
    <w:rsid w:val="57FDC686"/>
    <w:rsid w:val="57FFE8DD"/>
    <w:rsid w:val="582A60AC"/>
    <w:rsid w:val="58841836"/>
    <w:rsid w:val="58BFC293"/>
    <w:rsid w:val="58D96099"/>
    <w:rsid w:val="594F9F96"/>
    <w:rsid w:val="598F29B3"/>
    <w:rsid w:val="599FD232"/>
    <w:rsid w:val="59CD9A52"/>
    <w:rsid w:val="59EF0511"/>
    <w:rsid w:val="59FF62C8"/>
    <w:rsid w:val="5A7F463C"/>
    <w:rsid w:val="5ABBDF2B"/>
    <w:rsid w:val="5AEC2D3D"/>
    <w:rsid w:val="5B3336B2"/>
    <w:rsid w:val="5B3E2C04"/>
    <w:rsid w:val="5B5642E6"/>
    <w:rsid w:val="5B7E9F71"/>
    <w:rsid w:val="5B9467C0"/>
    <w:rsid w:val="5B9A48BE"/>
    <w:rsid w:val="5BAFF1B8"/>
    <w:rsid w:val="5BBBAF0A"/>
    <w:rsid w:val="5BD7D220"/>
    <w:rsid w:val="5BDDF1F8"/>
    <w:rsid w:val="5BF3A74E"/>
    <w:rsid w:val="5BF68CF6"/>
    <w:rsid w:val="5BF8AA04"/>
    <w:rsid w:val="5BFC5027"/>
    <w:rsid w:val="5BFD1224"/>
    <w:rsid w:val="5BFD3CB7"/>
    <w:rsid w:val="5BFDB7EC"/>
    <w:rsid w:val="5C6FBA19"/>
    <w:rsid w:val="5C7EB9DA"/>
    <w:rsid w:val="5C9B734C"/>
    <w:rsid w:val="5CD78333"/>
    <w:rsid w:val="5CEBCAD6"/>
    <w:rsid w:val="5CF3E376"/>
    <w:rsid w:val="5CFF2307"/>
    <w:rsid w:val="5D177A7A"/>
    <w:rsid w:val="5D7F530F"/>
    <w:rsid w:val="5D8CAEE6"/>
    <w:rsid w:val="5D953CD4"/>
    <w:rsid w:val="5DB3473A"/>
    <w:rsid w:val="5DBF23B5"/>
    <w:rsid w:val="5DC67B8B"/>
    <w:rsid w:val="5DDB479A"/>
    <w:rsid w:val="5DED387C"/>
    <w:rsid w:val="5DF5385C"/>
    <w:rsid w:val="5DF7A785"/>
    <w:rsid w:val="5DFDEB58"/>
    <w:rsid w:val="5DFE02C1"/>
    <w:rsid w:val="5E2FF403"/>
    <w:rsid w:val="5E336754"/>
    <w:rsid w:val="5E3B697E"/>
    <w:rsid w:val="5E60746C"/>
    <w:rsid w:val="5E7594B2"/>
    <w:rsid w:val="5E937489"/>
    <w:rsid w:val="5EBE7485"/>
    <w:rsid w:val="5EBFB65F"/>
    <w:rsid w:val="5ECB379A"/>
    <w:rsid w:val="5ED152C2"/>
    <w:rsid w:val="5EEA59D5"/>
    <w:rsid w:val="5EF7A60A"/>
    <w:rsid w:val="5EFAFDD7"/>
    <w:rsid w:val="5EFD709E"/>
    <w:rsid w:val="5EFEADE1"/>
    <w:rsid w:val="5F1F1CEB"/>
    <w:rsid w:val="5F1F70DF"/>
    <w:rsid w:val="5F3EB388"/>
    <w:rsid w:val="5F3F32A1"/>
    <w:rsid w:val="5F3F4069"/>
    <w:rsid w:val="5F585F83"/>
    <w:rsid w:val="5F7D9EDD"/>
    <w:rsid w:val="5F7E2721"/>
    <w:rsid w:val="5F7E5599"/>
    <w:rsid w:val="5FAA78F5"/>
    <w:rsid w:val="5FD9895F"/>
    <w:rsid w:val="5FDB01DB"/>
    <w:rsid w:val="5FDC4B56"/>
    <w:rsid w:val="5FE744AA"/>
    <w:rsid w:val="5FEB83AD"/>
    <w:rsid w:val="5FEEFD8E"/>
    <w:rsid w:val="5FEF519A"/>
    <w:rsid w:val="5FEF96F0"/>
    <w:rsid w:val="5FEFD330"/>
    <w:rsid w:val="5FF33712"/>
    <w:rsid w:val="5FF79CF0"/>
    <w:rsid w:val="5FF980EC"/>
    <w:rsid w:val="5FF98146"/>
    <w:rsid w:val="5FF999D4"/>
    <w:rsid w:val="5FFA2044"/>
    <w:rsid w:val="5FFA3473"/>
    <w:rsid w:val="5FFBE073"/>
    <w:rsid w:val="5FFC2FA4"/>
    <w:rsid w:val="5FFDD2DA"/>
    <w:rsid w:val="5FFF5029"/>
    <w:rsid w:val="5FFFFC6E"/>
    <w:rsid w:val="617D4A6A"/>
    <w:rsid w:val="61B31169"/>
    <w:rsid w:val="61D35B82"/>
    <w:rsid w:val="61D96C3B"/>
    <w:rsid w:val="62C73DF1"/>
    <w:rsid w:val="62CF0EFF"/>
    <w:rsid w:val="62D06F7C"/>
    <w:rsid w:val="62FFDDCB"/>
    <w:rsid w:val="638377A8"/>
    <w:rsid w:val="63EB71E8"/>
    <w:rsid w:val="63FC607C"/>
    <w:rsid w:val="63FF7A03"/>
    <w:rsid w:val="6417516A"/>
    <w:rsid w:val="645D6ED9"/>
    <w:rsid w:val="648835C7"/>
    <w:rsid w:val="653B7765"/>
    <w:rsid w:val="655B3FD7"/>
    <w:rsid w:val="65C37738"/>
    <w:rsid w:val="65E46921"/>
    <w:rsid w:val="670C1F82"/>
    <w:rsid w:val="671E9133"/>
    <w:rsid w:val="67475541"/>
    <w:rsid w:val="677DC604"/>
    <w:rsid w:val="677DF9AF"/>
    <w:rsid w:val="678E41F3"/>
    <w:rsid w:val="67AFF102"/>
    <w:rsid w:val="67B7B560"/>
    <w:rsid w:val="67CE9F02"/>
    <w:rsid w:val="67DD8961"/>
    <w:rsid w:val="67DE850A"/>
    <w:rsid w:val="67EAE887"/>
    <w:rsid w:val="694D1DDC"/>
    <w:rsid w:val="69774823"/>
    <w:rsid w:val="697E3C46"/>
    <w:rsid w:val="69BC06BD"/>
    <w:rsid w:val="69FE0A5F"/>
    <w:rsid w:val="6A3D2095"/>
    <w:rsid w:val="6A4515FF"/>
    <w:rsid w:val="6A723F09"/>
    <w:rsid w:val="6A7D6FBC"/>
    <w:rsid w:val="6A860352"/>
    <w:rsid w:val="6A8B0F56"/>
    <w:rsid w:val="6ABF683F"/>
    <w:rsid w:val="6ABFCBE9"/>
    <w:rsid w:val="6AEC4A2D"/>
    <w:rsid w:val="6AF57D44"/>
    <w:rsid w:val="6B7BBC6F"/>
    <w:rsid w:val="6BBE8DC3"/>
    <w:rsid w:val="6BDB9361"/>
    <w:rsid w:val="6BDC5CA0"/>
    <w:rsid w:val="6BDCF144"/>
    <w:rsid w:val="6BE73003"/>
    <w:rsid w:val="6BEFAF24"/>
    <w:rsid w:val="6BEFFBC2"/>
    <w:rsid w:val="6BF3BB87"/>
    <w:rsid w:val="6BFD7552"/>
    <w:rsid w:val="6BFE00A3"/>
    <w:rsid w:val="6BFF6CCC"/>
    <w:rsid w:val="6CBB95F6"/>
    <w:rsid w:val="6CBCFB11"/>
    <w:rsid w:val="6CF6948C"/>
    <w:rsid w:val="6CF7D0E3"/>
    <w:rsid w:val="6CFEDE13"/>
    <w:rsid w:val="6D57DC9A"/>
    <w:rsid w:val="6D5D17A2"/>
    <w:rsid w:val="6D6B4986"/>
    <w:rsid w:val="6D6E17C5"/>
    <w:rsid w:val="6D7FA425"/>
    <w:rsid w:val="6DFB684D"/>
    <w:rsid w:val="6DFCE492"/>
    <w:rsid w:val="6DFD965B"/>
    <w:rsid w:val="6DFF3DA8"/>
    <w:rsid w:val="6DFF8FE4"/>
    <w:rsid w:val="6DFF93EE"/>
    <w:rsid w:val="6E182A45"/>
    <w:rsid w:val="6E4E3658"/>
    <w:rsid w:val="6E5969EA"/>
    <w:rsid w:val="6E65A335"/>
    <w:rsid w:val="6E72127E"/>
    <w:rsid w:val="6EB56785"/>
    <w:rsid w:val="6EBBEFC4"/>
    <w:rsid w:val="6EDF3A8D"/>
    <w:rsid w:val="6EEEA5EE"/>
    <w:rsid w:val="6EEF3DBB"/>
    <w:rsid w:val="6EEF5774"/>
    <w:rsid w:val="6EF1815E"/>
    <w:rsid w:val="6EF7BA2F"/>
    <w:rsid w:val="6EFEF699"/>
    <w:rsid w:val="6F2F60A1"/>
    <w:rsid w:val="6F5BAD55"/>
    <w:rsid w:val="6F5E201F"/>
    <w:rsid w:val="6F5ECC87"/>
    <w:rsid w:val="6F7723CE"/>
    <w:rsid w:val="6F7E0090"/>
    <w:rsid w:val="6F7FF651"/>
    <w:rsid w:val="6F9A6F50"/>
    <w:rsid w:val="6F9B5ADC"/>
    <w:rsid w:val="6F9BDB6C"/>
    <w:rsid w:val="6F9D25AC"/>
    <w:rsid w:val="6F9FCFB9"/>
    <w:rsid w:val="6FA58BCC"/>
    <w:rsid w:val="6FAF19E1"/>
    <w:rsid w:val="6FBF8E07"/>
    <w:rsid w:val="6FBF955A"/>
    <w:rsid w:val="6FC7935B"/>
    <w:rsid w:val="6FCF9412"/>
    <w:rsid w:val="6FD788F5"/>
    <w:rsid w:val="6FDEFEF9"/>
    <w:rsid w:val="6FDF767E"/>
    <w:rsid w:val="6FE644E1"/>
    <w:rsid w:val="6FEB7021"/>
    <w:rsid w:val="6FEB91EC"/>
    <w:rsid w:val="6FF4CBE6"/>
    <w:rsid w:val="6FFB0603"/>
    <w:rsid w:val="6FFB67C7"/>
    <w:rsid w:val="6FFDC0A3"/>
    <w:rsid w:val="6FFF3CE2"/>
    <w:rsid w:val="6FFFF469"/>
    <w:rsid w:val="7077A43F"/>
    <w:rsid w:val="708B3515"/>
    <w:rsid w:val="70DE537D"/>
    <w:rsid w:val="70F9B025"/>
    <w:rsid w:val="70FBCB2C"/>
    <w:rsid w:val="712B3822"/>
    <w:rsid w:val="715FC76C"/>
    <w:rsid w:val="71660D31"/>
    <w:rsid w:val="71692C8E"/>
    <w:rsid w:val="717DD7B3"/>
    <w:rsid w:val="71844044"/>
    <w:rsid w:val="71884B08"/>
    <w:rsid w:val="719DC92F"/>
    <w:rsid w:val="71EF1ABB"/>
    <w:rsid w:val="71FB4449"/>
    <w:rsid w:val="7273247D"/>
    <w:rsid w:val="72C07827"/>
    <w:rsid w:val="72ED450B"/>
    <w:rsid w:val="72F87E26"/>
    <w:rsid w:val="72FFCF7B"/>
    <w:rsid w:val="73774FB1"/>
    <w:rsid w:val="737B0ED8"/>
    <w:rsid w:val="737EE920"/>
    <w:rsid w:val="73856FF8"/>
    <w:rsid w:val="73A7572A"/>
    <w:rsid w:val="73B51EF9"/>
    <w:rsid w:val="73BB12E0"/>
    <w:rsid w:val="73D01555"/>
    <w:rsid w:val="73D68846"/>
    <w:rsid w:val="73ED6581"/>
    <w:rsid w:val="73EFF68F"/>
    <w:rsid w:val="73F31CE6"/>
    <w:rsid w:val="73F67713"/>
    <w:rsid w:val="73FEF627"/>
    <w:rsid w:val="7474F750"/>
    <w:rsid w:val="74D487E0"/>
    <w:rsid w:val="75150BCE"/>
    <w:rsid w:val="754D1B9A"/>
    <w:rsid w:val="757D7A13"/>
    <w:rsid w:val="757DC1AF"/>
    <w:rsid w:val="758BCED1"/>
    <w:rsid w:val="75AC1E99"/>
    <w:rsid w:val="75BBBC97"/>
    <w:rsid w:val="75BFA760"/>
    <w:rsid w:val="75C441C0"/>
    <w:rsid w:val="75F16A70"/>
    <w:rsid w:val="75F6C1F4"/>
    <w:rsid w:val="75FAB8AE"/>
    <w:rsid w:val="75FE53C8"/>
    <w:rsid w:val="75FF384B"/>
    <w:rsid w:val="76206228"/>
    <w:rsid w:val="7639CDBB"/>
    <w:rsid w:val="763C6BA9"/>
    <w:rsid w:val="767D9B7C"/>
    <w:rsid w:val="767FD516"/>
    <w:rsid w:val="76BB9CA5"/>
    <w:rsid w:val="76EFB9C9"/>
    <w:rsid w:val="76FBD766"/>
    <w:rsid w:val="76FEFD5E"/>
    <w:rsid w:val="76FF95AE"/>
    <w:rsid w:val="7729B9CA"/>
    <w:rsid w:val="775F8ADC"/>
    <w:rsid w:val="776B273C"/>
    <w:rsid w:val="776EFD4D"/>
    <w:rsid w:val="777ED7C6"/>
    <w:rsid w:val="777F8A55"/>
    <w:rsid w:val="7789629F"/>
    <w:rsid w:val="7797CA11"/>
    <w:rsid w:val="779F6AA7"/>
    <w:rsid w:val="77B2FF19"/>
    <w:rsid w:val="77BF26A7"/>
    <w:rsid w:val="77C7E874"/>
    <w:rsid w:val="77CB89BE"/>
    <w:rsid w:val="77D0BF8E"/>
    <w:rsid w:val="77DB4BD1"/>
    <w:rsid w:val="77DE42AA"/>
    <w:rsid w:val="77DFA61D"/>
    <w:rsid w:val="77EDB1F1"/>
    <w:rsid w:val="77F26746"/>
    <w:rsid w:val="77F58A90"/>
    <w:rsid w:val="77F775FB"/>
    <w:rsid w:val="77F7AFA9"/>
    <w:rsid w:val="77F7F1BE"/>
    <w:rsid w:val="77F95BD2"/>
    <w:rsid w:val="77FB3E98"/>
    <w:rsid w:val="77FCA16E"/>
    <w:rsid w:val="77FE7B4F"/>
    <w:rsid w:val="77FF0D06"/>
    <w:rsid w:val="77FF5B7A"/>
    <w:rsid w:val="786C74ED"/>
    <w:rsid w:val="78AA05C8"/>
    <w:rsid w:val="78BFC3B0"/>
    <w:rsid w:val="78DF136F"/>
    <w:rsid w:val="78F74BF5"/>
    <w:rsid w:val="78FB78D2"/>
    <w:rsid w:val="78FBA2ED"/>
    <w:rsid w:val="78FD27C7"/>
    <w:rsid w:val="78FE5A63"/>
    <w:rsid w:val="791668EE"/>
    <w:rsid w:val="79516EBF"/>
    <w:rsid w:val="795E8D68"/>
    <w:rsid w:val="795F75BD"/>
    <w:rsid w:val="798FDD30"/>
    <w:rsid w:val="79AB1A63"/>
    <w:rsid w:val="79AF349B"/>
    <w:rsid w:val="79BB5570"/>
    <w:rsid w:val="79BB5D66"/>
    <w:rsid w:val="79BE15F1"/>
    <w:rsid w:val="79D945A5"/>
    <w:rsid w:val="79DF37F9"/>
    <w:rsid w:val="79E99839"/>
    <w:rsid w:val="79F11DD0"/>
    <w:rsid w:val="79F346E7"/>
    <w:rsid w:val="79FBE1F7"/>
    <w:rsid w:val="79FF3494"/>
    <w:rsid w:val="7A9F2409"/>
    <w:rsid w:val="7AB7FBA4"/>
    <w:rsid w:val="7ABD431C"/>
    <w:rsid w:val="7ACFF7E7"/>
    <w:rsid w:val="7ADF8D06"/>
    <w:rsid w:val="7AF1E608"/>
    <w:rsid w:val="7AF49052"/>
    <w:rsid w:val="7AF5429E"/>
    <w:rsid w:val="7B15E767"/>
    <w:rsid w:val="7B1E9879"/>
    <w:rsid w:val="7B3BAE17"/>
    <w:rsid w:val="7B3FD99F"/>
    <w:rsid w:val="7B5E6D67"/>
    <w:rsid w:val="7B757168"/>
    <w:rsid w:val="7B776EEE"/>
    <w:rsid w:val="7B7B0273"/>
    <w:rsid w:val="7B7D0951"/>
    <w:rsid w:val="7B7F93E2"/>
    <w:rsid w:val="7B7FBFEB"/>
    <w:rsid w:val="7BB411C3"/>
    <w:rsid w:val="7BB59F4D"/>
    <w:rsid w:val="7BBA1DF7"/>
    <w:rsid w:val="7BBB13C9"/>
    <w:rsid w:val="7BBF08EE"/>
    <w:rsid w:val="7BBF1625"/>
    <w:rsid w:val="7BBFFAA8"/>
    <w:rsid w:val="7BC3E1CB"/>
    <w:rsid w:val="7BD734A3"/>
    <w:rsid w:val="7BDD7B37"/>
    <w:rsid w:val="7BDDA73C"/>
    <w:rsid w:val="7BE44CF8"/>
    <w:rsid w:val="7BEA6A05"/>
    <w:rsid w:val="7BEB247B"/>
    <w:rsid w:val="7BEFE6DA"/>
    <w:rsid w:val="7BF3BF39"/>
    <w:rsid w:val="7BF5B9F7"/>
    <w:rsid w:val="7BF70AB0"/>
    <w:rsid w:val="7BF767AD"/>
    <w:rsid w:val="7BFA25E7"/>
    <w:rsid w:val="7BFC3C65"/>
    <w:rsid w:val="7BFE72B7"/>
    <w:rsid w:val="7BFEEFEC"/>
    <w:rsid w:val="7BFF41CF"/>
    <w:rsid w:val="7C1FED41"/>
    <w:rsid w:val="7C67BD8A"/>
    <w:rsid w:val="7C9E0C08"/>
    <w:rsid w:val="7CD098CE"/>
    <w:rsid w:val="7CDFF093"/>
    <w:rsid w:val="7CE42760"/>
    <w:rsid w:val="7CF5A78E"/>
    <w:rsid w:val="7CFEE297"/>
    <w:rsid w:val="7CFF5F62"/>
    <w:rsid w:val="7D1F3A6B"/>
    <w:rsid w:val="7D3B2FB6"/>
    <w:rsid w:val="7D57E2C2"/>
    <w:rsid w:val="7D75143C"/>
    <w:rsid w:val="7D7C255C"/>
    <w:rsid w:val="7D7F7F4D"/>
    <w:rsid w:val="7DA39A1C"/>
    <w:rsid w:val="7DBBB1D2"/>
    <w:rsid w:val="7DBDC376"/>
    <w:rsid w:val="7DBFBEF4"/>
    <w:rsid w:val="7DCCA112"/>
    <w:rsid w:val="7DDF7960"/>
    <w:rsid w:val="7DDF9BC5"/>
    <w:rsid w:val="7DDFF113"/>
    <w:rsid w:val="7DE5B451"/>
    <w:rsid w:val="7DEB9A91"/>
    <w:rsid w:val="7DF4A9F5"/>
    <w:rsid w:val="7DF5F05D"/>
    <w:rsid w:val="7DF74725"/>
    <w:rsid w:val="7DF790F9"/>
    <w:rsid w:val="7DF84455"/>
    <w:rsid w:val="7DF9B896"/>
    <w:rsid w:val="7DFA3791"/>
    <w:rsid w:val="7DFA7BD2"/>
    <w:rsid w:val="7DFB0C88"/>
    <w:rsid w:val="7DFB7837"/>
    <w:rsid w:val="7DFE5EBD"/>
    <w:rsid w:val="7DFEA849"/>
    <w:rsid w:val="7DFF289B"/>
    <w:rsid w:val="7DFF8CEA"/>
    <w:rsid w:val="7DFFB292"/>
    <w:rsid w:val="7DFFB7A9"/>
    <w:rsid w:val="7DFFE009"/>
    <w:rsid w:val="7DFFE626"/>
    <w:rsid w:val="7DFFEF6C"/>
    <w:rsid w:val="7E07355D"/>
    <w:rsid w:val="7E131720"/>
    <w:rsid w:val="7E220D10"/>
    <w:rsid w:val="7E5F4FAD"/>
    <w:rsid w:val="7E5F86EE"/>
    <w:rsid w:val="7E5FDE9C"/>
    <w:rsid w:val="7E5FE693"/>
    <w:rsid w:val="7E652F5C"/>
    <w:rsid w:val="7E6DB550"/>
    <w:rsid w:val="7E7B84EB"/>
    <w:rsid w:val="7E7BA5F5"/>
    <w:rsid w:val="7E884CE2"/>
    <w:rsid w:val="7E8F5D39"/>
    <w:rsid w:val="7E8F6586"/>
    <w:rsid w:val="7EAD171A"/>
    <w:rsid w:val="7EB9FE92"/>
    <w:rsid w:val="7EBA6A5F"/>
    <w:rsid w:val="7EBD3167"/>
    <w:rsid w:val="7EC7E795"/>
    <w:rsid w:val="7EDB602D"/>
    <w:rsid w:val="7EDF0B49"/>
    <w:rsid w:val="7EED2D5B"/>
    <w:rsid w:val="7EEDC4AF"/>
    <w:rsid w:val="7EEE9E16"/>
    <w:rsid w:val="7EF2E440"/>
    <w:rsid w:val="7EF34A6F"/>
    <w:rsid w:val="7EF5BD95"/>
    <w:rsid w:val="7EF7E87F"/>
    <w:rsid w:val="7EFBDC7D"/>
    <w:rsid w:val="7EFDB6A1"/>
    <w:rsid w:val="7EFDE50D"/>
    <w:rsid w:val="7EFE2D74"/>
    <w:rsid w:val="7EFE5105"/>
    <w:rsid w:val="7EFF1433"/>
    <w:rsid w:val="7EFF16F6"/>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532DA4"/>
    <w:rsid w:val="7F59FBAD"/>
    <w:rsid w:val="7F5A1869"/>
    <w:rsid w:val="7F5D4CA1"/>
    <w:rsid w:val="7F66564B"/>
    <w:rsid w:val="7F736BB3"/>
    <w:rsid w:val="7F759B80"/>
    <w:rsid w:val="7F7A0D5A"/>
    <w:rsid w:val="7F7D72E0"/>
    <w:rsid w:val="7F7E62FE"/>
    <w:rsid w:val="7F7F4081"/>
    <w:rsid w:val="7F7F8BA7"/>
    <w:rsid w:val="7F7FE757"/>
    <w:rsid w:val="7F7FEA65"/>
    <w:rsid w:val="7F8DE414"/>
    <w:rsid w:val="7F9509F6"/>
    <w:rsid w:val="7F979FD3"/>
    <w:rsid w:val="7F9A9519"/>
    <w:rsid w:val="7F9BBFCF"/>
    <w:rsid w:val="7FA73241"/>
    <w:rsid w:val="7FA7E5AA"/>
    <w:rsid w:val="7FA906A8"/>
    <w:rsid w:val="7FADB99B"/>
    <w:rsid w:val="7FAF0973"/>
    <w:rsid w:val="7FB7DD35"/>
    <w:rsid w:val="7FBC285B"/>
    <w:rsid w:val="7FBE3F1A"/>
    <w:rsid w:val="7FBF0F57"/>
    <w:rsid w:val="7FBF1CE7"/>
    <w:rsid w:val="7FBFE2FD"/>
    <w:rsid w:val="7FD232CF"/>
    <w:rsid w:val="7FD39406"/>
    <w:rsid w:val="7FD500EF"/>
    <w:rsid w:val="7FD5DB77"/>
    <w:rsid w:val="7FD71EF4"/>
    <w:rsid w:val="7FD7DCD4"/>
    <w:rsid w:val="7FDD30B5"/>
    <w:rsid w:val="7FDDDA05"/>
    <w:rsid w:val="7FDF0374"/>
    <w:rsid w:val="7FDF62F6"/>
    <w:rsid w:val="7FDF6EEC"/>
    <w:rsid w:val="7FDFF71C"/>
    <w:rsid w:val="7FE1423F"/>
    <w:rsid w:val="7FE7D156"/>
    <w:rsid w:val="7FEA437C"/>
    <w:rsid w:val="7FEAB617"/>
    <w:rsid w:val="7FEB9FD7"/>
    <w:rsid w:val="7FEBC153"/>
    <w:rsid w:val="7FECD89D"/>
    <w:rsid w:val="7FED05D8"/>
    <w:rsid w:val="7FEEA687"/>
    <w:rsid w:val="7FEF4DB0"/>
    <w:rsid w:val="7FEF5E61"/>
    <w:rsid w:val="7FEF779A"/>
    <w:rsid w:val="7FEF8320"/>
    <w:rsid w:val="7FEFE316"/>
    <w:rsid w:val="7FEFF3CE"/>
    <w:rsid w:val="7FF3054E"/>
    <w:rsid w:val="7FF3C790"/>
    <w:rsid w:val="7FF49BA0"/>
    <w:rsid w:val="7FF6014E"/>
    <w:rsid w:val="7FF7841C"/>
    <w:rsid w:val="7FF79A2F"/>
    <w:rsid w:val="7FF7AD73"/>
    <w:rsid w:val="7FF7AE27"/>
    <w:rsid w:val="7FF95C95"/>
    <w:rsid w:val="7FFB0B36"/>
    <w:rsid w:val="7FFBB955"/>
    <w:rsid w:val="7FFBC8F2"/>
    <w:rsid w:val="7FFBE6EF"/>
    <w:rsid w:val="7FFD647B"/>
    <w:rsid w:val="7FFE2D43"/>
    <w:rsid w:val="7FFE6059"/>
    <w:rsid w:val="7FFE6B32"/>
    <w:rsid w:val="7FFEDEBC"/>
    <w:rsid w:val="7FFF38E2"/>
    <w:rsid w:val="7FFF4344"/>
    <w:rsid w:val="7FFF4553"/>
    <w:rsid w:val="7FFF7D41"/>
    <w:rsid w:val="7FFFB338"/>
    <w:rsid w:val="7FFFB69F"/>
    <w:rsid w:val="7FFFE0A9"/>
    <w:rsid w:val="7FFFEF51"/>
    <w:rsid w:val="878BBF5A"/>
    <w:rsid w:val="89CF1D98"/>
    <w:rsid w:val="8BBF9311"/>
    <w:rsid w:val="8ED7C19A"/>
    <w:rsid w:val="8EEEF1E8"/>
    <w:rsid w:val="8F738877"/>
    <w:rsid w:val="8F7E7D85"/>
    <w:rsid w:val="8FCFEC67"/>
    <w:rsid w:val="8FFB6887"/>
    <w:rsid w:val="8FFFEB91"/>
    <w:rsid w:val="93B96D56"/>
    <w:rsid w:val="93DE452D"/>
    <w:rsid w:val="95B9AA5C"/>
    <w:rsid w:val="96DF0BAC"/>
    <w:rsid w:val="97BBDB9E"/>
    <w:rsid w:val="97FDE061"/>
    <w:rsid w:val="9B6A78A1"/>
    <w:rsid w:val="9B7F74AA"/>
    <w:rsid w:val="9B9ECE6A"/>
    <w:rsid w:val="9BCF3212"/>
    <w:rsid w:val="9BD700FA"/>
    <w:rsid w:val="9BDAE751"/>
    <w:rsid w:val="9BFDA9B9"/>
    <w:rsid w:val="9CDD68BD"/>
    <w:rsid w:val="9CFDB1E6"/>
    <w:rsid w:val="9D1D3CE9"/>
    <w:rsid w:val="9DBE0C4A"/>
    <w:rsid w:val="9DED8F43"/>
    <w:rsid w:val="9DF9C5D1"/>
    <w:rsid w:val="9E993BF0"/>
    <w:rsid w:val="9EECD5E1"/>
    <w:rsid w:val="9EFF63D0"/>
    <w:rsid w:val="9F33322C"/>
    <w:rsid w:val="9F370502"/>
    <w:rsid w:val="9F5BFDD6"/>
    <w:rsid w:val="9FD5BB96"/>
    <w:rsid w:val="9FD7768C"/>
    <w:rsid w:val="9FEF9D75"/>
    <w:rsid w:val="9FF7D87B"/>
    <w:rsid w:val="9FF7F80E"/>
    <w:rsid w:val="9FFD6819"/>
    <w:rsid w:val="9FFF9EED"/>
    <w:rsid w:val="A38E863A"/>
    <w:rsid w:val="A57EDA5E"/>
    <w:rsid w:val="A5ADD129"/>
    <w:rsid w:val="A5FF95BE"/>
    <w:rsid w:val="A7ED053A"/>
    <w:rsid w:val="A7F7032C"/>
    <w:rsid w:val="A7FF35F6"/>
    <w:rsid w:val="A7FF913D"/>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F8080"/>
    <w:rsid w:val="AD7F38A2"/>
    <w:rsid w:val="AD7FBA59"/>
    <w:rsid w:val="AD970582"/>
    <w:rsid w:val="ADBB73F3"/>
    <w:rsid w:val="ADC358B8"/>
    <w:rsid w:val="ADFA229E"/>
    <w:rsid w:val="ADFBC9D7"/>
    <w:rsid w:val="AE066B85"/>
    <w:rsid w:val="AE752BEC"/>
    <w:rsid w:val="AEF50F84"/>
    <w:rsid w:val="AF6CC4AE"/>
    <w:rsid w:val="AF79B496"/>
    <w:rsid w:val="AFD7123F"/>
    <w:rsid w:val="AFEA9A4C"/>
    <w:rsid w:val="AFFD6E8F"/>
    <w:rsid w:val="AFFD6EFB"/>
    <w:rsid w:val="AFFED56E"/>
    <w:rsid w:val="AFFFED7B"/>
    <w:rsid w:val="B2DF8DD8"/>
    <w:rsid w:val="B2F47022"/>
    <w:rsid w:val="B33C0D29"/>
    <w:rsid w:val="B3C458EF"/>
    <w:rsid w:val="B3F148B5"/>
    <w:rsid w:val="B4FF9ACA"/>
    <w:rsid w:val="B5B576AC"/>
    <w:rsid w:val="B69BA5DD"/>
    <w:rsid w:val="B6F7CE56"/>
    <w:rsid w:val="B6FEDD84"/>
    <w:rsid w:val="B763EBBC"/>
    <w:rsid w:val="B76EFA11"/>
    <w:rsid w:val="B77FC831"/>
    <w:rsid w:val="B78F7E39"/>
    <w:rsid w:val="B797D9A9"/>
    <w:rsid w:val="B79FF465"/>
    <w:rsid w:val="B7DFD8DF"/>
    <w:rsid w:val="B7EDC966"/>
    <w:rsid w:val="B7F386E3"/>
    <w:rsid w:val="B7FB4C34"/>
    <w:rsid w:val="B7FC70DB"/>
    <w:rsid w:val="B7FF314F"/>
    <w:rsid w:val="B7FFB16E"/>
    <w:rsid w:val="B7FFD648"/>
    <w:rsid w:val="B9DE29B9"/>
    <w:rsid w:val="B9FA9178"/>
    <w:rsid w:val="B9FCE0B5"/>
    <w:rsid w:val="B9FF7F8E"/>
    <w:rsid w:val="BAD603D9"/>
    <w:rsid w:val="BAEE8A21"/>
    <w:rsid w:val="BAEF907E"/>
    <w:rsid w:val="BAF9BF7C"/>
    <w:rsid w:val="BB7BF0F9"/>
    <w:rsid w:val="BB7D94EC"/>
    <w:rsid w:val="BBBC522F"/>
    <w:rsid w:val="BBDA4C2A"/>
    <w:rsid w:val="BBDE722F"/>
    <w:rsid w:val="BBEF346B"/>
    <w:rsid w:val="BBEFF16C"/>
    <w:rsid w:val="BBF74192"/>
    <w:rsid w:val="BCF70CED"/>
    <w:rsid w:val="BCFFFB96"/>
    <w:rsid w:val="BD3F42D7"/>
    <w:rsid w:val="BD4F02D5"/>
    <w:rsid w:val="BD7F915C"/>
    <w:rsid w:val="BDB98D7B"/>
    <w:rsid w:val="BDBD2207"/>
    <w:rsid w:val="BDBF922D"/>
    <w:rsid w:val="BDBFD108"/>
    <w:rsid w:val="BDD09CDB"/>
    <w:rsid w:val="BDD3C732"/>
    <w:rsid w:val="BDED2E20"/>
    <w:rsid w:val="BDF278CE"/>
    <w:rsid w:val="BDF62023"/>
    <w:rsid w:val="BDFBC3F4"/>
    <w:rsid w:val="BDFFAC50"/>
    <w:rsid w:val="BE0F68B4"/>
    <w:rsid w:val="BE16CC4E"/>
    <w:rsid w:val="BE3BE464"/>
    <w:rsid w:val="BE5F612F"/>
    <w:rsid w:val="BE7F5975"/>
    <w:rsid w:val="BE9A7990"/>
    <w:rsid w:val="BEB746B8"/>
    <w:rsid w:val="BEBB3B93"/>
    <w:rsid w:val="BEC63099"/>
    <w:rsid w:val="BEDE62FB"/>
    <w:rsid w:val="BEEFA20C"/>
    <w:rsid w:val="BEEFB08B"/>
    <w:rsid w:val="BEF89F54"/>
    <w:rsid w:val="BEFD774F"/>
    <w:rsid w:val="BEFD8481"/>
    <w:rsid w:val="BF675C6D"/>
    <w:rsid w:val="BF7F3043"/>
    <w:rsid w:val="BFAF6BEA"/>
    <w:rsid w:val="BFB3220D"/>
    <w:rsid w:val="BFB71D93"/>
    <w:rsid w:val="BFB7BE07"/>
    <w:rsid w:val="BFBBE20F"/>
    <w:rsid w:val="BFBE9210"/>
    <w:rsid w:val="BFBE9B55"/>
    <w:rsid w:val="BFBED6FD"/>
    <w:rsid w:val="BFC5A207"/>
    <w:rsid w:val="BFC70874"/>
    <w:rsid w:val="BFD64240"/>
    <w:rsid w:val="BFD7EC7E"/>
    <w:rsid w:val="BFED66DB"/>
    <w:rsid w:val="BFEF1CF0"/>
    <w:rsid w:val="BFEFCAFA"/>
    <w:rsid w:val="BFF211F5"/>
    <w:rsid w:val="BFFA9525"/>
    <w:rsid w:val="BFFE9173"/>
    <w:rsid w:val="BFFF05AA"/>
    <w:rsid w:val="BFFF2794"/>
    <w:rsid w:val="BFFFD7C6"/>
    <w:rsid w:val="BFFFDD6C"/>
    <w:rsid w:val="C175FC02"/>
    <w:rsid w:val="C22D1432"/>
    <w:rsid w:val="C377D33E"/>
    <w:rsid w:val="C3817AF8"/>
    <w:rsid w:val="C6F79AA3"/>
    <w:rsid w:val="C6FF5552"/>
    <w:rsid w:val="C74F1025"/>
    <w:rsid w:val="C7A6E0C6"/>
    <w:rsid w:val="C7D5E229"/>
    <w:rsid w:val="C97B931B"/>
    <w:rsid w:val="C9F79D00"/>
    <w:rsid w:val="CADC6933"/>
    <w:rsid w:val="CAFAA37E"/>
    <w:rsid w:val="CB75B92C"/>
    <w:rsid w:val="CBB7F621"/>
    <w:rsid w:val="CBD7FC94"/>
    <w:rsid w:val="CC4EC24D"/>
    <w:rsid w:val="CCDEA039"/>
    <w:rsid w:val="CD2F8F6B"/>
    <w:rsid w:val="CD3FEDD1"/>
    <w:rsid w:val="CD43FCA8"/>
    <w:rsid w:val="CDD794E5"/>
    <w:rsid w:val="CDE3ACC7"/>
    <w:rsid w:val="CE59865A"/>
    <w:rsid w:val="CEE3C93B"/>
    <w:rsid w:val="CEEF2283"/>
    <w:rsid w:val="CEEF9173"/>
    <w:rsid w:val="CEF962AC"/>
    <w:rsid w:val="CF9FE00B"/>
    <w:rsid w:val="CFB3E3C7"/>
    <w:rsid w:val="CFB62C4F"/>
    <w:rsid w:val="CFB765EE"/>
    <w:rsid w:val="CFD4E29C"/>
    <w:rsid w:val="CFFD05AF"/>
    <w:rsid w:val="CFFF87B9"/>
    <w:rsid w:val="CFFFD98E"/>
    <w:rsid w:val="D0F8E025"/>
    <w:rsid w:val="D1AC3D17"/>
    <w:rsid w:val="D36F8E10"/>
    <w:rsid w:val="D3AF74CA"/>
    <w:rsid w:val="D3B189C1"/>
    <w:rsid w:val="D3F76A6F"/>
    <w:rsid w:val="D427A4B1"/>
    <w:rsid w:val="D4BF6AC9"/>
    <w:rsid w:val="D5080E33"/>
    <w:rsid w:val="D5E8B31C"/>
    <w:rsid w:val="D5E8D377"/>
    <w:rsid w:val="D657661F"/>
    <w:rsid w:val="D67F4E7E"/>
    <w:rsid w:val="D6DF4AEF"/>
    <w:rsid w:val="D6EB6563"/>
    <w:rsid w:val="D75F352F"/>
    <w:rsid w:val="D77D4576"/>
    <w:rsid w:val="D787430D"/>
    <w:rsid w:val="D79D7F56"/>
    <w:rsid w:val="D7A7460B"/>
    <w:rsid w:val="D7DF94DA"/>
    <w:rsid w:val="D7E7FDB1"/>
    <w:rsid w:val="D7EB2526"/>
    <w:rsid w:val="D7EBD1A5"/>
    <w:rsid w:val="D7F62A5C"/>
    <w:rsid w:val="D7FDE049"/>
    <w:rsid w:val="D7FF623E"/>
    <w:rsid w:val="D8FD8BAE"/>
    <w:rsid w:val="D9EFD876"/>
    <w:rsid w:val="D9F6D5BA"/>
    <w:rsid w:val="DA9DC0C0"/>
    <w:rsid w:val="DA9FB462"/>
    <w:rsid w:val="DADB344B"/>
    <w:rsid w:val="DB370689"/>
    <w:rsid w:val="DB3F8FB7"/>
    <w:rsid w:val="DB5D723C"/>
    <w:rsid w:val="DB6FB61A"/>
    <w:rsid w:val="DB73D7DF"/>
    <w:rsid w:val="DB7920D3"/>
    <w:rsid w:val="DB7DAEAA"/>
    <w:rsid w:val="DBD34663"/>
    <w:rsid w:val="DBEAF5C3"/>
    <w:rsid w:val="DBEAFEFE"/>
    <w:rsid w:val="DBEB7774"/>
    <w:rsid w:val="DBFBF72A"/>
    <w:rsid w:val="DBFFA3A0"/>
    <w:rsid w:val="DBFFE62A"/>
    <w:rsid w:val="DCA61F6F"/>
    <w:rsid w:val="DCBE0BF0"/>
    <w:rsid w:val="DCEFDE86"/>
    <w:rsid w:val="DD36A020"/>
    <w:rsid w:val="DD7DD9E1"/>
    <w:rsid w:val="DD7F06CB"/>
    <w:rsid w:val="DD7F2E4B"/>
    <w:rsid w:val="DDDDC088"/>
    <w:rsid w:val="DDEBBDBE"/>
    <w:rsid w:val="DDEF4DF2"/>
    <w:rsid w:val="DDFCBE8A"/>
    <w:rsid w:val="DDFF957E"/>
    <w:rsid w:val="DE6F166E"/>
    <w:rsid w:val="DE7EE9F8"/>
    <w:rsid w:val="DE9B9269"/>
    <w:rsid w:val="DEED798E"/>
    <w:rsid w:val="DEF5439C"/>
    <w:rsid w:val="DEF773E0"/>
    <w:rsid w:val="DEFBAEFB"/>
    <w:rsid w:val="DEFD88FB"/>
    <w:rsid w:val="DEFD9079"/>
    <w:rsid w:val="DEFFC765"/>
    <w:rsid w:val="DEFFF55F"/>
    <w:rsid w:val="DF1E23E0"/>
    <w:rsid w:val="DF1FFAD4"/>
    <w:rsid w:val="DF2C3AB6"/>
    <w:rsid w:val="DF55E0BC"/>
    <w:rsid w:val="DF5758BD"/>
    <w:rsid w:val="DF758D7C"/>
    <w:rsid w:val="DF7D6912"/>
    <w:rsid w:val="DF7DECCB"/>
    <w:rsid w:val="DF7E224E"/>
    <w:rsid w:val="DF7F5067"/>
    <w:rsid w:val="DF7FB3AB"/>
    <w:rsid w:val="DF9EA8A9"/>
    <w:rsid w:val="DFADB1E4"/>
    <w:rsid w:val="DFB7D4DA"/>
    <w:rsid w:val="DFBF3DB0"/>
    <w:rsid w:val="DFBFB69D"/>
    <w:rsid w:val="DFD5D6FB"/>
    <w:rsid w:val="DFDB6BDD"/>
    <w:rsid w:val="DFDCBDA7"/>
    <w:rsid w:val="DFDF25CB"/>
    <w:rsid w:val="DFE71C10"/>
    <w:rsid w:val="DFE734D9"/>
    <w:rsid w:val="DFEAD540"/>
    <w:rsid w:val="DFF51B9C"/>
    <w:rsid w:val="DFF57B4B"/>
    <w:rsid w:val="DFF7BB33"/>
    <w:rsid w:val="DFF7D1B1"/>
    <w:rsid w:val="DFFA2D74"/>
    <w:rsid w:val="DFFBDD6E"/>
    <w:rsid w:val="DFFD987D"/>
    <w:rsid w:val="DFFDA77F"/>
    <w:rsid w:val="DFFDB25B"/>
    <w:rsid w:val="DFFF1FED"/>
    <w:rsid w:val="E1BE4097"/>
    <w:rsid w:val="E1F7CD63"/>
    <w:rsid w:val="E22E61CF"/>
    <w:rsid w:val="E297809D"/>
    <w:rsid w:val="E2F57C1B"/>
    <w:rsid w:val="E2FF1653"/>
    <w:rsid w:val="E37FE289"/>
    <w:rsid w:val="E385F030"/>
    <w:rsid w:val="E3EBB47D"/>
    <w:rsid w:val="E3EE2D82"/>
    <w:rsid w:val="E5B5433D"/>
    <w:rsid w:val="E5D8E41E"/>
    <w:rsid w:val="E5DBD33F"/>
    <w:rsid w:val="E5F7D947"/>
    <w:rsid w:val="E66BF51E"/>
    <w:rsid w:val="E6E3C5F0"/>
    <w:rsid w:val="E6EFE6BD"/>
    <w:rsid w:val="E6F30116"/>
    <w:rsid w:val="E6FF1BD9"/>
    <w:rsid w:val="E72B99B6"/>
    <w:rsid w:val="E7785746"/>
    <w:rsid w:val="E779E75A"/>
    <w:rsid w:val="E78FF6AA"/>
    <w:rsid w:val="E7CFD029"/>
    <w:rsid w:val="E7EF5D44"/>
    <w:rsid w:val="E7F1DFBF"/>
    <w:rsid w:val="E7F47F0E"/>
    <w:rsid w:val="E7FD447C"/>
    <w:rsid w:val="E7FE694C"/>
    <w:rsid w:val="E7FF9A1A"/>
    <w:rsid w:val="E7FFC760"/>
    <w:rsid w:val="E7FFCEF3"/>
    <w:rsid w:val="E8EF498B"/>
    <w:rsid w:val="E97B7F01"/>
    <w:rsid w:val="E9B838B1"/>
    <w:rsid w:val="E9D36EAE"/>
    <w:rsid w:val="E9D78029"/>
    <w:rsid w:val="E9E62B3C"/>
    <w:rsid w:val="E9F410F8"/>
    <w:rsid w:val="E9FCF86D"/>
    <w:rsid w:val="E9FD3D14"/>
    <w:rsid w:val="E9FEB65B"/>
    <w:rsid w:val="EA7A1829"/>
    <w:rsid w:val="EAAEE141"/>
    <w:rsid w:val="EAB7969D"/>
    <w:rsid w:val="EABFA8D8"/>
    <w:rsid w:val="EAE6EC88"/>
    <w:rsid w:val="EAF627E0"/>
    <w:rsid w:val="EAF66968"/>
    <w:rsid w:val="EAF74962"/>
    <w:rsid w:val="EAFDA722"/>
    <w:rsid w:val="EAFF4BEE"/>
    <w:rsid w:val="EB3937BB"/>
    <w:rsid w:val="EB3DA1F8"/>
    <w:rsid w:val="EB560F3D"/>
    <w:rsid w:val="EB6EB4A9"/>
    <w:rsid w:val="EB7781B6"/>
    <w:rsid w:val="EB7A728C"/>
    <w:rsid w:val="EBABBC6B"/>
    <w:rsid w:val="EBD7AB46"/>
    <w:rsid w:val="EBF5DABD"/>
    <w:rsid w:val="EBFF99F0"/>
    <w:rsid w:val="EC3F4107"/>
    <w:rsid w:val="ECBE870D"/>
    <w:rsid w:val="ECCFCABF"/>
    <w:rsid w:val="ED3AF84A"/>
    <w:rsid w:val="ED3E8DCE"/>
    <w:rsid w:val="ED457A82"/>
    <w:rsid w:val="ED5E20C3"/>
    <w:rsid w:val="ED5E5821"/>
    <w:rsid w:val="ED77F700"/>
    <w:rsid w:val="ED7D5FB0"/>
    <w:rsid w:val="ED7EBBBE"/>
    <w:rsid w:val="ED7F9B2E"/>
    <w:rsid w:val="ED994E17"/>
    <w:rsid w:val="EDFB7A63"/>
    <w:rsid w:val="EDFB834E"/>
    <w:rsid w:val="EDFBC016"/>
    <w:rsid w:val="EDFBF0DA"/>
    <w:rsid w:val="EDFF379D"/>
    <w:rsid w:val="EDFFAE75"/>
    <w:rsid w:val="EE1E7BE7"/>
    <w:rsid w:val="EE579B44"/>
    <w:rsid w:val="EE758774"/>
    <w:rsid w:val="EE8E1C73"/>
    <w:rsid w:val="EEC79FA8"/>
    <w:rsid w:val="EEE7829C"/>
    <w:rsid w:val="EEF3B7B9"/>
    <w:rsid w:val="EEFB9D6E"/>
    <w:rsid w:val="EEFCD448"/>
    <w:rsid w:val="EEFD4566"/>
    <w:rsid w:val="EF5BBB3E"/>
    <w:rsid w:val="EF5C3C20"/>
    <w:rsid w:val="EF675FF1"/>
    <w:rsid w:val="EF76C74D"/>
    <w:rsid w:val="EF780C29"/>
    <w:rsid w:val="EF7EF8DA"/>
    <w:rsid w:val="EFA59F96"/>
    <w:rsid w:val="EFABE406"/>
    <w:rsid w:val="EFAF001D"/>
    <w:rsid w:val="EFB747A0"/>
    <w:rsid w:val="EFBBA7C0"/>
    <w:rsid w:val="EFBF197E"/>
    <w:rsid w:val="EFBFA87B"/>
    <w:rsid w:val="EFBFE406"/>
    <w:rsid w:val="EFC924B6"/>
    <w:rsid w:val="EFDA80BF"/>
    <w:rsid w:val="EFDDE47A"/>
    <w:rsid w:val="EFDE9B51"/>
    <w:rsid w:val="EFDEB539"/>
    <w:rsid w:val="EFE6ECB7"/>
    <w:rsid w:val="EFE7B998"/>
    <w:rsid w:val="EFE7E5EC"/>
    <w:rsid w:val="EFEA7D5B"/>
    <w:rsid w:val="EFED498C"/>
    <w:rsid w:val="EFED99BF"/>
    <w:rsid w:val="EFEF2906"/>
    <w:rsid w:val="EFEF72BD"/>
    <w:rsid w:val="EFF934BE"/>
    <w:rsid w:val="EFFD145C"/>
    <w:rsid w:val="EFFDB996"/>
    <w:rsid w:val="EFFF2C9B"/>
    <w:rsid w:val="EFFF3F43"/>
    <w:rsid w:val="EFFF6748"/>
    <w:rsid w:val="EFFF9B30"/>
    <w:rsid w:val="F0F94EE3"/>
    <w:rsid w:val="F0FB4779"/>
    <w:rsid w:val="F14E68EB"/>
    <w:rsid w:val="F17F8C07"/>
    <w:rsid w:val="F18C82C3"/>
    <w:rsid w:val="F1BF1234"/>
    <w:rsid w:val="F1BFDF14"/>
    <w:rsid w:val="F1DFCCE8"/>
    <w:rsid w:val="F1EAAB38"/>
    <w:rsid w:val="F1FFB93C"/>
    <w:rsid w:val="F27B7141"/>
    <w:rsid w:val="F27FA38A"/>
    <w:rsid w:val="F2BB2614"/>
    <w:rsid w:val="F2CFD35C"/>
    <w:rsid w:val="F2DF6F80"/>
    <w:rsid w:val="F2F83809"/>
    <w:rsid w:val="F2FD2B9E"/>
    <w:rsid w:val="F2FF12B4"/>
    <w:rsid w:val="F2FF721A"/>
    <w:rsid w:val="F36F20A8"/>
    <w:rsid w:val="F3724F2C"/>
    <w:rsid w:val="F37F4A1B"/>
    <w:rsid w:val="F37F60F1"/>
    <w:rsid w:val="F3B57471"/>
    <w:rsid w:val="F3BE45FB"/>
    <w:rsid w:val="F3C7602B"/>
    <w:rsid w:val="F3CEB86F"/>
    <w:rsid w:val="F3D294D4"/>
    <w:rsid w:val="F3DB2C35"/>
    <w:rsid w:val="F3EB7093"/>
    <w:rsid w:val="F3F7F6B9"/>
    <w:rsid w:val="F3FE868E"/>
    <w:rsid w:val="F46DC9F9"/>
    <w:rsid w:val="F49B07CE"/>
    <w:rsid w:val="F4B95111"/>
    <w:rsid w:val="F4FDB1E4"/>
    <w:rsid w:val="F56B5BAD"/>
    <w:rsid w:val="F5729ABB"/>
    <w:rsid w:val="F57F4DA8"/>
    <w:rsid w:val="F58FFD66"/>
    <w:rsid w:val="F5B9D0C9"/>
    <w:rsid w:val="F5BDD1EE"/>
    <w:rsid w:val="F5CF8F43"/>
    <w:rsid w:val="F5E7485D"/>
    <w:rsid w:val="F5E78F19"/>
    <w:rsid w:val="F5EBBEC7"/>
    <w:rsid w:val="F5F58577"/>
    <w:rsid w:val="F5F7717B"/>
    <w:rsid w:val="F5F7CC98"/>
    <w:rsid w:val="F5F908CE"/>
    <w:rsid w:val="F5F91F09"/>
    <w:rsid w:val="F5FE5C2F"/>
    <w:rsid w:val="F5FFBB49"/>
    <w:rsid w:val="F62D44B6"/>
    <w:rsid w:val="F6BF00C6"/>
    <w:rsid w:val="F6F5656B"/>
    <w:rsid w:val="F6FA9E45"/>
    <w:rsid w:val="F6FBD95B"/>
    <w:rsid w:val="F6FD14F3"/>
    <w:rsid w:val="F6FFD7B4"/>
    <w:rsid w:val="F71E64CF"/>
    <w:rsid w:val="F73D9369"/>
    <w:rsid w:val="F73FC669"/>
    <w:rsid w:val="F7751416"/>
    <w:rsid w:val="F77570B5"/>
    <w:rsid w:val="F7767906"/>
    <w:rsid w:val="F7792F0B"/>
    <w:rsid w:val="F78FE489"/>
    <w:rsid w:val="F79B70F7"/>
    <w:rsid w:val="F79F3EE3"/>
    <w:rsid w:val="F7A7BE7D"/>
    <w:rsid w:val="F7B63B30"/>
    <w:rsid w:val="F7B77A11"/>
    <w:rsid w:val="F7BBDB1B"/>
    <w:rsid w:val="F7BBF1CE"/>
    <w:rsid w:val="F7BD39CA"/>
    <w:rsid w:val="F7BEC53E"/>
    <w:rsid w:val="F7CB21F0"/>
    <w:rsid w:val="F7CFDD56"/>
    <w:rsid w:val="F7D72319"/>
    <w:rsid w:val="F7D9F7D4"/>
    <w:rsid w:val="F7E9353E"/>
    <w:rsid w:val="F7ED4F59"/>
    <w:rsid w:val="F7ED7240"/>
    <w:rsid w:val="F7EF7726"/>
    <w:rsid w:val="F7F32E55"/>
    <w:rsid w:val="F7F6422D"/>
    <w:rsid w:val="F7F696AC"/>
    <w:rsid w:val="F7FA51F0"/>
    <w:rsid w:val="F7FCA273"/>
    <w:rsid w:val="F7FEBB66"/>
    <w:rsid w:val="F7FED789"/>
    <w:rsid w:val="F7FF14E5"/>
    <w:rsid w:val="F7FF49A9"/>
    <w:rsid w:val="F7FF5CC8"/>
    <w:rsid w:val="F7FFEAAB"/>
    <w:rsid w:val="F83DD696"/>
    <w:rsid w:val="F86F379F"/>
    <w:rsid w:val="F8BB73F4"/>
    <w:rsid w:val="F8DB69EF"/>
    <w:rsid w:val="F8F4F377"/>
    <w:rsid w:val="F95B1791"/>
    <w:rsid w:val="F967DB1B"/>
    <w:rsid w:val="F9761257"/>
    <w:rsid w:val="F9AF55C0"/>
    <w:rsid w:val="F9D3BAC4"/>
    <w:rsid w:val="F9DE2760"/>
    <w:rsid w:val="F9ED89BC"/>
    <w:rsid w:val="F9F7BAA1"/>
    <w:rsid w:val="F9FB7534"/>
    <w:rsid w:val="F9FE25F2"/>
    <w:rsid w:val="F9FE8762"/>
    <w:rsid w:val="F9FEC024"/>
    <w:rsid w:val="FA3F6127"/>
    <w:rsid w:val="FA7AB7E2"/>
    <w:rsid w:val="FA7D18E6"/>
    <w:rsid w:val="FAAEE65C"/>
    <w:rsid w:val="FABDF389"/>
    <w:rsid w:val="FACF824A"/>
    <w:rsid w:val="FADCE38E"/>
    <w:rsid w:val="FADEF03B"/>
    <w:rsid w:val="FADF9EA9"/>
    <w:rsid w:val="FAF75CFA"/>
    <w:rsid w:val="FAF7D8F9"/>
    <w:rsid w:val="FAFB1238"/>
    <w:rsid w:val="FAFE9304"/>
    <w:rsid w:val="FB5DC626"/>
    <w:rsid w:val="FB5F08F2"/>
    <w:rsid w:val="FB7FAE68"/>
    <w:rsid w:val="FB9D1143"/>
    <w:rsid w:val="FBB7B68C"/>
    <w:rsid w:val="FBBB2238"/>
    <w:rsid w:val="FBBE0EEE"/>
    <w:rsid w:val="FBBEF27B"/>
    <w:rsid w:val="FBBF5514"/>
    <w:rsid w:val="FBC757C9"/>
    <w:rsid w:val="FBDD42D1"/>
    <w:rsid w:val="FBDFD357"/>
    <w:rsid w:val="FBE3A12F"/>
    <w:rsid w:val="FBEFB199"/>
    <w:rsid w:val="FBFB84EF"/>
    <w:rsid w:val="FBFBF83A"/>
    <w:rsid w:val="FBFD7869"/>
    <w:rsid w:val="FBFD8001"/>
    <w:rsid w:val="FBFF254B"/>
    <w:rsid w:val="FBFFFB25"/>
    <w:rsid w:val="FC5FD9DF"/>
    <w:rsid w:val="FC7F12AA"/>
    <w:rsid w:val="FC99B40C"/>
    <w:rsid w:val="FC9C2D2D"/>
    <w:rsid w:val="FC9FADAD"/>
    <w:rsid w:val="FCDC0783"/>
    <w:rsid w:val="FCFF8C19"/>
    <w:rsid w:val="FD1F5F13"/>
    <w:rsid w:val="FD2FA174"/>
    <w:rsid w:val="FD4FBB59"/>
    <w:rsid w:val="FD56352A"/>
    <w:rsid w:val="FD5800B2"/>
    <w:rsid w:val="FD5B514F"/>
    <w:rsid w:val="FD5C5889"/>
    <w:rsid w:val="FD6F0E90"/>
    <w:rsid w:val="FD764F83"/>
    <w:rsid w:val="FDBD8229"/>
    <w:rsid w:val="FDBF45EC"/>
    <w:rsid w:val="FDDE8FE3"/>
    <w:rsid w:val="FDF16CC7"/>
    <w:rsid w:val="FDF3BDC8"/>
    <w:rsid w:val="FDF7CEDC"/>
    <w:rsid w:val="FDFB1A6C"/>
    <w:rsid w:val="FDFC23C8"/>
    <w:rsid w:val="FDFE2CEC"/>
    <w:rsid w:val="FDFF3652"/>
    <w:rsid w:val="FE1E0770"/>
    <w:rsid w:val="FE3DA7DA"/>
    <w:rsid w:val="FE3FEC7B"/>
    <w:rsid w:val="FE51E2EF"/>
    <w:rsid w:val="FE59B8FC"/>
    <w:rsid w:val="FE5F61A1"/>
    <w:rsid w:val="FE5F66F2"/>
    <w:rsid w:val="FE6E154A"/>
    <w:rsid w:val="FE6EC4CD"/>
    <w:rsid w:val="FE7FD523"/>
    <w:rsid w:val="FE8358B1"/>
    <w:rsid w:val="FE8BA7E3"/>
    <w:rsid w:val="FE9EA054"/>
    <w:rsid w:val="FEAF6FD6"/>
    <w:rsid w:val="FEAFA5FE"/>
    <w:rsid w:val="FEBFBEB7"/>
    <w:rsid w:val="FED20F90"/>
    <w:rsid w:val="FED6F92A"/>
    <w:rsid w:val="FEE79552"/>
    <w:rsid w:val="FEEF1E6E"/>
    <w:rsid w:val="FEEF70A3"/>
    <w:rsid w:val="FEF36EFC"/>
    <w:rsid w:val="FEF6CEFE"/>
    <w:rsid w:val="FEF77092"/>
    <w:rsid w:val="FEFA9585"/>
    <w:rsid w:val="FEFB2EB6"/>
    <w:rsid w:val="FEFC242C"/>
    <w:rsid w:val="FEFD9E63"/>
    <w:rsid w:val="FEFDD817"/>
    <w:rsid w:val="FEFF3F8E"/>
    <w:rsid w:val="FEFF60B4"/>
    <w:rsid w:val="FEFF70A4"/>
    <w:rsid w:val="FEFF7496"/>
    <w:rsid w:val="FEFF7F8E"/>
    <w:rsid w:val="FEFFA731"/>
    <w:rsid w:val="FF0F806E"/>
    <w:rsid w:val="FF2F0176"/>
    <w:rsid w:val="FF3A9D83"/>
    <w:rsid w:val="FF3F446D"/>
    <w:rsid w:val="FF4D0274"/>
    <w:rsid w:val="FF577AD4"/>
    <w:rsid w:val="FF57BEB7"/>
    <w:rsid w:val="FF57BF75"/>
    <w:rsid w:val="FF5B3711"/>
    <w:rsid w:val="FF5D14AB"/>
    <w:rsid w:val="FF5D1C8A"/>
    <w:rsid w:val="FF5FC543"/>
    <w:rsid w:val="FF5FE587"/>
    <w:rsid w:val="FF67ABAB"/>
    <w:rsid w:val="FF7180DC"/>
    <w:rsid w:val="FF74F6A5"/>
    <w:rsid w:val="FF764CB7"/>
    <w:rsid w:val="FF776516"/>
    <w:rsid w:val="FF78B65F"/>
    <w:rsid w:val="FF7C54D9"/>
    <w:rsid w:val="FF7CDF6E"/>
    <w:rsid w:val="FF7D304A"/>
    <w:rsid w:val="FF7F32B3"/>
    <w:rsid w:val="FF7F32DD"/>
    <w:rsid w:val="FF7F3B0E"/>
    <w:rsid w:val="FF7F6CD1"/>
    <w:rsid w:val="FF7FE124"/>
    <w:rsid w:val="FF7FE4B1"/>
    <w:rsid w:val="FF7FFA15"/>
    <w:rsid w:val="FF854BC5"/>
    <w:rsid w:val="FF915A06"/>
    <w:rsid w:val="FF952D36"/>
    <w:rsid w:val="FF9F4B0B"/>
    <w:rsid w:val="FF9F5B82"/>
    <w:rsid w:val="FF9FC2BD"/>
    <w:rsid w:val="FFAB6C8F"/>
    <w:rsid w:val="FFAEDC16"/>
    <w:rsid w:val="FFB3B41D"/>
    <w:rsid w:val="FFB5F89A"/>
    <w:rsid w:val="FFB67D11"/>
    <w:rsid w:val="FFB72880"/>
    <w:rsid w:val="FFB73C73"/>
    <w:rsid w:val="FFB9B593"/>
    <w:rsid w:val="FFBCC6DB"/>
    <w:rsid w:val="FFBF6300"/>
    <w:rsid w:val="FFBF7266"/>
    <w:rsid w:val="FFBFE677"/>
    <w:rsid w:val="FFCEA80B"/>
    <w:rsid w:val="FFCFE9D8"/>
    <w:rsid w:val="FFD714EB"/>
    <w:rsid w:val="FFDAEFEA"/>
    <w:rsid w:val="FFDD0FCC"/>
    <w:rsid w:val="FFDEBB95"/>
    <w:rsid w:val="FFDF307B"/>
    <w:rsid w:val="FFDF5FF6"/>
    <w:rsid w:val="FFDFB76F"/>
    <w:rsid w:val="FFDFBB40"/>
    <w:rsid w:val="FFDFF75E"/>
    <w:rsid w:val="FFE3C880"/>
    <w:rsid w:val="FFE50DCE"/>
    <w:rsid w:val="FFE78811"/>
    <w:rsid w:val="FFED5E70"/>
    <w:rsid w:val="FFEDD336"/>
    <w:rsid w:val="FFEDD7C6"/>
    <w:rsid w:val="FFEE288D"/>
    <w:rsid w:val="FFEF91AF"/>
    <w:rsid w:val="FFEFC1C4"/>
    <w:rsid w:val="FFEFE133"/>
    <w:rsid w:val="FFF38FB5"/>
    <w:rsid w:val="FFF5E6CB"/>
    <w:rsid w:val="FFF7028F"/>
    <w:rsid w:val="FFF74287"/>
    <w:rsid w:val="FFF7A893"/>
    <w:rsid w:val="FFF7B4E9"/>
    <w:rsid w:val="FFF7B7CB"/>
    <w:rsid w:val="FFF7E317"/>
    <w:rsid w:val="FFF7F70D"/>
    <w:rsid w:val="FFF9A206"/>
    <w:rsid w:val="FFF9EC50"/>
    <w:rsid w:val="FFFA217D"/>
    <w:rsid w:val="FFFB013C"/>
    <w:rsid w:val="FFFB2860"/>
    <w:rsid w:val="FFFBB370"/>
    <w:rsid w:val="FFFC6607"/>
    <w:rsid w:val="FFFCC141"/>
    <w:rsid w:val="FFFD1C7D"/>
    <w:rsid w:val="FFFD7C05"/>
    <w:rsid w:val="FFFDDEAA"/>
    <w:rsid w:val="FFFE07AA"/>
    <w:rsid w:val="FFFE1151"/>
    <w:rsid w:val="FFFE9DAC"/>
    <w:rsid w:val="FFFEFA9C"/>
    <w:rsid w:val="FFFF24A9"/>
    <w:rsid w:val="FFFF601D"/>
    <w:rsid w:val="FFFF9FCE"/>
    <w:rsid w:val="FFFFA4D8"/>
    <w:rsid w:val="FFFFB5C8"/>
    <w:rsid w:val="FFFFCA51"/>
    <w:rsid w:val="FFFFE3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8"/>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2"/>
    <w:qFormat/>
    <w:uiPriority w:val="0"/>
    <w:rPr>
      <w:rFonts w:ascii="Times New Roman" w:hAnsi="Times New Roman" w:eastAsia="方正小标宋简体" w:cs="Times New Roman"/>
      <w:b/>
      <w:bCs/>
      <w:kern w:val="44"/>
      <w:sz w:val="36"/>
      <w:szCs w:val="44"/>
    </w:rPr>
  </w:style>
  <w:style w:type="character" w:customStyle="1" w:styleId="32">
    <w:name w:val="标题 2 字符"/>
    <w:link w:val="3"/>
    <w:qFormat/>
    <w:uiPriority w:val="0"/>
    <w:rPr>
      <w:rFonts w:ascii="宋体" w:hAnsi="宋体" w:eastAsia="宋体" w:cs="宋体"/>
      <w:b/>
      <w:bCs/>
      <w:sz w:val="30"/>
      <w:szCs w:val="36"/>
    </w:rPr>
  </w:style>
  <w:style w:type="character" w:customStyle="1" w:styleId="33">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4"/>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6"/>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1</Pages>
  <Words>1543</Words>
  <Characters>1605</Characters>
  <Lines>1186</Lines>
  <Paragraphs>334</Paragraphs>
  <TotalTime>45</TotalTime>
  <ScaleCrop>false</ScaleCrop>
  <LinksUpToDate>false</LinksUpToDate>
  <CharactersWithSpaces>1605</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2022-09-02T18:35:00Z</dcterms:created>
  <dc:creator>张通</dc:creator>
  <cp:lastModifiedBy>天助</cp:lastModifiedBy>
  <cp:lastPrinted>2024-09-05T15:37:00Z</cp:lastPrinted>
  <dcterms:modified xsi:type="dcterms:W3CDTF">2025-04-01T07:33:49Z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34080632D329422287819576619627EC_13</vt:lpwstr>
  </property>
</Properties>
</file>