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轻微违法行为不予行政处罚清单</w:t>
      </w:r>
    </w:p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center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tbl>
      <w:tblPr>
        <w:tblStyle w:val="4"/>
        <w:tblW w:w="12774" w:type="dxa"/>
        <w:tblInd w:w="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710"/>
        <w:gridCol w:w="810"/>
        <w:gridCol w:w="856"/>
        <w:gridCol w:w="3859"/>
        <w:gridCol w:w="2269"/>
        <w:gridCol w:w="2681"/>
        <w:gridCol w:w="10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裁量基准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编码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行为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违反法律法规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处罚依据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适用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条件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措施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C4600600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未按要求履行维护市容环境卫生责任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【城镇地区】违反条款：第二十一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条第一款，第二十三条第一款第（一）项、第（二）项、第（三）项，及第二十四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第二款；处罚条款：第二十四条第二款，责令改正，并处200元以上1000元以下罚款。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【农村地区】违反条款：第二十一条第一款，第二十三条第二款，及《关于印发北京市农村地区环境卫生责任区责任标准（试行）的通知》（京政管发〔2008〕49号）（根据具体情形，引用到相关条款）；处罚条款：第二十四条第二款，责令改正，并处200元以上1000元以下罚款。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C4601500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擅自摆摊设点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违反条款：第三十五条第一款；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处罚条款：第三十五条第五款，责令改正，没收违法所得和非法财物，并可处500元以上5000元以下的罚款。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C4601600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乱堆物料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违反条款：第三十五条第一款；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处罚条款：第三十五条第五款，责令改正，没收违法所得和非法财物，并可处500元以上5000元以下的罚款。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C4601800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店外经营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违反条款：第三十五条第三款；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处罚条款：第三十五条第五款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责令改正，并可处300元以上3000元以下的罚款.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C4602000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在城市道路及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其他公共场所晾晒衣物、吊挂物品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处罚条款：第三十六条第二款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责令改正，并可处20元以上50元以下罚款。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C4602500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未按规定管护牌匾标识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违反、处罚条款：第三十九第二款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责令停止使用，限期修复，并可处500元以上5000元以下罚款。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C4604900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随地吐痰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随地便溺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随地丢弃废弃物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违反条款：第五十二条第一款第（二）项；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5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乱倒污水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（垃圾）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在城镇地区饲养家禽家畜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违反、处罚条款：第五十三条第一款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责令限期改正，并可按照每只（头）处20元以上50元以下罚款。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C4611500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未落实“门前三包”责任制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《北京市“门前三包”责任制管理办法》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违反条款：第三条第（一）项、第（二）项、第（三）项；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处罚条款：第八条，对违反本办法的单位应当责令改正，并视情节轻重，处200元以上1000元以下的罚款，并对单位负责人处20元以上50元以下的罚款。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7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C4611400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未按规定扫雪铲冰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《北京市人民政府关于扫雪铲冰管理的规定》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违反条款：第三条第一款、第二款；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处罚条款：第六条，责令改正，并处200元以上1000元以下罚款。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C4635200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无照经营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《无证无照经营查处办法》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违反条款：第二条；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处罚条款：第十三条，责令停止违法行为，没收违法所得，并处1万元以下的罚款。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C4650900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电子显示装置不符合设置规范（或者运行时间要求）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《北京市户外广告设施、牌匾标识和标语宣传品设置管理条例》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违反条款：第二十三条；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处罚条款：第五十条，由街道办事处或者乡镇人民政府责令限期改正；逾期不改正的，处一千元以上一万元以下罚款。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C4602500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违法设置固定式牌匾标识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《北京市户外广告设施、牌匾标识和标语宣传品设置管理条例》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3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违反条款：第三十条；第三十一条；第三十五条第二款；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32"/>
                <w:sz w:val="24"/>
                <w:szCs w:val="24"/>
                <w:highlight w:val="none"/>
              </w:rPr>
              <w:t>（根据发生违法行为选择适用）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处罚条款：第四十九条第三款，以及《北京市市容环境卫生条例》第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三十九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条第一款，责令限期改正，逾期不改正的，予以强制拆除，并可处500元以上5000元以下罚款。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C4611900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未按规定管护宣传设施或者标语宣传品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《北京市标语宣传品设置管理规定》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违反条款：第十五条第一款；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处罚条款：第二十条第一款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责令限期改正，可处100元以上1000元以下罚款。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1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C4612000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未及时撤除标语宣传品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《北京市标语宣传品设置管理规定》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违反条款：第十五条第二款；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处罚条款：第二十条第一款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责令限期改正，可处100元以上1000元以下罚款。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C4647800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主动向消费者提供一次性用品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违反条款：第二十六条第二款；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处罚条款：第六十六条第二款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责令立即改正，处五千元以上一万元以下罚款；再次违反规定的，处一万元以上五万元以下罚款。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5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未将生活垃圾分别投入相应标识的收集容器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对单位：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责令立即改正，情节严重的，处五万元以上五十万元以下罚款。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afterAutospacing="0" w:line="340" w:lineRule="exact"/>
              <w:ind w:left="640" w:leftChars="200" w:firstLine="42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对个人：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由生活垃圾分类管理责任人进行劝阻</w:t>
            </w:r>
            <w:r>
              <w:rPr>
                <w:rFonts w:hint="eastAsia" w:hAnsi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对拒不听从劝阻的，生活垃圾分类管理责任人应当向城市管理综合执法部门报告，由城市管理综合执法部门给予书面警告；再次违反规定的，处五十元以上二百元以下罚款。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体积较大的废弃物品未单独堆放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对单位：违反条款：第三十四条第一款第（二）项；处罚条款：第六十八条第一款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责令立即改正，情节严重的，处五万元以上五十万元以下罚款。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对个人：违反条款：第三十四条第一款第（二）项；处罚条款：第六十八条第二款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农村村民产生的灰土未按规定投放的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8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居民装饰装修房屋过程中产生的建筑垃圾未按指定的时间、地点和要求单独堆放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违反条款：第三十四条第二款；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1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C4607900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未按规定设置生活垃圾分类收集容器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处罚条款：第六十九条第一款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责令立即改正，处三千元以上三万元以下罚款。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8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C4607900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未按规定管护生活垃圾分类收集容器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处罚条款：第六十九条第一款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责令立即改正，处三千元以上三万元以下罚款。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未明确生活垃圾投放的时间、地点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违反条款：第三十六条第一款第（四）项；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处罚条款：第六十九条第一款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责令立即改正，处三千元以上三万元以下罚款。　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携犬人未清除户外犬粪便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《北京市养犬管理规定》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违反条款：第十七条第（六）项；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处罚条款：第三十条</w:t>
            </w:r>
            <w:r>
              <w:rPr>
                <w:rFonts w:hint="eastAsia" w:hAnsi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公共场所标识单独使用外语的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违反条款：第十六条第一款；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处罚条款：第三十条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由城市管理综合执法机构责令改正；拒不改正的，给予警告，并可处五千元以上一万元以下罚款。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6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应当设置、使用公共场所外语标识而未设置、使用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违反条款：第十七条第一款；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处罚条款：第三十一条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由城市管理综合执法机构责令改正；拒不改正的，给予警告，并可处二千元以上五千元以下罚款。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区级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afterAutospacing="0" w:line="340" w:lineRule="exact"/>
              <w:ind w:left="640" w:leftChars="200"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公共场所外语标识译写错误或者明显不当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违反条款：第十九条第一款；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处罚条款：第三十三条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由城市管理综合执法机构责令改正；拒不改正的，给予警告，并可处二千元以上五千元以下罚款。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20" w:firstLineChars="100"/>
        <w:jc w:val="both"/>
        <w:textAlignment w:val="center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yellow"/>
          <w:u w:val="none"/>
          <w:lang w:val="en-US" w:eastAsia="zh-CN" w:bidi="ar"/>
        </w:rPr>
      </w:pPr>
    </w:p>
    <w:p>
      <w:pPr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清单中未列明的其他执法事项，符合《中华人民共和国行政处罚法》规定的应当不予行政处罚或者酌定不予行政处罚情形的，按照《中华人民共和国行政处罚法》的规定依法执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行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MDAzN2Q3NTZjYTZlMzUzODhiOTU5ODQ1MjFhZDkifQ=="/>
  </w:docVars>
  <w:rsids>
    <w:rsidRoot w:val="295E5E42"/>
    <w:rsid w:val="295E5E42"/>
    <w:rsid w:val="790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jc w:val="center"/>
    </w:pPr>
    <w:rPr>
      <w:rFonts w:ascii="方正小标宋_GBK" w:hAnsi="Times New Roman" w:eastAsia="方正小标宋_GBK"/>
      <w:b/>
      <w:bCs/>
      <w:snapToGrid/>
      <w:kern w:val="2"/>
      <w:sz w:val="36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7545</Words>
  <Characters>7974</Characters>
  <Lines>0</Lines>
  <Paragraphs>0</Paragraphs>
  <TotalTime>2</TotalTime>
  <ScaleCrop>false</ScaleCrop>
  <LinksUpToDate>false</LinksUpToDate>
  <CharactersWithSpaces>7976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2023-02-02T02:30:00Z</dcterms:created>
  <dc:creator>1</dc:creator>
  <cp:lastModifiedBy>yjwzf</cp:lastModifiedBy>
  <dcterms:modified xsi:type="dcterms:W3CDTF">2023-02-03T01:04:04Z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16DD02B583C94AB7B01160E3119ED34F</vt:lpwstr>
  </property>
</Properties>
</file>