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DC4AD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  <w:t>北京市通州区马驹桥镇马驹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</w:rPr>
        <w:t>桥中心幼儿园</w:t>
      </w: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2022年预算情况说明</w:t>
      </w:r>
    </w:p>
    <w:p w14:paraId="56FEEA8D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52CFFB1E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7F5CBCCC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6580E04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1AD3DA0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1063F29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134A7943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196195C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461D17FE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0368532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15F74BF5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73D949D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北京市通州区马驹桥镇马驹桥中心幼儿园设有财务室、保教办公室、办公室、卫生保健室4个内设机构。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主要职责</w:t>
      </w:r>
      <w:r>
        <w:rPr>
          <w:rFonts w:hint="eastAsia" w:ascii="仿宋_GB2312" w:eastAsia="仿宋_GB2312"/>
          <w:sz w:val="32"/>
          <w:szCs w:val="32"/>
          <w:highlight w:val="none"/>
        </w:rPr>
        <w:t>为学龄前儿童提供保育和教育服务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。幼儿保育、幼儿教育。</w:t>
      </w:r>
    </w:p>
    <w:p w14:paraId="284C71F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279D3CCC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我单位事业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  <w:highlight w:val="none"/>
        </w:rPr>
        <w:t>编制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  <w:highlight w:val="none"/>
        </w:rPr>
        <w:t>人，实际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  <w:highlight w:val="none"/>
        </w:rPr>
        <w:t>人；人员额度数50人，实际聘用社会化人才22人。聘用人员（包括其他聘用人员--临时工等）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41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2CD5464A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离退休人员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人，其中：离休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人，退休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069AEC93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3BAC717C">
      <w:pPr>
        <w:widowControl/>
        <w:spacing w:after="24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.做好疫情防控工作，保证防疫物资储备充足。2.公用支出用于保障水费、电费、取暖费等日常运转支出。3.购买与幼儿保育教育活动有关的日常用品、教材等，做好保育教育工作，落实立德树人根本任务。4.人才队伍建设方面，培训费用于提升教师专业能力方面的培训，通过聘请专家，参加培训课程从而促进教师专业发展，强化队伍梯队建设，做好幼儿园后备人才建设。5.加强党风廉政建设，做好党员转正及预备党员的发展及培养工作，发挥好党支部战斗堡垒和党员先锋模范作用。6.合理使用专项经费，促进我园在工作质量等方面发展。</w:t>
      </w:r>
    </w:p>
    <w:p w14:paraId="3BA42E19">
      <w:pPr>
        <w:widowControl/>
        <w:spacing w:after="240" w:line="560" w:lineRule="exact"/>
        <w:ind w:firstLine="64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2B4F898F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2022年收入预算1168.62万元，比2021年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259.97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908.65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449.52</w:t>
      </w:r>
      <w:r>
        <w:rPr>
          <w:rFonts w:hint="eastAsia" w:ascii="仿宋_GB2312" w:eastAsia="仿宋_GB2312"/>
          <w:sz w:val="32"/>
          <w:szCs w:val="32"/>
          <w:highlight w:val="none"/>
        </w:rPr>
        <w:t>%。其中：财政拨款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1168.62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259.97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908.65</w:t>
      </w:r>
      <w:r>
        <w:rPr>
          <w:rFonts w:hint="eastAsia" w:ascii="仿宋_GB2312" w:eastAsia="仿宋_GB2312"/>
          <w:sz w:val="32"/>
          <w:szCs w:val="32"/>
          <w:highlight w:val="none"/>
        </w:rPr>
        <w:t>万元；统筹使用结余资金安排预算0万元，与2021年0万元持平；其他资金0万元，与2021年0万元持平。</w:t>
      </w:r>
    </w:p>
    <w:p w14:paraId="3D9A76B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088A4AA5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1168.62</w:t>
      </w:r>
      <w:r>
        <w:rPr>
          <w:rFonts w:hint="eastAsia" w:ascii="仿宋_GB2312" w:eastAsia="仿宋_GB2312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>%，比2021年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259.97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908.65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449.52</w:t>
      </w:r>
      <w:r>
        <w:rPr>
          <w:rFonts w:hint="eastAsia" w:ascii="仿宋_GB2312" w:eastAsia="仿宋_GB2312"/>
          <w:sz w:val="32"/>
          <w:szCs w:val="32"/>
          <w:highlight w:val="none"/>
        </w:rPr>
        <w:t>%，主要增加原因为人员经费增加。</w:t>
      </w:r>
    </w:p>
    <w:p w14:paraId="60C9CCE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（二）项目支出预算0万元，与2021年0万元持平</w:t>
      </w:r>
    </w:p>
    <w:p w14:paraId="51181855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1AD61DC1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6303F28B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028EF355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7E32928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7F0EBB79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1C287B47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243A00A1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52D7E577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3EB549E2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5634641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3769FA6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6A52507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42915C4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0077CA0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67FF602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FD8926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0FAEE081">
      <w:pPr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保育教育费：收费依据市发展改革委、市教委和市财政局《关于规范本市幼儿园收费有关问题的通知》（京发改规〔2012〕4号），收费标准：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一级</w:t>
      </w:r>
      <w:r>
        <w:rPr>
          <w:rFonts w:hint="eastAsia" w:ascii="仿宋_GB2312" w:eastAsia="仿宋_GB2312"/>
          <w:sz w:val="32"/>
          <w:szCs w:val="32"/>
          <w:highlight w:val="none"/>
        </w:rPr>
        <w:t>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750</w:t>
      </w:r>
      <w:r>
        <w:rPr>
          <w:rFonts w:hint="eastAsia" w:ascii="仿宋_GB2312" w:eastAsia="仿宋_GB2312"/>
          <w:sz w:val="32"/>
          <w:szCs w:val="32"/>
        </w:rPr>
        <w:t>元/生.月，收入预计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431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</w:rPr>
        <w:t>，支出已纳入一般预算统筹使用。</w:t>
      </w:r>
    </w:p>
    <w:p w14:paraId="04C88AB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0225DAE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5E20491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388.13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388.13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11.35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7F01480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27156EC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7387B01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684D019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6A1E2ED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2BF87F4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76014F1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2D1B224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0F8E8D2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39F16AF2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588A3C3F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2E329F6B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635406D7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7A59F712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21214461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5901886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733B96B0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5954BE5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6A2C8E12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4DF73403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2EAFA04F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A79FB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02D2EB9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978FF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0FAA4DA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9126B56"/>
    <w:rsid w:val="323B7550"/>
    <w:rsid w:val="6616221D"/>
    <w:rsid w:val="6EA5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uiPriority w:val="0"/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脚 字符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2730</Words>
  <Characters>2941</Characters>
  <Lines>21</Lines>
  <Paragraphs>6</Paragraphs>
  <TotalTime>17</TotalTime>
  <ScaleCrop>false</ScaleCrop>
  <LinksUpToDate>false</LinksUpToDate>
  <CharactersWithSpaces>2946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2025-03-24T06:54:42Z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eyJoZGlkIjoiMDY1MWZiMWEyNWMwNTVlZmNmM2QxMTdmNzZkNjNmZmYiLCJ1c2VySWQiOiI3NTk1ODIzMjQifQ==</vt:lpwstr>
  </property>
  <property fmtid="{D5CDD505-2E9C-101B-9397-08002B2CF9AE}" pid="4" name="ICV">
    <vt:lpwstr>ADE066A26F0D48E09985EEF140E6C6C0_12</vt:lpwstr>
  </property>
</Properties>
</file>