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26BD49">
      <w:pPr>
        <w:spacing w:line="560" w:lineRule="exact"/>
        <w:jc w:val="center"/>
        <w:rPr>
          <w:rFonts w:ascii="方正小标宋简体" w:hAnsi="微软雅黑" w:eastAsia="方正小标宋简体" w:cs="宋体"/>
          <w:b/>
          <w:bCs/>
          <w:color w:val="333333"/>
          <w:kern w:val="0"/>
          <w:sz w:val="44"/>
          <w:szCs w:val="44"/>
        </w:rPr>
      </w:pPr>
      <w:r>
        <w:rPr>
          <w:rFonts w:hint="eastAsia" w:ascii="方正小标宋简体" w:hAnsi="微软雅黑" w:eastAsia="方正小标宋简体" w:cs="宋体"/>
          <w:b/>
          <w:bCs/>
          <w:color w:val="333333"/>
          <w:kern w:val="0"/>
          <w:sz w:val="44"/>
          <w:szCs w:val="44"/>
        </w:rPr>
        <w:t>北京市通州区西集镇郎府幼</w:t>
      </w:r>
      <w:bookmarkStart w:id="1" w:name="_GoBack"/>
      <w:bookmarkEnd w:id="1"/>
      <w:r>
        <w:rPr>
          <w:rFonts w:hint="eastAsia" w:ascii="方正小标宋简体" w:hAnsi="微软雅黑" w:eastAsia="方正小标宋简体" w:cs="宋体"/>
          <w:b/>
          <w:bCs/>
          <w:color w:val="333333"/>
          <w:kern w:val="0"/>
          <w:sz w:val="44"/>
          <w:szCs w:val="44"/>
        </w:rPr>
        <w:t>儿园2022年预算情况说明</w:t>
      </w:r>
    </w:p>
    <w:p w14:paraId="68ADE1FE">
      <w:pPr>
        <w:spacing w:line="560" w:lineRule="exact"/>
        <w:jc w:val="center"/>
        <w:rPr>
          <w:rFonts w:ascii="方正小标宋简体" w:hAnsi="微软雅黑" w:eastAsia="方正小标宋简体" w:cs="宋体"/>
          <w:b/>
          <w:bCs/>
          <w:color w:val="333333"/>
          <w:kern w:val="0"/>
          <w:sz w:val="44"/>
          <w:szCs w:val="44"/>
        </w:rPr>
      </w:pPr>
    </w:p>
    <w:p w14:paraId="03BF2300">
      <w:pPr>
        <w:widowControl/>
        <w:spacing w:after="240" w:line="560" w:lineRule="exact"/>
        <w:ind w:firstLine="480"/>
        <w:jc w:val="center"/>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目    录</w:t>
      </w:r>
    </w:p>
    <w:p w14:paraId="79F2F819">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一、2022年度预算单位情况说明</w:t>
      </w:r>
    </w:p>
    <w:p w14:paraId="57885F55">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二、2022年度单位收入预算说明</w:t>
      </w:r>
    </w:p>
    <w:p w14:paraId="3E27D18C">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三、2022年度单位支出预算说明</w:t>
      </w:r>
    </w:p>
    <w:p w14:paraId="4CE87EA8">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四、2022年度单位“三公”经费财政拨款预算说明</w:t>
      </w:r>
    </w:p>
    <w:p w14:paraId="460AF5F9">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五、2022年度其他重要事项的情况说明</w:t>
      </w:r>
    </w:p>
    <w:p w14:paraId="5439A7A3">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六、2022年度单位预算附表</w:t>
      </w:r>
    </w:p>
    <w:p w14:paraId="10C1E755">
      <w:pPr>
        <w:spacing w:line="560" w:lineRule="exact"/>
        <w:ind w:firstLine="643" w:firstLineChars="200"/>
        <w:outlineLvl w:val="0"/>
        <w:rPr>
          <w:rFonts w:ascii="仿宋_GB2312" w:eastAsia="仿宋_GB2312"/>
          <w:b/>
          <w:sz w:val="32"/>
          <w:szCs w:val="32"/>
        </w:rPr>
      </w:pPr>
    </w:p>
    <w:p w14:paraId="0CB78DF2">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一、2022年度预算单位情况说明</w:t>
      </w:r>
    </w:p>
    <w:p w14:paraId="27116E57">
      <w:pPr>
        <w:numPr>
          <w:ilvl w:val="0"/>
          <w:numId w:val="1"/>
        </w:numPr>
        <w:spacing w:line="560" w:lineRule="exact"/>
        <w:ind w:firstLine="555"/>
        <w:rPr>
          <w:rFonts w:ascii="仿宋_GB2312" w:eastAsia="仿宋_GB2312"/>
          <w:sz w:val="32"/>
          <w:szCs w:val="32"/>
        </w:rPr>
      </w:pPr>
      <w:r>
        <w:rPr>
          <w:rFonts w:hint="eastAsia" w:ascii="仿宋_GB2312" w:eastAsia="仿宋_GB2312"/>
          <w:sz w:val="32"/>
          <w:szCs w:val="32"/>
        </w:rPr>
        <w:t>单位机构设置、主要职责</w:t>
      </w:r>
    </w:p>
    <w:p w14:paraId="4D539E4B">
      <w:pPr>
        <w:spacing w:line="560" w:lineRule="exact"/>
        <w:ind w:firstLine="640" w:firstLineChars="200"/>
        <w:rPr>
          <w:rFonts w:ascii="仿宋_GB2312" w:eastAsia="仿宋_GB2312"/>
          <w:sz w:val="32"/>
          <w:szCs w:val="32"/>
        </w:rPr>
      </w:pPr>
      <w:r>
        <w:rPr>
          <w:rFonts w:hint="eastAsia" w:ascii="仿宋_GB2312" w:eastAsia="仿宋_GB2312"/>
          <w:sz w:val="32"/>
          <w:szCs w:val="32"/>
        </w:rPr>
        <w:t>北京市通州区西集镇郎府幼儿园设有总务处、办公室、保教室、保健室、财务室等5个内设机构。在职教职工24人。本单位主要职责为为学龄前儿童提供保育和教育服务。</w:t>
      </w:r>
    </w:p>
    <w:p w14:paraId="3AE27A61">
      <w:pPr>
        <w:spacing w:line="560" w:lineRule="exact"/>
        <w:ind w:firstLine="555"/>
        <w:rPr>
          <w:rFonts w:ascii="仿宋_GB2312" w:eastAsia="仿宋_GB2312"/>
          <w:sz w:val="32"/>
          <w:szCs w:val="32"/>
        </w:rPr>
      </w:pPr>
      <w:r>
        <w:rPr>
          <w:rFonts w:hint="eastAsia" w:ascii="仿宋_GB2312" w:eastAsia="仿宋_GB2312"/>
          <w:sz w:val="32"/>
          <w:szCs w:val="32"/>
        </w:rPr>
        <w:t>（二）人员构成情况</w:t>
      </w:r>
    </w:p>
    <w:p w14:paraId="26A1A1AD">
      <w:pPr>
        <w:spacing w:line="560" w:lineRule="exact"/>
        <w:ind w:firstLine="555"/>
        <w:rPr>
          <w:rFonts w:ascii="仿宋_GB2312" w:eastAsia="仿宋_GB2312"/>
          <w:sz w:val="32"/>
          <w:szCs w:val="32"/>
        </w:rPr>
      </w:pPr>
      <w:r>
        <w:rPr>
          <w:rFonts w:hint="eastAsia" w:ascii="仿宋_GB2312" w:eastAsia="仿宋_GB2312"/>
          <w:sz w:val="32"/>
          <w:szCs w:val="32"/>
        </w:rPr>
        <w:t>北京市通州区西集镇郎府幼儿园行政编制0人，实际0人；事业编制24人，实际24人；聘用人员（包括其他聘用人员</w:t>
      </w:r>
      <w:r>
        <w:rPr>
          <w:rFonts w:ascii="仿宋_GB2312" w:eastAsia="仿宋_GB2312"/>
          <w:sz w:val="32"/>
          <w:szCs w:val="32"/>
        </w:rPr>
        <w:t>—</w:t>
      </w:r>
      <w:r>
        <w:rPr>
          <w:rFonts w:hint="eastAsia" w:ascii="仿宋_GB2312" w:eastAsia="仿宋_GB2312"/>
          <w:sz w:val="32"/>
          <w:szCs w:val="32"/>
        </w:rPr>
        <w:t>社会化人才、临时工等）23人。离退休人员0人，其中：离休0人，退休0人。</w:t>
      </w:r>
    </w:p>
    <w:p w14:paraId="14F8FA53">
      <w:pPr>
        <w:spacing w:line="560" w:lineRule="exact"/>
        <w:ind w:firstLine="555"/>
        <w:rPr>
          <w:rFonts w:ascii="仿宋_GB2312" w:eastAsia="仿宋_GB2312"/>
          <w:sz w:val="32"/>
          <w:szCs w:val="32"/>
        </w:rPr>
      </w:pPr>
      <w:r>
        <w:rPr>
          <w:rFonts w:hint="eastAsia" w:ascii="仿宋_GB2312" w:eastAsia="仿宋_GB2312"/>
          <w:sz w:val="32"/>
          <w:szCs w:val="32"/>
        </w:rPr>
        <w:t>（三）本预算年度的主要工作任务</w:t>
      </w:r>
    </w:p>
    <w:p w14:paraId="66D76ECB">
      <w:pPr>
        <w:spacing w:line="560" w:lineRule="exact"/>
        <w:ind w:firstLine="555"/>
        <w:rPr>
          <w:rFonts w:ascii="仿宋_GB2312" w:eastAsia="仿宋_GB2312"/>
          <w:sz w:val="32"/>
          <w:szCs w:val="32"/>
        </w:rPr>
      </w:pPr>
      <w:r>
        <w:rPr>
          <w:rFonts w:hint="eastAsia" w:ascii="仿宋_GB2312" w:eastAsia="仿宋_GB2312"/>
          <w:sz w:val="32"/>
          <w:szCs w:val="32"/>
        </w:rPr>
        <w:t>2022年北京市通州区西集镇郎府幼儿园计划实施玩教具采购项目、日常公用采购等，计划金额53.11万元，更换老旧的班级玩具、户外玩具和日常园内采购。计划进行物业保洁采购29.7万元。人员工资预算金额为393.98万元，全部由财政拨款安排支出。本年北京市通州区西集镇郎府幼儿园的主要绩效目标为合理使用财政资金，加强资金监管及内控监督力度，增强资金使用效率，合理进行年初资金使用计划，做好本年预算工作。</w:t>
      </w:r>
    </w:p>
    <w:p w14:paraId="526DC998">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二、2022年度单位收入预算说明</w:t>
      </w:r>
    </w:p>
    <w:p w14:paraId="21A55D8E">
      <w:pPr>
        <w:spacing w:line="560" w:lineRule="exact"/>
        <w:ind w:firstLine="555"/>
        <w:rPr>
          <w:rFonts w:ascii="仿宋_GB2312" w:eastAsia="仿宋_GB2312"/>
          <w:sz w:val="32"/>
          <w:szCs w:val="32"/>
        </w:rPr>
      </w:pPr>
      <w:r>
        <w:rPr>
          <w:rFonts w:hint="eastAsia" w:ascii="仿宋_GB2312" w:eastAsia="仿宋_GB2312"/>
          <w:sz w:val="32"/>
          <w:szCs w:val="32"/>
        </w:rPr>
        <w:t>2022年收入预算476.79万元，比2021年79.43万元增加397.36万元，增长600.26%。其中：财政拨款476.79万元，比2021年增加397.36万元。</w:t>
      </w:r>
    </w:p>
    <w:p w14:paraId="1644D772">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三、2022年度单位支出预算说明</w:t>
      </w:r>
    </w:p>
    <w:p w14:paraId="7426D1E0">
      <w:pPr>
        <w:numPr>
          <w:ilvl w:val="0"/>
          <w:numId w:val="2"/>
        </w:numPr>
        <w:spacing w:line="560" w:lineRule="exact"/>
        <w:ind w:firstLine="555"/>
        <w:rPr>
          <w:rFonts w:ascii="仿宋_GB2312" w:eastAsia="仿宋_GB2312"/>
          <w:sz w:val="32"/>
          <w:szCs w:val="32"/>
        </w:rPr>
      </w:pPr>
      <w:r>
        <w:rPr>
          <w:rFonts w:hint="eastAsia" w:ascii="仿宋_GB2312" w:eastAsia="仿宋_GB2312"/>
          <w:sz w:val="32"/>
          <w:szCs w:val="32"/>
        </w:rPr>
        <w:t>基本支出预算 476.79万元，占总支出预算100%，比2021年79.43万元增加397.36万元，增长600.26%。主要增加原因为人员经费增加。</w:t>
      </w:r>
    </w:p>
    <w:p w14:paraId="7BF0C387">
      <w:pPr>
        <w:spacing w:line="560" w:lineRule="exact"/>
        <w:ind w:firstLine="640" w:firstLineChars="200"/>
        <w:rPr>
          <w:rFonts w:ascii="仿宋_GB2312" w:eastAsia="仿宋_GB2312"/>
          <w:sz w:val="32"/>
          <w:szCs w:val="32"/>
        </w:rPr>
      </w:pPr>
      <w:r>
        <w:rPr>
          <w:rFonts w:hint="eastAsia" w:ascii="仿宋_GB2312" w:eastAsia="仿宋_GB2312"/>
          <w:sz w:val="32"/>
          <w:szCs w:val="32"/>
        </w:rPr>
        <w:t>（二）项目支出预算0万元，与2021年0万元持平</w:t>
      </w:r>
    </w:p>
    <w:p w14:paraId="4ADB7FF9">
      <w:pPr>
        <w:spacing w:line="560" w:lineRule="exact"/>
        <w:ind w:firstLine="555"/>
        <w:rPr>
          <w:rFonts w:ascii="仿宋_GB2312" w:eastAsia="仿宋_GB2312"/>
          <w:sz w:val="32"/>
          <w:szCs w:val="32"/>
        </w:rPr>
      </w:pPr>
      <w:r>
        <w:rPr>
          <w:rFonts w:hint="eastAsia" w:ascii="仿宋_GB2312" w:eastAsia="仿宋_GB2312"/>
          <w:sz w:val="32"/>
          <w:szCs w:val="32"/>
        </w:rPr>
        <w:t>（三）无上缴上级支出</w:t>
      </w:r>
    </w:p>
    <w:p w14:paraId="2E043138">
      <w:pPr>
        <w:spacing w:line="560" w:lineRule="exact"/>
        <w:ind w:firstLine="555"/>
        <w:rPr>
          <w:rFonts w:ascii="仿宋_GB2312" w:eastAsia="仿宋_GB2312"/>
          <w:sz w:val="32"/>
          <w:szCs w:val="32"/>
        </w:rPr>
      </w:pPr>
      <w:r>
        <w:rPr>
          <w:rFonts w:hint="eastAsia" w:ascii="仿宋_GB2312" w:eastAsia="仿宋_GB2312"/>
          <w:sz w:val="32"/>
          <w:szCs w:val="32"/>
        </w:rPr>
        <w:t>（四）无事业单位经营支出</w:t>
      </w:r>
    </w:p>
    <w:p w14:paraId="48355376">
      <w:pPr>
        <w:spacing w:line="560" w:lineRule="exact"/>
        <w:ind w:firstLine="555"/>
        <w:rPr>
          <w:rFonts w:ascii="仿宋_GB2312" w:eastAsia="仿宋_GB2312"/>
          <w:sz w:val="32"/>
          <w:szCs w:val="32"/>
        </w:rPr>
      </w:pPr>
      <w:r>
        <w:rPr>
          <w:rFonts w:hint="eastAsia" w:ascii="仿宋_GB2312" w:eastAsia="仿宋_GB2312"/>
          <w:sz w:val="32"/>
          <w:szCs w:val="32"/>
        </w:rPr>
        <w:t>（五）无对附属单位补助支出</w:t>
      </w:r>
    </w:p>
    <w:p w14:paraId="1B994628">
      <w:pPr>
        <w:spacing w:line="560" w:lineRule="exact"/>
        <w:jc w:val="center"/>
        <w:rPr>
          <w:rFonts w:ascii="黑体" w:eastAsia="黑体"/>
          <w:b/>
          <w:sz w:val="32"/>
          <w:szCs w:val="32"/>
        </w:rPr>
      </w:pPr>
      <w:r>
        <w:rPr>
          <w:rFonts w:hint="eastAsia" w:ascii="黑体" w:hAnsi="黑体" w:eastAsia="黑体" w:cs="宋体"/>
          <w:b/>
          <w:bCs/>
          <w:color w:val="333333"/>
          <w:kern w:val="0"/>
          <w:sz w:val="32"/>
          <w:szCs w:val="32"/>
        </w:rPr>
        <w:t>四、2022年度</w:t>
      </w:r>
      <w:r>
        <w:rPr>
          <w:rFonts w:hint="eastAsia" w:ascii="黑体" w:eastAsia="黑体"/>
          <w:b/>
          <w:sz w:val="32"/>
          <w:szCs w:val="32"/>
        </w:rPr>
        <w:t>单位“三公”经费财政拨款预算说明</w:t>
      </w:r>
    </w:p>
    <w:p w14:paraId="20F0F8D0">
      <w:pPr>
        <w:spacing w:line="560" w:lineRule="exact"/>
        <w:ind w:firstLine="600"/>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“三公”经费</w:t>
      </w:r>
      <w:r>
        <w:rPr>
          <w:rFonts w:hint="eastAsia" w:ascii="仿宋_GB2312" w:eastAsia="仿宋_GB2312"/>
          <w:sz w:val="32"/>
          <w:szCs w:val="32"/>
        </w:rPr>
        <w:t>的单位范围</w:t>
      </w:r>
    </w:p>
    <w:p w14:paraId="59F08124">
      <w:pPr>
        <w:spacing w:line="560" w:lineRule="exact"/>
        <w:ind w:firstLine="600"/>
        <w:rPr>
          <w:rFonts w:hint="eastAsia" w:ascii="仿宋_GB2312" w:eastAsia="仿宋_GB2312"/>
          <w:sz w:val="32"/>
          <w:szCs w:val="32"/>
        </w:rPr>
      </w:pPr>
      <w:r>
        <w:rPr>
          <w:rFonts w:hint="eastAsia" w:ascii="仿宋_GB2312" w:eastAsia="仿宋_GB2312"/>
          <w:sz w:val="32"/>
          <w:szCs w:val="32"/>
        </w:rPr>
        <w:t>本单位因公出国（境）费用、公务接待费、公务用车购置和运行维护费开支单位包括0个所属单位。</w:t>
      </w:r>
    </w:p>
    <w:p w14:paraId="06EC323D">
      <w:pPr>
        <w:spacing w:line="560" w:lineRule="exact"/>
        <w:ind w:firstLine="600"/>
        <w:rPr>
          <w:rFonts w:hint="eastAsia"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“三公”经费</w:t>
      </w:r>
      <w:r>
        <w:rPr>
          <w:rFonts w:hint="eastAsia" w:ascii="仿宋_GB2312" w:eastAsia="仿宋_GB2312"/>
          <w:sz w:val="32"/>
          <w:szCs w:val="32"/>
        </w:rPr>
        <w:t xml:space="preserve">财政拨款情况说明 </w:t>
      </w:r>
    </w:p>
    <w:p w14:paraId="5F64D2CA">
      <w:pPr>
        <w:spacing w:line="560" w:lineRule="exact"/>
        <w:ind w:firstLine="600"/>
        <w:rPr>
          <w:rFonts w:hint="eastAsia" w:ascii="仿宋_GB2312" w:eastAsia="仿宋_GB2312"/>
          <w:sz w:val="32"/>
          <w:szCs w:val="32"/>
        </w:rPr>
      </w:pPr>
      <w:r>
        <w:rPr>
          <w:rFonts w:hint="eastAsia" w:ascii="仿宋_GB2312" w:eastAsia="仿宋_GB2312"/>
          <w:sz w:val="32"/>
          <w:szCs w:val="32"/>
        </w:rPr>
        <w:t>2022年</w:t>
      </w:r>
      <w:r>
        <w:rPr>
          <w:rFonts w:hint="eastAsia" w:ascii="仿宋_GB2312" w:eastAsia="仿宋_GB2312"/>
          <w:sz w:val="32"/>
          <w:szCs w:val="32"/>
          <w:lang w:eastAsia="zh-CN"/>
        </w:rPr>
        <w:t>“三公”经费</w:t>
      </w:r>
      <w:r>
        <w:rPr>
          <w:rFonts w:hint="eastAsia" w:ascii="仿宋_GB2312" w:eastAsia="仿宋_GB2312"/>
          <w:sz w:val="32"/>
          <w:szCs w:val="32"/>
        </w:rPr>
        <w:t>财政拨款预算0万元，与2021年预算数持平。其中：</w:t>
      </w:r>
    </w:p>
    <w:p w14:paraId="36DC3AF9">
      <w:pPr>
        <w:spacing w:line="560" w:lineRule="exact"/>
        <w:ind w:firstLine="600"/>
        <w:rPr>
          <w:rFonts w:hint="eastAsia" w:ascii="仿宋_GB2312" w:eastAsia="仿宋_GB2312"/>
          <w:sz w:val="32"/>
          <w:szCs w:val="32"/>
        </w:rPr>
      </w:pPr>
      <w:r>
        <w:rPr>
          <w:rFonts w:hint="eastAsia" w:ascii="仿宋_GB2312" w:eastAsia="仿宋_GB2312"/>
          <w:sz w:val="32"/>
          <w:szCs w:val="32"/>
        </w:rPr>
        <w:t>1、因公出国（境）费用。2022年预算数0万元，与2021年预算数持平。</w:t>
      </w:r>
    </w:p>
    <w:p w14:paraId="5326B8EB">
      <w:pPr>
        <w:spacing w:line="560" w:lineRule="exact"/>
        <w:ind w:firstLine="600"/>
        <w:rPr>
          <w:rFonts w:hint="eastAsia" w:ascii="仿宋_GB2312" w:eastAsia="仿宋_GB2312"/>
          <w:sz w:val="32"/>
          <w:szCs w:val="32"/>
        </w:rPr>
      </w:pPr>
      <w:r>
        <w:rPr>
          <w:rFonts w:hint="eastAsia" w:ascii="仿宋_GB2312" w:eastAsia="仿宋_GB2312"/>
          <w:sz w:val="32"/>
          <w:szCs w:val="32"/>
        </w:rPr>
        <w:t>2、公务接待费。2022年预算0万元，比2021年预算数持平。</w:t>
      </w:r>
    </w:p>
    <w:p w14:paraId="2483722E">
      <w:pPr>
        <w:spacing w:line="560" w:lineRule="exact"/>
        <w:ind w:firstLine="600"/>
        <w:rPr>
          <w:rFonts w:ascii="仿宋_GB2312" w:eastAsia="仿宋_GB2312"/>
          <w:sz w:val="32"/>
          <w:szCs w:val="32"/>
        </w:rPr>
      </w:pPr>
      <w:r>
        <w:rPr>
          <w:rFonts w:hint="eastAsia" w:ascii="仿宋_GB2312" w:eastAsia="仿宋_GB2312"/>
          <w:sz w:val="32"/>
          <w:szCs w:val="32"/>
        </w:rPr>
        <w:t>3、公务用车购置和运行维护费。2022年预算数0万元，其中，公务用车购置费2022年预算数0万元，与2021年持平；公务用车运行维护费2022年预算数0万元，其中：公务用车加油0万元，公务用车维修0万元，公务用车保险0万元，其他0万元，与2021年持平。</w:t>
      </w:r>
    </w:p>
    <w:p w14:paraId="5A533025">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五、其他重要事项的情况说明</w:t>
      </w:r>
    </w:p>
    <w:p w14:paraId="3B5DADBA">
      <w:pPr>
        <w:spacing w:line="560" w:lineRule="exact"/>
        <w:ind w:firstLine="640" w:firstLineChars="200"/>
        <w:rPr>
          <w:rFonts w:ascii="仿宋_GB2312" w:eastAsia="仿宋_GB2312"/>
          <w:sz w:val="32"/>
          <w:szCs w:val="32"/>
        </w:rPr>
      </w:pPr>
      <w:r>
        <w:rPr>
          <w:rFonts w:hint="eastAsia" w:ascii="仿宋_GB2312" w:eastAsia="仿宋_GB2312"/>
          <w:sz w:val="32"/>
          <w:szCs w:val="32"/>
        </w:rPr>
        <w:t>（一）机关运行经费情况说明</w:t>
      </w:r>
    </w:p>
    <w:p w14:paraId="59080668">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本单位无</w:t>
      </w:r>
      <w:r>
        <w:rPr>
          <w:rFonts w:ascii="仿宋_GB2312" w:eastAsia="仿宋_GB2312"/>
          <w:sz w:val="32"/>
          <w:szCs w:val="32"/>
        </w:rPr>
        <w:t>机关运行经费。</w:t>
      </w:r>
    </w:p>
    <w:p w14:paraId="50259145">
      <w:pPr>
        <w:spacing w:line="560" w:lineRule="exact"/>
        <w:ind w:firstLine="640" w:firstLineChars="200"/>
        <w:rPr>
          <w:rFonts w:ascii="仿宋_GB2312" w:eastAsia="仿宋_GB2312"/>
          <w:sz w:val="32"/>
          <w:szCs w:val="32"/>
        </w:rPr>
      </w:pPr>
      <w:r>
        <w:rPr>
          <w:rFonts w:hint="eastAsia" w:ascii="仿宋_GB2312" w:eastAsia="仿宋_GB2312"/>
          <w:sz w:val="32"/>
          <w:szCs w:val="32"/>
        </w:rPr>
        <w:t>（二）项目支出绩效目标及评价结果情况说明</w:t>
      </w:r>
    </w:p>
    <w:p w14:paraId="54039155">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本单位无预算</w:t>
      </w:r>
      <w:r>
        <w:rPr>
          <w:rFonts w:ascii="仿宋_GB2312" w:eastAsia="仿宋_GB2312"/>
          <w:sz w:val="32"/>
          <w:szCs w:val="32"/>
        </w:rPr>
        <w:t>批复项目</w:t>
      </w:r>
      <w:r>
        <w:rPr>
          <w:rFonts w:hint="eastAsia" w:ascii="仿宋_GB2312" w:eastAsia="仿宋_GB2312"/>
          <w:sz w:val="32"/>
          <w:szCs w:val="32"/>
        </w:rPr>
        <w:t>。</w:t>
      </w:r>
    </w:p>
    <w:p w14:paraId="376CD70D">
      <w:pPr>
        <w:spacing w:line="560" w:lineRule="exact"/>
        <w:ind w:firstLine="640" w:firstLineChars="200"/>
        <w:rPr>
          <w:rFonts w:ascii="仿宋_GB2312" w:eastAsia="仿宋_GB2312"/>
          <w:sz w:val="32"/>
          <w:szCs w:val="32"/>
        </w:rPr>
      </w:pPr>
      <w:bookmarkStart w:id="0" w:name="OLE_LINK2"/>
      <w:r>
        <w:rPr>
          <w:rFonts w:hint="eastAsia" w:ascii="仿宋_GB2312" w:eastAsia="仿宋_GB2312"/>
          <w:sz w:val="32"/>
          <w:szCs w:val="32"/>
        </w:rPr>
        <w:t>（三）重点行政事业性收费情况说明</w:t>
      </w:r>
    </w:p>
    <w:bookmarkEnd w:id="0"/>
    <w:p w14:paraId="072A8303">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本单位2022年无重点行政事业性收费。</w:t>
      </w:r>
    </w:p>
    <w:p w14:paraId="7DD945D9">
      <w:pPr>
        <w:spacing w:line="560" w:lineRule="exact"/>
        <w:ind w:firstLine="800" w:firstLineChars="250"/>
        <w:rPr>
          <w:rFonts w:hint="eastAsia" w:ascii="仿宋_GB2312" w:eastAsia="仿宋_GB2312"/>
          <w:sz w:val="32"/>
          <w:szCs w:val="32"/>
        </w:rPr>
      </w:pPr>
      <w:r>
        <w:rPr>
          <w:rFonts w:hint="eastAsia" w:ascii="仿宋_GB2312" w:eastAsia="仿宋_GB2312"/>
          <w:sz w:val="32"/>
          <w:szCs w:val="32"/>
        </w:rPr>
        <w:t>保育教育费：收费依据市发展改革委、市教委和市财政局《关于规范本市幼儿园收费有关问题的通知》（京发改规〔2012〕4号），收费标准：北京市通州区西集镇郎府幼儿园400元/生.月，收入预计86.04万元，支出已纳入一般预算统筹使用。</w:t>
      </w:r>
    </w:p>
    <w:p w14:paraId="7349E876">
      <w:pPr>
        <w:spacing w:line="560" w:lineRule="exact"/>
        <w:ind w:firstLine="640" w:firstLineChars="200"/>
        <w:rPr>
          <w:rFonts w:ascii="仿宋_GB2312" w:eastAsia="仿宋_GB2312"/>
          <w:sz w:val="32"/>
          <w:szCs w:val="32"/>
        </w:rPr>
      </w:pPr>
      <w:r>
        <w:rPr>
          <w:rFonts w:hint="eastAsia" w:ascii="仿宋_GB2312" w:eastAsia="仿宋_GB2312"/>
          <w:sz w:val="32"/>
          <w:szCs w:val="32"/>
        </w:rPr>
        <w:t>（四）国有资本经营预算财政拨款情况及国有资产占用情况说明</w:t>
      </w:r>
    </w:p>
    <w:p w14:paraId="76F95272">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本单位2022年无国有资本经营预算财政拨款安排的预算。</w:t>
      </w:r>
    </w:p>
    <w:p w14:paraId="73629B6E">
      <w:pPr>
        <w:spacing w:line="560" w:lineRule="exact"/>
        <w:ind w:firstLine="640" w:firstLineChars="200"/>
        <w:rPr>
          <w:rFonts w:ascii="仿宋_GB2312" w:eastAsia="仿宋_GB2312"/>
          <w:sz w:val="32"/>
          <w:szCs w:val="32"/>
        </w:rPr>
      </w:pPr>
      <w:r>
        <w:rPr>
          <w:rFonts w:hint="eastAsia" w:ascii="仿宋_GB2312" w:eastAsia="仿宋_GB2312"/>
          <w:sz w:val="32"/>
          <w:szCs w:val="32"/>
        </w:rPr>
        <w:t>截止202</w:t>
      </w:r>
      <w:r>
        <w:rPr>
          <w:rFonts w:ascii="仿宋_GB2312" w:eastAsia="仿宋_GB2312"/>
          <w:sz w:val="32"/>
          <w:szCs w:val="32"/>
        </w:rPr>
        <w:t>1</w:t>
      </w:r>
      <w:r>
        <w:rPr>
          <w:rFonts w:hint="eastAsia" w:ascii="仿宋_GB2312" w:eastAsia="仿宋_GB2312"/>
          <w:sz w:val="32"/>
          <w:szCs w:val="32"/>
        </w:rPr>
        <w:t>年12月31日，本单位货币资金236.21万元（其中银行存款236.21万元），房屋0万元，车辆0万元，在建工程0万元。。</w:t>
      </w:r>
    </w:p>
    <w:p w14:paraId="45CE822F">
      <w:pPr>
        <w:spacing w:line="560" w:lineRule="exact"/>
        <w:ind w:firstLine="640" w:firstLineChars="200"/>
        <w:rPr>
          <w:rFonts w:ascii="仿宋_GB2312" w:eastAsia="仿宋_GB2312"/>
          <w:sz w:val="32"/>
          <w:szCs w:val="32"/>
        </w:rPr>
      </w:pPr>
      <w:r>
        <w:rPr>
          <w:rFonts w:hint="eastAsia" w:ascii="仿宋_GB2312" w:eastAsia="仿宋_GB2312"/>
          <w:sz w:val="32"/>
          <w:szCs w:val="32"/>
        </w:rPr>
        <w:t>截至2021年12月31日，本单位共有车辆</w:t>
      </w:r>
      <w:r>
        <w:rPr>
          <w:rFonts w:ascii="仿宋_GB2312" w:eastAsia="仿宋_GB2312"/>
          <w:sz w:val="32"/>
          <w:szCs w:val="32"/>
        </w:rPr>
        <w:t xml:space="preserve"> </w:t>
      </w:r>
      <w:r>
        <w:rPr>
          <w:rFonts w:hint="eastAsia" w:ascii="仿宋_GB2312" w:eastAsia="仿宋_GB2312"/>
          <w:sz w:val="32"/>
          <w:szCs w:val="32"/>
        </w:rPr>
        <w:t>1辆，为调拨资产。</w:t>
      </w:r>
    </w:p>
    <w:p w14:paraId="4D4891BE">
      <w:pPr>
        <w:spacing w:line="560" w:lineRule="exact"/>
        <w:ind w:firstLine="640" w:firstLineChars="200"/>
        <w:rPr>
          <w:rFonts w:ascii="仿宋_GB2312" w:eastAsia="仿宋_GB2312"/>
          <w:sz w:val="32"/>
          <w:szCs w:val="32"/>
        </w:rPr>
      </w:pPr>
      <w:r>
        <w:rPr>
          <w:rFonts w:hint="eastAsia" w:ascii="仿宋_GB2312" w:eastAsia="仿宋_GB2312"/>
          <w:sz w:val="32"/>
          <w:szCs w:val="32"/>
        </w:rPr>
        <w:t>（五）政府采购预算财政拨款情况说明</w:t>
      </w:r>
    </w:p>
    <w:p w14:paraId="6872A4CF">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本单位2022年无政府采购预算财政拨款安排的预算。</w:t>
      </w:r>
    </w:p>
    <w:p w14:paraId="26F5472D">
      <w:pPr>
        <w:spacing w:line="560" w:lineRule="exact"/>
        <w:ind w:firstLine="640" w:firstLineChars="200"/>
        <w:rPr>
          <w:rFonts w:ascii="仿宋_GB2312" w:eastAsia="仿宋_GB2312"/>
          <w:sz w:val="32"/>
          <w:szCs w:val="32"/>
        </w:rPr>
      </w:pPr>
      <w:r>
        <w:rPr>
          <w:rFonts w:hint="eastAsia" w:ascii="仿宋_GB2312" w:eastAsia="仿宋_GB2312"/>
          <w:sz w:val="32"/>
          <w:szCs w:val="32"/>
        </w:rPr>
        <w:t>（六）政府购买服务预算财政拨款情况说明</w:t>
      </w:r>
    </w:p>
    <w:p w14:paraId="7B107C56">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本单位2022年无政府购买服务预算财政拨款安排的预算。</w:t>
      </w:r>
    </w:p>
    <w:p w14:paraId="3AD1FE10">
      <w:pPr>
        <w:spacing w:line="560" w:lineRule="exact"/>
        <w:ind w:firstLine="640" w:firstLineChars="200"/>
        <w:rPr>
          <w:rFonts w:ascii="仿宋_GB2312" w:eastAsia="仿宋_GB2312"/>
          <w:sz w:val="32"/>
          <w:szCs w:val="32"/>
        </w:rPr>
      </w:pPr>
      <w:r>
        <w:rPr>
          <w:rFonts w:hint="eastAsia" w:ascii="仿宋_GB2312" w:eastAsia="仿宋_GB2312"/>
          <w:sz w:val="32"/>
          <w:szCs w:val="32"/>
        </w:rPr>
        <w:t>（七）名词解释</w:t>
      </w:r>
    </w:p>
    <w:p w14:paraId="17F38397">
      <w:pPr>
        <w:spacing w:line="560" w:lineRule="exact"/>
        <w:ind w:firstLine="640" w:firstLineChars="200"/>
        <w:rPr>
          <w:rFonts w:ascii="仿宋_GB2312" w:eastAsia="仿宋_GB2312"/>
          <w:sz w:val="32"/>
          <w:szCs w:val="32"/>
        </w:rPr>
      </w:pPr>
      <w:r>
        <w:rPr>
          <w:rFonts w:hint="eastAsia" w:ascii="仿宋_GB2312" w:eastAsia="仿宋_GB2312"/>
          <w:sz w:val="32"/>
          <w:szCs w:val="32"/>
        </w:rPr>
        <w:t>预算:遵循统筹兼顾、勤俭节约、量力而行、讲求绩效和收支平衡的原则编制,经法定程序审核批准的国家年度集中性财政收支计划。政府的全部收入和支出都应当纳入预算。地方各级政府财政单位具体编制本级预算草案,各单位编制本单位预算草案。</w:t>
      </w:r>
    </w:p>
    <w:p w14:paraId="6D03EDA4">
      <w:pPr>
        <w:spacing w:line="560" w:lineRule="exact"/>
        <w:ind w:firstLine="640" w:firstLineChars="200"/>
        <w:rPr>
          <w:rFonts w:ascii="仿宋_GB2312" w:eastAsia="仿宋_GB2312"/>
          <w:sz w:val="32"/>
          <w:szCs w:val="32"/>
        </w:rPr>
      </w:pPr>
      <w:r>
        <w:rPr>
          <w:rFonts w:hint="eastAsia" w:ascii="仿宋_GB2312" w:eastAsia="仿宋_GB2312"/>
          <w:sz w:val="32"/>
          <w:szCs w:val="32"/>
        </w:rPr>
        <w:t>一般公共预算：是对以税收为主体的财政收入，安排用于保障和改善民生、推动经济社会发展、维护国家安全、维持国家机构正常运转等方面的收支预算。</w:t>
      </w:r>
    </w:p>
    <w:p w14:paraId="7E4A4562">
      <w:pPr>
        <w:spacing w:line="560" w:lineRule="exact"/>
        <w:ind w:firstLine="640" w:firstLineChars="200"/>
        <w:rPr>
          <w:rFonts w:ascii="仿宋_GB2312" w:eastAsia="仿宋_GB2312"/>
          <w:sz w:val="32"/>
          <w:szCs w:val="32"/>
        </w:rPr>
      </w:pPr>
      <w:r>
        <w:rPr>
          <w:rFonts w:hint="eastAsia" w:ascii="仿宋_GB2312" w:eastAsia="仿宋_GB2312"/>
          <w:sz w:val="32"/>
          <w:szCs w:val="32"/>
        </w:rPr>
        <w:t>政府性基金预算：是对依照法律、行政法规的规定在一定期限内向特定对象征收、收取或者以其他方式筹集的资金，专项用于特定公共事业发展的收支预算。政府性基金预算应当根据基金收入情况和实际支出需要，按基金项目编制，做到以收定支。</w:t>
      </w:r>
    </w:p>
    <w:p w14:paraId="389FF0C3">
      <w:pPr>
        <w:spacing w:line="560" w:lineRule="exact"/>
        <w:ind w:firstLine="555"/>
        <w:outlineLvl w:val="0"/>
        <w:rPr>
          <w:rFonts w:ascii="仿宋_GB2312" w:eastAsia="仿宋_GB2312"/>
          <w:sz w:val="32"/>
          <w:szCs w:val="32"/>
        </w:rPr>
      </w:pPr>
      <w:r>
        <w:rPr>
          <w:rFonts w:hint="eastAsia" w:ascii="仿宋_GB2312" w:eastAsia="仿宋_GB2312"/>
          <w:sz w:val="32"/>
          <w:szCs w:val="32"/>
        </w:rPr>
        <w:t>国有资本经营预算：是对国有资本收益作出支出安排的收支预算。国有资本经营预算应当按照收支平衡的原则编制，不列赤字，并安排资金调入一般公共预算。</w:t>
      </w:r>
    </w:p>
    <w:p w14:paraId="460CFD34">
      <w:pPr>
        <w:spacing w:line="560" w:lineRule="exact"/>
        <w:ind w:firstLine="555"/>
        <w:outlineLvl w:val="0"/>
        <w:rPr>
          <w:rFonts w:ascii="仿宋_GB2312" w:eastAsia="仿宋_GB2312"/>
          <w:sz w:val="32"/>
          <w:szCs w:val="32"/>
        </w:rPr>
      </w:pPr>
      <w:r>
        <w:rPr>
          <w:rFonts w:hint="eastAsia" w:ascii="仿宋_GB2312" w:eastAsia="仿宋_GB2312"/>
          <w:sz w:val="32"/>
          <w:szCs w:val="32"/>
        </w:rPr>
        <w:t>“三公”经费:因公出国(境)费、公务用车购置及运行维护费和公务接待费。其中,因公出国(境)费反映单位公务出国(境)的国际旅费、国外城市间交通费、住宿费、伙食费、培训费、公杂费等支出;公务用车购置及运行维护费反映单位公务用车购置费及燃料费、维修费、过路过桥费、保险费、安全奖励费用等支出;公务接待费反映单位按规定开支的各类公务接待(含外宾接待)费用。</w:t>
      </w:r>
    </w:p>
    <w:p w14:paraId="6E71F77D">
      <w:pPr>
        <w:spacing w:line="560" w:lineRule="exact"/>
        <w:ind w:firstLine="555"/>
        <w:outlineLvl w:val="0"/>
        <w:rPr>
          <w:rFonts w:ascii="仿宋_GB2312" w:eastAsia="仿宋_GB2312"/>
          <w:sz w:val="32"/>
          <w:szCs w:val="32"/>
        </w:rPr>
      </w:pPr>
      <w:r>
        <w:rPr>
          <w:rFonts w:hint="eastAsia" w:ascii="仿宋_GB2312" w:eastAsia="仿宋_GB2312"/>
          <w:sz w:val="32"/>
          <w:szCs w:val="32"/>
        </w:rPr>
        <w:t>机关运行经费:是指行政单位(含参照公务员法管理事业单位)使用一般公共预算财政拨款安排的基本支出中的日常公用经费支出,包括办公及印刷费、邮电费、差旅费、会议费、福利费、维修(护)费、专用材料费、办公用房水电费、办公用房取暖费、办公用房物业管理费、公务用车运行维护费以及其他费用。</w:t>
      </w:r>
    </w:p>
    <w:p w14:paraId="69A47ACB">
      <w:pPr>
        <w:spacing w:line="560" w:lineRule="exact"/>
        <w:ind w:firstLine="555"/>
        <w:outlineLvl w:val="0"/>
        <w:rPr>
          <w:rFonts w:ascii="仿宋_GB2312" w:eastAsia="仿宋_GB2312"/>
          <w:sz w:val="32"/>
          <w:szCs w:val="32"/>
        </w:rPr>
      </w:pPr>
      <w:r>
        <w:rPr>
          <w:rFonts w:hint="eastAsia" w:ascii="仿宋_GB2312" w:eastAsia="仿宋_GB2312"/>
          <w:sz w:val="32"/>
          <w:szCs w:val="32"/>
        </w:rPr>
        <w:t>事前绩效评估：指在预算编制时，财政单位根据单位战略规划、事业发展规划、项目申报理由等内容，通过委托第三方的方式，运用科学、合理的评估方法，对项目实施必要性、可行性、绩效目标设置的科学性、财政支持的方式、项目预算的合理性等方面进行客观、公正的评估。</w:t>
      </w:r>
    </w:p>
    <w:p w14:paraId="17761218">
      <w:pPr>
        <w:spacing w:line="560" w:lineRule="exact"/>
        <w:ind w:firstLine="555"/>
        <w:outlineLvl w:val="0"/>
        <w:rPr>
          <w:rFonts w:ascii="仿宋_GB2312" w:eastAsia="仿宋_GB2312"/>
          <w:sz w:val="32"/>
          <w:szCs w:val="32"/>
        </w:rPr>
      </w:pPr>
      <w:r>
        <w:rPr>
          <w:rFonts w:hint="eastAsia" w:ascii="仿宋_GB2312" w:eastAsia="仿宋_GB2312"/>
          <w:sz w:val="32"/>
          <w:szCs w:val="32"/>
        </w:rPr>
        <w:t>绩效评价：指财政单位和预算单位（单位）根据设定的绩效目标，运用科学、合理的绩效评价指标、评价标准和评价方法，对财政支出的经济性、效率性和效益性进行客观、公正的评价。其中，绩效目标的设立是开展绩效评价的前提和基础，绩效评价指标是绩效评价的工具和手段，财政支出的经济性、效率性和效益性是绩效评价的主要内容。</w:t>
      </w:r>
    </w:p>
    <w:p w14:paraId="0A8A8086">
      <w:pPr>
        <w:spacing w:line="560" w:lineRule="exact"/>
        <w:ind w:firstLine="555"/>
        <w:outlineLvl w:val="0"/>
        <w:rPr>
          <w:rFonts w:ascii="仿宋_GB2312" w:eastAsia="仿宋_GB2312"/>
          <w:sz w:val="32"/>
          <w:szCs w:val="32"/>
        </w:rPr>
      </w:pPr>
      <w:r>
        <w:rPr>
          <w:rFonts w:hint="eastAsia" w:ascii="仿宋_GB2312" w:eastAsia="仿宋_GB2312"/>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14:paraId="4110DCFF">
      <w:pPr>
        <w:spacing w:line="560" w:lineRule="exact"/>
        <w:ind w:firstLine="555"/>
        <w:outlineLvl w:val="0"/>
        <w:rPr>
          <w:rFonts w:ascii="仿宋_GB2312" w:eastAsia="仿宋_GB2312"/>
          <w:sz w:val="32"/>
          <w:szCs w:val="32"/>
        </w:rPr>
      </w:pPr>
      <w:r>
        <w:rPr>
          <w:rFonts w:hint="eastAsia" w:ascii="仿宋_GB2312" w:eastAsia="仿宋_GB2312"/>
          <w:sz w:val="32"/>
          <w:szCs w:val="32"/>
        </w:rPr>
        <w:t>政府购买服务:通过发挥市场机制作用,把政府直接提供的一部分公共服务事项以及政府履职所需服务事项,按照一定的方式和程序,交由具备条件的社会力量和事业单位承担,并由政府根据合同约定向其支付费用。</w:t>
      </w:r>
    </w:p>
    <w:p w14:paraId="4ED73843">
      <w:pPr>
        <w:spacing w:line="560" w:lineRule="exact"/>
        <w:ind w:firstLine="555"/>
        <w:outlineLvl w:val="0"/>
        <w:rPr>
          <w:rFonts w:ascii="仿宋_GB2312" w:eastAsia="仿宋_GB2312"/>
          <w:b/>
          <w:sz w:val="32"/>
          <w:szCs w:val="32"/>
        </w:rPr>
      </w:pPr>
      <w:r>
        <w:rPr>
          <w:rFonts w:hint="eastAsia" w:ascii="仿宋_GB2312" w:eastAsia="仿宋_GB2312"/>
          <w:sz w:val="32"/>
          <w:szCs w:val="32"/>
        </w:rPr>
        <w:t>财政监督：指财政单位在财政分配过程中，对国家机关、企事业单位、社会团体和其他组织或个人涉及财政收支、财务收支、国有权益以及其他有关财政管理事项进行监督，对其合法性进行监控、检查、稽核、督促和反映。</w:t>
      </w:r>
    </w:p>
    <w:p w14:paraId="08DBFCD3">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六、2022年度单位预算附表</w:t>
      </w:r>
    </w:p>
    <w:p w14:paraId="11CF87E4">
      <w:pPr>
        <w:pStyle w:val="4"/>
        <w:spacing w:before="0" w:beforeAutospacing="0" w:line="560" w:lineRule="exact"/>
        <w:ind w:firstLine="640" w:firstLineChars="200"/>
        <w:jc w:val="both"/>
        <w:rPr>
          <w:rFonts w:ascii="仿宋_GB2312" w:eastAsia="仿宋_GB2312"/>
          <w:sz w:val="32"/>
          <w:szCs w:val="32"/>
        </w:rPr>
      </w:pPr>
      <w:r>
        <w:rPr>
          <w:rFonts w:hint="eastAsia" w:ascii="仿宋_GB2312" w:eastAsia="仿宋_GB2312"/>
          <w:sz w:val="32"/>
          <w:szCs w:val="32"/>
        </w:rPr>
        <w:t>详见2022年度单位预算公开报表模板</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64A9E">
    <w:pPr>
      <w:pStyle w:val="2"/>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2</w:t>
    </w:r>
    <w:r>
      <w:rPr>
        <w:rStyle w:val="8"/>
      </w:rPr>
      <w:fldChar w:fldCharType="end"/>
    </w:r>
  </w:p>
  <w:p w14:paraId="7E1D9EF6">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C1DD3D">
    <w:pPr>
      <w:pStyle w:val="2"/>
      <w:framePr w:wrap="around" w:vAnchor="text" w:hAnchor="margin" w:xAlign="center" w:y="1"/>
      <w:rPr>
        <w:rStyle w:val="8"/>
      </w:rPr>
    </w:pPr>
    <w:r>
      <w:rPr>
        <w:rStyle w:val="8"/>
      </w:rPr>
      <w:fldChar w:fldCharType="begin"/>
    </w:r>
    <w:r>
      <w:rPr>
        <w:rStyle w:val="8"/>
      </w:rPr>
      <w:instrText xml:space="preserve">PAGE  </w:instrText>
    </w:r>
    <w:r>
      <w:rPr>
        <w:rStyle w:val="8"/>
      </w:rPr>
      <w:fldChar w:fldCharType="end"/>
    </w:r>
  </w:p>
  <w:p w14:paraId="08A5FBAB">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F826B8"/>
    <w:multiLevelType w:val="singleLevel"/>
    <w:tmpl w:val="C6F826B8"/>
    <w:lvl w:ilvl="0" w:tentative="0">
      <w:start w:val="1"/>
      <w:numFmt w:val="chineseCounting"/>
      <w:suff w:val="nothing"/>
      <w:lvlText w:val="（%1）"/>
      <w:lvlJc w:val="left"/>
      <w:rPr>
        <w:rFonts w:hint="eastAsia"/>
      </w:rPr>
    </w:lvl>
  </w:abstractNum>
  <w:abstractNum w:abstractNumId="1">
    <w:nsid w:val="0E8D1A76"/>
    <w:multiLevelType w:val="singleLevel"/>
    <w:tmpl w:val="0E8D1A7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RjYmEwZGIwM2FjNWNlYmU3YjY4MWQ0ZGQwYjVjOTMifQ=="/>
  </w:docVars>
  <w:rsids>
    <w:rsidRoot w:val="00F420F6"/>
    <w:rsid w:val="00001878"/>
    <w:rsid w:val="000036E0"/>
    <w:rsid w:val="0002375B"/>
    <w:rsid w:val="00023E35"/>
    <w:rsid w:val="00026055"/>
    <w:rsid w:val="00027115"/>
    <w:rsid w:val="0005655B"/>
    <w:rsid w:val="00057FE5"/>
    <w:rsid w:val="00077216"/>
    <w:rsid w:val="0009135C"/>
    <w:rsid w:val="00093039"/>
    <w:rsid w:val="000A01CB"/>
    <w:rsid w:val="000A7B9C"/>
    <w:rsid w:val="000B3336"/>
    <w:rsid w:val="000B4954"/>
    <w:rsid w:val="000B572C"/>
    <w:rsid w:val="000C7E53"/>
    <w:rsid w:val="000D5403"/>
    <w:rsid w:val="000D5CB6"/>
    <w:rsid w:val="000D6013"/>
    <w:rsid w:val="000F1867"/>
    <w:rsid w:val="000F4F26"/>
    <w:rsid w:val="00114017"/>
    <w:rsid w:val="00116EC9"/>
    <w:rsid w:val="00127853"/>
    <w:rsid w:val="001304FA"/>
    <w:rsid w:val="00137CD9"/>
    <w:rsid w:val="0015536F"/>
    <w:rsid w:val="00183C8F"/>
    <w:rsid w:val="001A3A3C"/>
    <w:rsid w:val="001D0C7F"/>
    <w:rsid w:val="001D5BF2"/>
    <w:rsid w:val="001E08D3"/>
    <w:rsid w:val="001E3309"/>
    <w:rsid w:val="001E39C7"/>
    <w:rsid w:val="00204AE3"/>
    <w:rsid w:val="00204BCF"/>
    <w:rsid w:val="00204D7E"/>
    <w:rsid w:val="002134C7"/>
    <w:rsid w:val="002256D5"/>
    <w:rsid w:val="00235817"/>
    <w:rsid w:val="00244581"/>
    <w:rsid w:val="002606EC"/>
    <w:rsid w:val="00284B17"/>
    <w:rsid w:val="002B23DC"/>
    <w:rsid w:val="002C00DC"/>
    <w:rsid w:val="002D000D"/>
    <w:rsid w:val="002D63AB"/>
    <w:rsid w:val="002E0218"/>
    <w:rsid w:val="00310954"/>
    <w:rsid w:val="003213C0"/>
    <w:rsid w:val="0035033F"/>
    <w:rsid w:val="00353E2F"/>
    <w:rsid w:val="003730A0"/>
    <w:rsid w:val="00375983"/>
    <w:rsid w:val="0038347B"/>
    <w:rsid w:val="00391AB7"/>
    <w:rsid w:val="003936BB"/>
    <w:rsid w:val="003A263D"/>
    <w:rsid w:val="003A48F8"/>
    <w:rsid w:val="003A6C1C"/>
    <w:rsid w:val="003D3F88"/>
    <w:rsid w:val="003D4D02"/>
    <w:rsid w:val="003E5F0F"/>
    <w:rsid w:val="00410301"/>
    <w:rsid w:val="0045050E"/>
    <w:rsid w:val="00456D39"/>
    <w:rsid w:val="004572B0"/>
    <w:rsid w:val="004720C9"/>
    <w:rsid w:val="00486D33"/>
    <w:rsid w:val="00487613"/>
    <w:rsid w:val="004A1E47"/>
    <w:rsid w:val="004C0494"/>
    <w:rsid w:val="004C55EE"/>
    <w:rsid w:val="004D1692"/>
    <w:rsid w:val="004D447F"/>
    <w:rsid w:val="004E5BDF"/>
    <w:rsid w:val="00531453"/>
    <w:rsid w:val="00546229"/>
    <w:rsid w:val="00555C0E"/>
    <w:rsid w:val="0056026D"/>
    <w:rsid w:val="00562B6C"/>
    <w:rsid w:val="00565F70"/>
    <w:rsid w:val="00567A37"/>
    <w:rsid w:val="00595540"/>
    <w:rsid w:val="005A239F"/>
    <w:rsid w:val="005D417E"/>
    <w:rsid w:val="005E6868"/>
    <w:rsid w:val="00611E10"/>
    <w:rsid w:val="00636822"/>
    <w:rsid w:val="006411FF"/>
    <w:rsid w:val="00675753"/>
    <w:rsid w:val="00675A84"/>
    <w:rsid w:val="006846A5"/>
    <w:rsid w:val="006A335C"/>
    <w:rsid w:val="006B17D3"/>
    <w:rsid w:val="006C214D"/>
    <w:rsid w:val="006E0260"/>
    <w:rsid w:val="006E12B1"/>
    <w:rsid w:val="006F7921"/>
    <w:rsid w:val="00713B2E"/>
    <w:rsid w:val="0071609C"/>
    <w:rsid w:val="00735182"/>
    <w:rsid w:val="0076274C"/>
    <w:rsid w:val="007945FE"/>
    <w:rsid w:val="00794CBF"/>
    <w:rsid w:val="00797C6B"/>
    <w:rsid w:val="007C6442"/>
    <w:rsid w:val="007F5956"/>
    <w:rsid w:val="008176EC"/>
    <w:rsid w:val="00832A74"/>
    <w:rsid w:val="008502AB"/>
    <w:rsid w:val="00866C57"/>
    <w:rsid w:val="00872718"/>
    <w:rsid w:val="00881E59"/>
    <w:rsid w:val="008D1B71"/>
    <w:rsid w:val="008D4141"/>
    <w:rsid w:val="008F39D7"/>
    <w:rsid w:val="008F3F22"/>
    <w:rsid w:val="009229FF"/>
    <w:rsid w:val="00926FED"/>
    <w:rsid w:val="00927113"/>
    <w:rsid w:val="00931B9E"/>
    <w:rsid w:val="00941257"/>
    <w:rsid w:val="009653D0"/>
    <w:rsid w:val="00966DC1"/>
    <w:rsid w:val="0097255D"/>
    <w:rsid w:val="009729DB"/>
    <w:rsid w:val="009761BA"/>
    <w:rsid w:val="009777FF"/>
    <w:rsid w:val="00983FE7"/>
    <w:rsid w:val="00984869"/>
    <w:rsid w:val="00985A5D"/>
    <w:rsid w:val="009967F2"/>
    <w:rsid w:val="009B51C1"/>
    <w:rsid w:val="009C633E"/>
    <w:rsid w:val="009D308E"/>
    <w:rsid w:val="00A041B5"/>
    <w:rsid w:val="00A14D62"/>
    <w:rsid w:val="00A46783"/>
    <w:rsid w:val="00A50636"/>
    <w:rsid w:val="00A6117C"/>
    <w:rsid w:val="00A63760"/>
    <w:rsid w:val="00A83879"/>
    <w:rsid w:val="00A91DB2"/>
    <w:rsid w:val="00A92243"/>
    <w:rsid w:val="00AA1995"/>
    <w:rsid w:val="00AB01D3"/>
    <w:rsid w:val="00AB0533"/>
    <w:rsid w:val="00AB78E5"/>
    <w:rsid w:val="00AE2744"/>
    <w:rsid w:val="00AE28A6"/>
    <w:rsid w:val="00AE762F"/>
    <w:rsid w:val="00AF2AA1"/>
    <w:rsid w:val="00B11207"/>
    <w:rsid w:val="00B24B4C"/>
    <w:rsid w:val="00B25F97"/>
    <w:rsid w:val="00B358E3"/>
    <w:rsid w:val="00B52DC0"/>
    <w:rsid w:val="00B73A71"/>
    <w:rsid w:val="00B84751"/>
    <w:rsid w:val="00BD72E4"/>
    <w:rsid w:val="00BE52BB"/>
    <w:rsid w:val="00BF3EE8"/>
    <w:rsid w:val="00C01452"/>
    <w:rsid w:val="00C41D9F"/>
    <w:rsid w:val="00C52BC8"/>
    <w:rsid w:val="00C5314B"/>
    <w:rsid w:val="00C5407C"/>
    <w:rsid w:val="00C72B4C"/>
    <w:rsid w:val="00C77772"/>
    <w:rsid w:val="00C86F4F"/>
    <w:rsid w:val="00C95E2C"/>
    <w:rsid w:val="00CC1030"/>
    <w:rsid w:val="00CC19B8"/>
    <w:rsid w:val="00CC423C"/>
    <w:rsid w:val="00CD7167"/>
    <w:rsid w:val="00CE4809"/>
    <w:rsid w:val="00CE7472"/>
    <w:rsid w:val="00D05EA0"/>
    <w:rsid w:val="00D122AE"/>
    <w:rsid w:val="00D238DC"/>
    <w:rsid w:val="00D258CA"/>
    <w:rsid w:val="00D33767"/>
    <w:rsid w:val="00D5191D"/>
    <w:rsid w:val="00DB0E4F"/>
    <w:rsid w:val="00DB2D0C"/>
    <w:rsid w:val="00DC2755"/>
    <w:rsid w:val="00DE2860"/>
    <w:rsid w:val="00DE307F"/>
    <w:rsid w:val="00DF2602"/>
    <w:rsid w:val="00DF5741"/>
    <w:rsid w:val="00E114B9"/>
    <w:rsid w:val="00E13933"/>
    <w:rsid w:val="00E16A12"/>
    <w:rsid w:val="00E3081C"/>
    <w:rsid w:val="00E43758"/>
    <w:rsid w:val="00E43ADC"/>
    <w:rsid w:val="00E50547"/>
    <w:rsid w:val="00E53F25"/>
    <w:rsid w:val="00E84DFC"/>
    <w:rsid w:val="00E85514"/>
    <w:rsid w:val="00E92402"/>
    <w:rsid w:val="00EB5D21"/>
    <w:rsid w:val="00EF07C1"/>
    <w:rsid w:val="00F20D7C"/>
    <w:rsid w:val="00F22572"/>
    <w:rsid w:val="00F24D01"/>
    <w:rsid w:val="00F420F6"/>
    <w:rsid w:val="00F57AC7"/>
    <w:rsid w:val="00F57CF2"/>
    <w:rsid w:val="00F66D28"/>
    <w:rsid w:val="00F960BF"/>
    <w:rsid w:val="00FA5F24"/>
    <w:rsid w:val="00FB3502"/>
    <w:rsid w:val="00FD526C"/>
    <w:rsid w:val="00FE5A9E"/>
    <w:rsid w:val="00FF033A"/>
    <w:rsid w:val="02F50FC7"/>
    <w:rsid w:val="03577A2F"/>
    <w:rsid w:val="04C74740"/>
    <w:rsid w:val="08403A8C"/>
    <w:rsid w:val="09FF2C2E"/>
    <w:rsid w:val="0D2210AE"/>
    <w:rsid w:val="0D290C7A"/>
    <w:rsid w:val="0FE342F9"/>
    <w:rsid w:val="110940C9"/>
    <w:rsid w:val="11BA2838"/>
    <w:rsid w:val="12386319"/>
    <w:rsid w:val="167209B0"/>
    <w:rsid w:val="171C091C"/>
    <w:rsid w:val="17C43107"/>
    <w:rsid w:val="1977452F"/>
    <w:rsid w:val="1B1E08A5"/>
    <w:rsid w:val="22AA14D2"/>
    <w:rsid w:val="27D335D6"/>
    <w:rsid w:val="287C6C14"/>
    <w:rsid w:val="2952254E"/>
    <w:rsid w:val="2F4405B8"/>
    <w:rsid w:val="30DD412D"/>
    <w:rsid w:val="312279CB"/>
    <w:rsid w:val="34D361FA"/>
    <w:rsid w:val="376B13CE"/>
    <w:rsid w:val="38E928FC"/>
    <w:rsid w:val="3A371265"/>
    <w:rsid w:val="3A812D70"/>
    <w:rsid w:val="3BF35840"/>
    <w:rsid w:val="40A52FAB"/>
    <w:rsid w:val="40C314C1"/>
    <w:rsid w:val="41D91034"/>
    <w:rsid w:val="41EA1493"/>
    <w:rsid w:val="44006D4C"/>
    <w:rsid w:val="46111ECF"/>
    <w:rsid w:val="472F0C59"/>
    <w:rsid w:val="48C90054"/>
    <w:rsid w:val="497F15E5"/>
    <w:rsid w:val="49D7251E"/>
    <w:rsid w:val="4D5F0B58"/>
    <w:rsid w:val="4D9B297B"/>
    <w:rsid w:val="4E231FB4"/>
    <w:rsid w:val="51F1310D"/>
    <w:rsid w:val="529E33DA"/>
    <w:rsid w:val="52C1432B"/>
    <w:rsid w:val="54EE7300"/>
    <w:rsid w:val="55B61960"/>
    <w:rsid w:val="57DE7A26"/>
    <w:rsid w:val="5AE458B6"/>
    <w:rsid w:val="5D6D1C91"/>
    <w:rsid w:val="635B7DD6"/>
    <w:rsid w:val="65091AAC"/>
    <w:rsid w:val="6627350D"/>
    <w:rsid w:val="665054B9"/>
    <w:rsid w:val="66A817B6"/>
    <w:rsid w:val="679C58A2"/>
    <w:rsid w:val="68F15246"/>
    <w:rsid w:val="69EB189E"/>
    <w:rsid w:val="6D700232"/>
    <w:rsid w:val="6E5C6FF4"/>
    <w:rsid w:val="74910B14"/>
    <w:rsid w:val="774C75D7"/>
    <w:rsid w:val="78141853"/>
    <w:rsid w:val="785301C9"/>
    <w:rsid w:val="7A6D16FF"/>
    <w:rsid w:val="7CEF7514"/>
    <w:rsid w:val="7EEF9A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iPriority w:val="0"/>
    <w:pPr>
      <w:tabs>
        <w:tab w:val="center" w:pos="4153"/>
        <w:tab w:val="right" w:pos="8306"/>
      </w:tabs>
      <w:snapToGrid w:val="0"/>
      <w:jc w:val="left"/>
    </w:pPr>
    <w:rPr>
      <w:sz w:val="18"/>
      <w:szCs w:val="18"/>
    </w:rPr>
  </w:style>
  <w:style w:type="paragraph" w:styleId="3">
    <w:name w:val="header"/>
    <w:basedOn w:val="1"/>
    <w:link w:val="10"/>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widowControl/>
      <w:spacing w:before="100" w:beforeAutospacing="1" w:after="100" w:afterAutospacing="1"/>
      <w:jc w:val="left"/>
    </w:pPr>
    <w:rPr>
      <w:rFonts w:ascii="宋体" w:hAnsi="宋体" w:cs="宋体"/>
      <w:kern w:val="0"/>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uiPriority w:val="0"/>
  </w:style>
  <w:style w:type="character" w:customStyle="1" w:styleId="9">
    <w:name w:val="页脚 Char"/>
    <w:link w:val="2"/>
    <w:uiPriority w:val="0"/>
    <w:rPr>
      <w:kern w:val="2"/>
      <w:sz w:val="18"/>
      <w:szCs w:val="18"/>
    </w:rPr>
  </w:style>
  <w:style w:type="character" w:customStyle="1" w:styleId="10">
    <w:name w:val="页眉 Char"/>
    <w:link w:val="3"/>
    <w:uiPriority w:val="0"/>
    <w:rPr>
      <w:kern w:val="2"/>
      <w:sz w:val="18"/>
      <w:szCs w:val="18"/>
    </w:rPr>
  </w:style>
  <w:style w:type="paragraph" w:customStyle="1" w:styleId="11">
    <w:name w:val="普通(网站) Char"/>
    <w:basedOn w:val="1"/>
    <w:qFormat/>
    <w:uiPriority w:val="0"/>
    <w:pPr>
      <w:spacing w:before="100" w:beforeAutospacing="1" w:after="100" w:afterAutospacing="1"/>
      <w:jc w:val="left"/>
    </w:pPr>
    <w:rPr>
      <w:rFonts w:hint="eastAsia" w:ascii="宋体" w:hAnsi="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123</Company>
  <Pages>7</Pages>
  <Words>2650</Words>
  <Characters>2850</Characters>
  <Lines>20</Lines>
  <Paragraphs>5</Paragraphs>
  <TotalTime>71</TotalTime>
  <ScaleCrop>false</ScaleCrop>
  <LinksUpToDate>false</LinksUpToDate>
  <CharactersWithSpaces>2857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2022-05-19T07:50:00Z</dcterms:created>
  <dc:creator>唐立新</dc:creator>
  <cp:lastModifiedBy>寇俊鹏</cp:lastModifiedBy>
  <cp:lastPrinted>2021-12-23T08:40:00Z</cp:lastPrinted>
  <dcterms:modified xsi:type="dcterms:W3CDTF">2025-03-24T06:46:30Z</dcterms:modified>
  <dc:title>×××××2016年</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9BE1CB52131C448EA5F7CDE8F51320EF</vt:lpwstr>
  </property>
  <property fmtid="{D5CDD505-2E9C-101B-9397-08002B2CF9AE}" pid="4" name="KSOTemplateDocerSaveRecord">
    <vt:lpwstr>eyJoZGlkIjoiMDY1MWZiMWEyNWMwNTVlZmNmM2QxMTdmNzZkNjNmZmYiLCJ1c2VySWQiOiI3NTk1ODIzMjQifQ==</vt:lpwstr>
  </property>
</Properties>
</file>