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3E481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  <w:highlight w:val="none"/>
          <w:lang w:val="en-US" w:eastAsia="zh-CN"/>
        </w:rPr>
        <w:t>北京市通州区第四中学</w:t>
      </w: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2022</w:t>
      </w:r>
      <w:bookmarkStart w:id="1" w:name="_GoBack"/>
      <w:bookmarkEnd w:id="1"/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年预算情况说明</w:t>
      </w:r>
    </w:p>
    <w:p w14:paraId="5A6FD8A0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</w:p>
    <w:p w14:paraId="122C0820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目    录</w:t>
      </w:r>
    </w:p>
    <w:p w14:paraId="2AECB552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23142ABE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5BDEC6EE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19319154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四、2022年度单位“三公”经费财政拨款预算说明</w:t>
      </w:r>
    </w:p>
    <w:p w14:paraId="30FA1568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五、2022年度其他重要事项的情况说明</w:t>
      </w:r>
    </w:p>
    <w:p w14:paraId="6D9B3626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22B457E2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</w:p>
    <w:p w14:paraId="5E9ECBCE">
      <w:pPr>
        <w:widowControl/>
        <w:spacing w:after="240" w:line="560" w:lineRule="exact"/>
        <w:ind w:firstLine="643" w:firstLineChars="20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6B055A86">
      <w:pPr>
        <w:numPr>
          <w:ilvl w:val="0"/>
          <w:numId w:val="0"/>
        </w:numPr>
        <w:spacing w:line="560" w:lineRule="exact"/>
        <w:ind w:firstLine="320" w:firstLineChars="1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单位机构设置、主要职责</w:t>
      </w:r>
    </w:p>
    <w:p w14:paraId="1DA1F541">
      <w:pPr>
        <w:numPr>
          <w:ilvl w:val="0"/>
          <w:numId w:val="0"/>
        </w:num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机构设置：</w:t>
      </w:r>
      <w:r>
        <w:rPr>
          <w:rFonts w:ascii="仿宋_GB2312" w:hAnsi="仿宋" w:eastAsia="仿宋_GB2312"/>
          <w:sz w:val="32"/>
          <w:szCs w:val="32"/>
        </w:rPr>
        <w:t>我校为独立核算单位，学校实行校长负责制。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学校设校长、副校长、</w:t>
      </w:r>
      <w:r>
        <w:rPr>
          <w:rFonts w:ascii="仿宋_GB2312" w:hAnsi="仿宋" w:eastAsia="仿宋_GB2312"/>
          <w:sz w:val="32"/>
          <w:szCs w:val="32"/>
        </w:rPr>
        <w:t>设立</w:t>
      </w:r>
      <w:r>
        <w:rPr>
          <w:rFonts w:hint="eastAsia" w:ascii="仿宋_GB2312" w:hAnsi="仿宋" w:eastAsia="仿宋_GB2312"/>
          <w:sz w:val="32"/>
          <w:szCs w:val="32"/>
        </w:rPr>
        <w:t>办公室、教务处</w:t>
      </w:r>
      <w:r>
        <w:rPr>
          <w:rFonts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政教处</w:t>
      </w:r>
      <w:r>
        <w:rPr>
          <w:rFonts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总务处、教科研处、团委等</w:t>
      </w:r>
      <w:r>
        <w:rPr>
          <w:rFonts w:ascii="仿宋_GB2312" w:hAnsi="仿宋" w:eastAsia="仿宋_GB2312"/>
          <w:sz w:val="32"/>
          <w:szCs w:val="32"/>
        </w:rPr>
        <w:t>业务科室，负责学校具体业务的开展。</w:t>
      </w:r>
    </w:p>
    <w:p w14:paraId="1D866320">
      <w:pPr>
        <w:tabs>
          <w:tab w:val="left" w:pos="426"/>
        </w:tabs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2.主要职责：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学校设校长1名，是学校教育教学和行政管理的第一责任人，全面负责教育教学和行政管理工作，并承担主要行政责任和相应法律责任。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：负责校务的协调、人事、档案、合同签订、会务准备、发布学校通知、各部门工作督导等，对外联络、收、制、发文件等工作。政教处：负责学生的思想政治教育、德育队伍建设、学校艺术体育科技、课后服务等工作。以年级组和班主任队伍为管理脉络。协调共青团、少先队等工作。教务处：负责全校教育教学工作安排和教务管理、以教研组和备课组为管理脉络。教科研处：负责学校教育、教学方面的科学研究、课题研究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教研组、课题组研究成员为管理脉络。总务处：负责学校的固定资产、财务管理工作和基建、后勤及校园环境建设等工作。团委（少先队）：学校共青团组织是学校教育中对学生教育、引导和服务的重要力量，受学校党组织领导，配合党政组织，认真搞好自身建设，在全面贯彻教育方针、推进素质教育的进程中发挥积极作用。</w:t>
      </w:r>
    </w:p>
    <w:p w14:paraId="23BE803A">
      <w:pPr>
        <w:tabs>
          <w:tab w:val="left" w:pos="426"/>
        </w:tabs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（二）人员构成情况</w:t>
      </w:r>
    </w:p>
    <w:p w14:paraId="1E44EE0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北京市通州区第四中学行事业编制</w:t>
      </w:r>
      <w:r>
        <w:rPr>
          <w:rFonts w:ascii="仿宋_GB2312" w:eastAsia="仿宋_GB2312"/>
          <w:sz w:val="32"/>
          <w:szCs w:val="32"/>
        </w:rPr>
        <w:t>167</w:t>
      </w:r>
      <w:r>
        <w:rPr>
          <w:rFonts w:hint="eastAsia" w:ascii="仿宋_GB2312" w:eastAsia="仿宋_GB2312"/>
          <w:sz w:val="32"/>
          <w:szCs w:val="32"/>
        </w:rPr>
        <w:t>人，实际1</w:t>
      </w:r>
      <w:r>
        <w:rPr>
          <w:rFonts w:ascii="仿宋_GB2312" w:eastAsia="仿宋_GB2312"/>
          <w:sz w:val="32"/>
          <w:szCs w:val="32"/>
        </w:rPr>
        <w:t>91</w:t>
      </w:r>
      <w:r>
        <w:rPr>
          <w:rFonts w:hint="eastAsia" w:ascii="仿宋_GB2312" w:eastAsia="仿宋_GB2312"/>
          <w:sz w:val="32"/>
          <w:szCs w:val="32"/>
        </w:rPr>
        <w:t xml:space="preserve"> 人；聘用人员（包括其他聘用人员--临时工等）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人为社会化人才。</w:t>
      </w:r>
    </w:p>
    <w:p w14:paraId="15487CF9">
      <w:pPr>
        <w:spacing w:line="560" w:lineRule="exact"/>
        <w:ind w:firstLine="55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离退休人员1</w:t>
      </w:r>
      <w:r>
        <w:rPr>
          <w:rFonts w:ascii="仿宋_GB2312" w:eastAsia="仿宋_GB2312"/>
          <w:sz w:val="32"/>
          <w:szCs w:val="32"/>
        </w:rPr>
        <w:t>34</w:t>
      </w:r>
      <w:r>
        <w:rPr>
          <w:rFonts w:hint="eastAsia" w:ascii="仿宋_GB2312" w:eastAsia="仿宋_GB2312"/>
          <w:sz w:val="32"/>
          <w:szCs w:val="32"/>
        </w:rPr>
        <w:t>人，其中：离休1人，退休</w:t>
      </w:r>
      <w:r>
        <w:rPr>
          <w:rFonts w:ascii="仿宋_GB2312" w:eastAsia="仿宋_GB2312"/>
          <w:sz w:val="32"/>
          <w:szCs w:val="32"/>
        </w:rPr>
        <w:t>133</w:t>
      </w:r>
      <w:r>
        <w:rPr>
          <w:rFonts w:hint="eastAsia" w:ascii="仿宋_GB2312" w:eastAsia="仿宋_GB2312"/>
          <w:sz w:val="32"/>
          <w:szCs w:val="32"/>
        </w:rPr>
        <w:t>人。</w:t>
      </w:r>
    </w:p>
    <w:p w14:paraId="1C1BBF30">
      <w:pPr>
        <w:spacing w:line="560" w:lineRule="exact"/>
        <w:ind w:firstLine="55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本预算年度的主要工作任务</w:t>
      </w:r>
    </w:p>
    <w:p w14:paraId="364B8813">
      <w:pPr>
        <w:spacing w:line="560" w:lineRule="exact"/>
        <w:ind w:firstLine="55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1、开展学生德育活动。学校工作始终坚持以德育为核心，坚持传承民族文化、民族精神，坚持“学校无小事，事事都育人”的原则，坚持以爱国主义、养成教育、法制教育、传统美德教育、环保教育等为主要内容，以各类活动为契机，融人生观、价值观的形成于鲜活的实践中。通过多种有效途径加强学生爱国主义教育和公民道德教育，强化法制、安全、心理健康教育。 </w:t>
      </w:r>
    </w:p>
    <w:p w14:paraId="4C72243F">
      <w:pPr>
        <w:spacing w:line="560" w:lineRule="exact"/>
        <w:ind w:firstLine="55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2、开展教学和教研活动。加强教学常规管理，贯彻落实“双减”措施，培养学生综合素质，重视学生艺术素质培养。有效开展听课、说课与评课活动，加强集体备课，增强校本教研实效。 开展教育科学研究活动。积极倡导大单元课题（数语外物）研究，组织教师对教育教学和管理中的难点和热点问题开展研究，提倡行动研究，注重研究的可操作性与实效性。 </w:t>
      </w:r>
    </w:p>
    <w:p w14:paraId="14FAD5FD">
      <w:pPr>
        <w:spacing w:line="560" w:lineRule="exact"/>
        <w:ind w:firstLine="55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3、开展教师培训活动。规范教师培训制度，组织教职工开展师德培训，加强继续教育工作，根据校本培训方案认真实施校本培训工作，努力提升教师整体素质，为广大青年教师提供发展平台和契机。 </w:t>
      </w:r>
    </w:p>
    <w:p w14:paraId="31904E56">
      <w:pPr>
        <w:spacing w:line="560" w:lineRule="exact"/>
        <w:ind w:firstLine="55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4、开展学校后勤服务和工会活动。加强校产管理，做到账物相符、账账相符。规范财务管理，严格执行有关收费规定，及时公示收费项目和标准。积极推行市区扶贫任务完成和退休教师慰问活动。</w:t>
      </w:r>
    </w:p>
    <w:p w14:paraId="51B570F2">
      <w:pPr>
        <w:widowControl/>
        <w:spacing w:after="240" w:line="560" w:lineRule="exact"/>
        <w:ind w:firstLine="643" w:firstLineChars="200"/>
        <w:jc w:val="left"/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7C6ED5A1">
      <w:pPr>
        <w:widowControl/>
        <w:spacing w:after="240"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2022年收入预算3</w:t>
      </w:r>
      <w:r>
        <w:rPr>
          <w:rFonts w:ascii="仿宋_GB2312" w:eastAsia="仿宋_GB2312"/>
          <w:sz w:val="32"/>
          <w:szCs w:val="32"/>
        </w:rPr>
        <w:t>650.12</w:t>
      </w:r>
      <w:r>
        <w:rPr>
          <w:rFonts w:hint="eastAsia" w:ascii="仿宋_GB2312" w:eastAsia="仿宋_GB2312"/>
          <w:sz w:val="32"/>
          <w:szCs w:val="32"/>
        </w:rPr>
        <w:t>万元，比2021年3</w:t>
      </w:r>
      <w:r>
        <w:rPr>
          <w:rFonts w:ascii="仿宋_GB2312" w:eastAsia="仿宋_GB2312"/>
          <w:sz w:val="32"/>
          <w:szCs w:val="32"/>
        </w:rPr>
        <w:t>79.22</w:t>
      </w:r>
      <w:r>
        <w:rPr>
          <w:rFonts w:hint="eastAsia" w:ascii="仿宋_GB2312" w:eastAsia="仿宋_GB2312"/>
          <w:sz w:val="32"/>
          <w:szCs w:val="32"/>
        </w:rPr>
        <w:t>万元，增加了3</w:t>
      </w:r>
      <w:r>
        <w:rPr>
          <w:rFonts w:ascii="仿宋_GB2312" w:eastAsia="仿宋_GB2312"/>
          <w:sz w:val="32"/>
          <w:szCs w:val="32"/>
        </w:rPr>
        <w:t>270.9</w:t>
      </w:r>
      <w:r>
        <w:rPr>
          <w:rFonts w:hint="eastAsia" w:ascii="仿宋_GB2312" w:eastAsia="仿宋_GB2312"/>
          <w:sz w:val="32"/>
          <w:szCs w:val="32"/>
        </w:rPr>
        <w:t>万元，增长了</w:t>
      </w:r>
      <w:r>
        <w:rPr>
          <w:rFonts w:ascii="仿宋_GB2312" w:eastAsia="仿宋_GB2312"/>
          <w:sz w:val="32"/>
          <w:szCs w:val="32"/>
        </w:rPr>
        <w:t>862.53</w:t>
      </w:r>
      <w:r>
        <w:rPr>
          <w:rFonts w:hint="eastAsia" w:ascii="仿宋_GB2312" w:eastAsia="仿宋_GB2312"/>
          <w:sz w:val="32"/>
          <w:szCs w:val="32"/>
        </w:rPr>
        <w:t xml:space="preserve"> %。其中：财政拨款3</w:t>
      </w:r>
      <w:r>
        <w:rPr>
          <w:rFonts w:ascii="仿宋_GB2312" w:eastAsia="仿宋_GB2312"/>
          <w:sz w:val="32"/>
          <w:szCs w:val="32"/>
        </w:rPr>
        <w:t>650.12</w:t>
      </w:r>
      <w:r>
        <w:rPr>
          <w:rFonts w:hint="eastAsia" w:ascii="仿宋_GB2312" w:eastAsia="仿宋_GB2312"/>
          <w:sz w:val="32"/>
          <w:szCs w:val="32"/>
        </w:rPr>
        <w:t>万元，比2021年3</w:t>
      </w:r>
      <w:r>
        <w:rPr>
          <w:rFonts w:ascii="仿宋_GB2312" w:eastAsia="仿宋_GB2312"/>
          <w:sz w:val="32"/>
          <w:szCs w:val="32"/>
        </w:rPr>
        <w:t>79.22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增加3</w:t>
      </w:r>
      <w:r>
        <w:rPr>
          <w:rFonts w:ascii="仿宋_GB2312" w:eastAsia="仿宋_GB2312"/>
          <w:sz w:val="32"/>
          <w:szCs w:val="32"/>
        </w:rPr>
        <w:t>270.9</w:t>
      </w:r>
      <w:r>
        <w:rPr>
          <w:rFonts w:hint="eastAsia" w:ascii="仿宋_GB2312" w:eastAsia="仿宋_GB2312"/>
          <w:sz w:val="32"/>
          <w:szCs w:val="32"/>
        </w:rPr>
        <w:t>万元；统筹使用结余资金安排预算0万元，与2021年0万元持平；其他资金0万元，与2021年0万元持平。</w:t>
      </w:r>
    </w:p>
    <w:p w14:paraId="69A6F2B2">
      <w:pPr>
        <w:widowControl/>
        <w:spacing w:after="240" w:line="560" w:lineRule="exact"/>
        <w:ind w:firstLine="643" w:firstLineChars="20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16C2E52E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（一）基</w:t>
      </w:r>
      <w:r>
        <w:rPr>
          <w:rFonts w:hint="eastAsia" w:ascii="仿宋_GB2312" w:eastAsia="仿宋_GB2312"/>
          <w:sz w:val="32"/>
          <w:szCs w:val="32"/>
        </w:rPr>
        <w:t>本支出预算3</w:t>
      </w:r>
      <w:r>
        <w:rPr>
          <w:rFonts w:ascii="仿宋_GB2312" w:eastAsia="仿宋_GB2312"/>
          <w:sz w:val="32"/>
          <w:szCs w:val="32"/>
        </w:rPr>
        <w:t>650.12</w:t>
      </w:r>
      <w:r>
        <w:rPr>
          <w:rFonts w:hint="eastAsia" w:ascii="仿宋_GB2312" w:eastAsia="仿宋_GB2312"/>
          <w:sz w:val="32"/>
          <w:szCs w:val="32"/>
        </w:rPr>
        <w:t>万元，占总支出预算1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hint="eastAsia" w:ascii="仿宋_GB2312" w:eastAsia="仿宋_GB2312"/>
          <w:sz w:val="32"/>
          <w:szCs w:val="32"/>
        </w:rPr>
        <w:t xml:space="preserve"> %，比2021年3</w:t>
      </w:r>
      <w:r>
        <w:rPr>
          <w:rFonts w:ascii="仿宋_GB2312" w:eastAsia="仿宋_GB2312"/>
          <w:sz w:val="32"/>
          <w:szCs w:val="32"/>
        </w:rPr>
        <w:t>79.22</w:t>
      </w:r>
      <w:r>
        <w:rPr>
          <w:rFonts w:hint="eastAsia" w:ascii="仿宋_GB2312" w:eastAsia="仿宋_GB2312"/>
          <w:sz w:val="32"/>
          <w:szCs w:val="32"/>
        </w:rPr>
        <w:t>万元，增加3</w:t>
      </w:r>
      <w:r>
        <w:rPr>
          <w:rFonts w:ascii="仿宋_GB2312" w:eastAsia="仿宋_GB2312"/>
          <w:sz w:val="32"/>
          <w:szCs w:val="32"/>
        </w:rPr>
        <w:t>270.9</w:t>
      </w:r>
      <w:r>
        <w:rPr>
          <w:rFonts w:hint="eastAsia" w:ascii="仿宋_GB2312" w:eastAsia="仿宋_GB2312"/>
          <w:sz w:val="32"/>
          <w:szCs w:val="32"/>
        </w:rPr>
        <w:t>万元，增长8</w:t>
      </w:r>
      <w:r>
        <w:rPr>
          <w:rFonts w:ascii="仿宋_GB2312" w:eastAsia="仿宋_GB2312"/>
          <w:sz w:val="32"/>
          <w:szCs w:val="32"/>
        </w:rPr>
        <w:t>62.53</w:t>
      </w:r>
      <w:r>
        <w:rPr>
          <w:rFonts w:hint="eastAsia" w:ascii="仿宋_GB2312" w:eastAsia="仿宋_GB2312"/>
          <w:sz w:val="32"/>
          <w:szCs w:val="32"/>
        </w:rPr>
        <w:t>%。变动较大的原因是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人员经费增加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100B9F6B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（二）无项目支出预算0万元，与2021年0万元持平</w:t>
      </w:r>
    </w:p>
    <w:p w14:paraId="7AD58194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（三）无上缴上级支出</w:t>
      </w:r>
    </w:p>
    <w:p w14:paraId="1F5D1D45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（四）无事业单位经营支出</w:t>
      </w:r>
    </w:p>
    <w:p w14:paraId="68087741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（五）无对附属单位补助支出</w:t>
      </w:r>
    </w:p>
    <w:p w14:paraId="0DAF5659">
      <w:pPr>
        <w:spacing w:line="560" w:lineRule="exact"/>
        <w:ind w:firstLine="643" w:firstLineChars="200"/>
        <w:jc w:val="both"/>
        <w:rPr>
          <w:rFonts w:ascii="黑体" w:eastAsia="黑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</w:t>
      </w:r>
      <w:r>
        <w:rPr>
          <w:rFonts w:hint="eastAsia" w:ascii="黑体" w:eastAsia="黑体"/>
          <w:b/>
          <w:sz w:val="32"/>
          <w:szCs w:val="32"/>
        </w:rPr>
        <w:t>单位“三公”经费财政拨款预算说明</w:t>
      </w:r>
    </w:p>
    <w:p w14:paraId="520CF32F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的单位范围</w:t>
      </w:r>
    </w:p>
    <w:p w14:paraId="4049794E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本单位因公出国（境）费用、公务接待费、公务用车购置和运行维护费开支单位包括0个所属单位。</w:t>
      </w:r>
    </w:p>
    <w:p w14:paraId="448D6780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财政拨款情况说明</w:t>
      </w:r>
    </w:p>
    <w:p w14:paraId="23542A46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财政拨款预算0万元，与2021年0万元持平。其中：</w:t>
      </w:r>
    </w:p>
    <w:p w14:paraId="2819679E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1、因公出国（境）费用。2022年预算数0万元，与2021年0万元持平。</w:t>
      </w:r>
    </w:p>
    <w:p w14:paraId="1F9104D3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2、公务接待费。2022年预算0万元，与2021年0万元持平。</w:t>
      </w:r>
    </w:p>
    <w:p w14:paraId="08990B2C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324D88AD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五、其他重要事项的情况说明</w:t>
      </w:r>
    </w:p>
    <w:p w14:paraId="09D724C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（一）机关运行经费情况说明</w:t>
      </w:r>
    </w:p>
    <w:p w14:paraId="65F4E03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ascii="仿宋_GB2312" w:eastAsia="仿宋_GB2312"/>
          <w:sz w:val="32"/>
          <w:szCs w:val="32"/>
        </w:rPr>
        <w:t>机关运行经费。</w:t>
      </w:r>
    </w:p>
    <w:p w14:paraId="34630E8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（二）项目支出绩效目标及评价结果情况说明</w:t>
      </w:r>
    </w:p>
    <w:p w14:paraId="59E3342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本单位预算</w:t>
      </w:r>
      <w:r>
        <w:rPr>
          <w:rFonts w:ascii="仿宋_GB2312" w:eastAsia="仿宋_GB2312"/>
          <w:sz w:val="32"/>
          <w:szCs w:val="32"/>
        </w:rPr>
        <w:t>批复无项目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322DC81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OLE_LINK2"/>
      <w:r>
        <w:rPr>
          <w:rFonts w:hint="eastAsia" w:ascii="仿宋_GB2312" w:eastAsia="仿宋_GB2312"/>
          <w:sz w:val="32"/>
          <w:szCs w:val="32"/>
        </w:rPr>
        <w:t>（三）重点行政事业性收费情况说明</w:t>
      </w:r>
    </w:p>
    <w:bookmarkEnd w:id="0"/>
    <w:p w14:paraId="0489EA2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本单位2022年无重点行政事业性收费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2926287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（四）国有资本经营预算财政拨款情况及国有资产占用情况说明</w:t>
      </w:r>
    </w:p>
    <w:p w14:paraId="4D47577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本单位2022年无国有资本经营预算财政拨款安排的预算。</w:t>
      </w:r>
    </w:p>
    <w:p w14:paraId="18D6A18A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截止202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年12月31日，本单位货币资金5</w:t>
      </w:r>
      <w:r>
        <w:rPr>
          <w:rFonts w:ascii="仿宋_GB2312" w:eastAsia="仿宋_GB2312"/>
          <w:sz w:val="32"/>
          <w:szCs w:val="32"/>
        </w:rPr>
        <w:t>86.52</w:t>
      </w:r>
      <w:r>
        <w:rPr>
          <w:rFonts w:hint="eastAsia" w:ascii="仿宋_GB2312" w:eastAsia="仿宋_GB2312"/>
          <w:sz w:val="32"/>
          <w:szCs w:val="32"/>
        </w:rPr>
        <w:t>万元（其中银行存款5</w:t>
      </w:r>
      <w:r>
        <w:rPr>
          <w:rFonts w:ascii="仿宋_GB2312" w:eastAsia="仿宋_GB2312"/>
          <w:sz w:val="32"/>
          <w:szCs w:val="32"/>
        </w:rPr>
        <w:t>86.52</w:t>
      </w:r>
      <w:r>
        <w:rPr>
          <w:rFonts w:hint="eastAsia" w:ascii="仿宋_GB2312" w:eastAsia="仿宋_GB2312"/>
          <w:sz w:val="32"/>
          <w:szCs w:val="32"/>
        </w:rPr>
        <w:t>万元），房屋2</w:t>
      </w:r>
      <w:r>
        <w:rPr>
          <w:rFonts w:ascii="仿宋_GB2312" w:eastAsia="仿宋_GB2312"/>
          <w:sz w:val="32"/>
          <w:szCs w:val="32"/>
        </w:rPr>
        <w:t>636.17</w:t>
      </w:r>
      <w:r>
        <w:rPr>
          <w:rFonts w:hint="eastAsia" w:ascii="仿宋_GB2312" w:eastAsia="仿宋_GB2312"/>
          <w:sz w:val="32"/>
          <w:szCs w:val="32"/>
        </w:rPr>
        <w:t>万元，车辆1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万元，在建工程0万元。</w:t>
      </w:r>
    </w:p>
    <w:p w14:paraId="137068E9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截至2021年12月31日，本单位共有车辆1辆。</w:t>
      </w:r>
    </w:p>
    <w:p w14:paraId="28DC7C7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754B7CD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（五）政府采购预算财政拨款情况说明</w:t>
      </w:r>
    </w:p>
    <w:p w14:paraId="3BB5A48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本单位2022年无政府采购预算财政拨款安排的预算。</w:t>
      </w:r>
    </w:p>
    <w:p w14:paraId="66CC89B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（六）政府购买服务预算财政拨款情况说明</w:t>
      </w:r>
    </w:p>
    <w:p w14:paraId="558D3ED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本单位2022年无政府购买服务预算财政拨款安排的预算。</w:t>
      </w:r>
    </w:p>
    <w:p w14:paraId="3A62B3E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（七）名词解释</w:t>
      </w:r>
    </w:p>
    <w:p w14:paraId="1BA3B21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1E5C998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480BA42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03434ED6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1E9B904D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61F059EC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7A989C16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3C3046ED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338DBCE0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3B656B4F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40E00B50">
      <w:pPr>
        <w:spacing w:line="560" w:lineRule="exact"/>
        <w:ind w:firstLine="555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6A835BA8">
      <w:pPr>
        <w:widowControl/>
        <w:spacing w:after="240" w:line="560" w:lineRule="exact"/>
        <w:ind w:firstLine="643" w:firstLineChars="20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67B20067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详见2022年度单位预算公开报表</w:t>
      </w:r>
    </w:p>
    <w:p w14:paraId="57206348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 w14:paraId="6375E31B"/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C1341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3327E84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67622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02D87D9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517C"/>
    <w:rsid w:val="001F517C"/>
    <w:rsid w:val="00253596"/>
    <w:rsid w:val="004A7E85"/>
    <w:rsid w:val="00514F17"/>
    <w:rsid w:val="00527E78"/>
    <w:rsid w:val="006D1A58"/>
    <w:rsid w:val="00793C5E"/>
    <w:rsid w:val="009D023F"/>
    <w:rsid w:val="00A364D2"/>
    <w:rsid w:val="00AB4CCE"/>
    <w:rsid w:val="00B471ED"/>
    <w:rsid w:val="00C4523D"/>
    <w:rsid w:val="00CB304E"/>
    <w:rsid w:val="00CD0F5F"/>
    <w:rsid w:val="00D97B70"/>
    <w:rsid w:val="00E852EF"/>
    <w:rsid w:val="00F11C3F"/>
    <w:rsid w:val="00FB57D2"/>
    <w:rsid w:val="1B37258C"/>
    <w:rsid w:val="1DED166D"/>
    <w:rsid w:val="24D942F0"/>
    <w:rsid w:val="26EF1BA9"/>
    <w:rsid w:val="41EA08E1"/>
    <w:rsid w:val="429C0244"/>
    <w:rsid w:val="4E7E5B99"/>
    <w:rsid w:val="535F7E31"/>
    <w:rsid w:val="59B20D3B"/>
    <w:rsid w:val="5AB77DF6"/>
    <w:rsid w:val="72E6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脚 字符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8</Pages>
  <Words>3313</Words>
  <Characters>3520</Characters>
  <Lines>21</Lines>
  <Paragraphs>6</Paragraphs>
  <TotalTime>17</TotalTime>
  <ScaleCrop>false</ScaleCrop>
  <LinksUpToDate>false</LinksUpToDate>
  <CharactersWithSpaces>3531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2022-05-22T09:00:00Z</dcterms:created>
  <dc:creator>Owner</dc:creator>
  <cp:lastModifiedBy>寇俊鹏</cp:lastModifiedBy>
  <dcterms:modified xsi:type="dcterms:W3CDTF">2025-03-24T07:03:45Z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D7AE41B370E44C26BF6913A4C1F8CD5E</vt:lpwstr>
  </property>
  <property fmtid="{D5CDD505-2E9C-101B-9397-08002B2CF9AE}" pid="4" name="KSOTemplateDocerSaveRecord">
    <vt:lpwstr>eyJoZGlkIjoiMDY1MWZiMWEyNWMwNTVlZmNmM2QxMTdmNzZkNjNmZmYiLCJ1c2VySWQiOiI3NTk1ODIzMjQifQ==</vt:lpwstr>
  </property>
</Properties>
</file>