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542F3">
      <w:pPr>
        <w:spacing w:line="560" w:lineRule="exact"/>
        <w:jc w:val="center"/>
        <w:rPr>
          <w:rFonts w:hint="eastAsia" w:ascii="方正小标宋简体" w:hAnsi="微软雅黑" w:eastAsia="方正小标宋简体" w:cs="宋体"/>
          <w:b/>
          <w:bCs/>
          <w:color w:val="333333"/>
          <w:kern w:val="0"/>
          <w:sz w:val="44"/>
          <w:szCs w:val="44"/>
          <w:lang w:eastAsia="zh-CN"/>
        </w:rPr>
      </w:pPr>
      <w:r>
        <w:rPr>
          <w:rFonts w:hint="eastAsia" w:ascii="方正小标宋简体" w:hAnsi="微软雅黑" w:eastAsia="方正小标宋简体" w:cs="宋体"/>
          <w:b/>
          <w:bCs/>
          <w:color w:val="333333"/>
          <w:kern w:val="0"/>
          <w:sz w:val="44"/>
          <w:szCs w:val="44"/>
          <w:lang w:eastAsia="zh-CN"/>
        </w:rPr>
        <w:t>北京市通州区漷县镇</w:t>
      </w:r>
      <w:r>
        <w:rPr>
          <w:rFonts w:hint="eastAsia" w:ascii="方正小标宋简体" w:hAnsi="微软雅黑" w:eastAsia="方正小标宋简体" w:cs="宋体"/>
          <w:b/>
          <w:bCs/>
          <w:color w:val="333333"/>
          <w:kern w:val="0"/>
          <w:sz w:val="44"/>
          <w:szCs w:val="44"/>
          <w:lang w:val="en-US" w:eastAsia="zh-CN"/>
        </w:rPr>
        <w:t>觅</w:t>
      </w:r>
      <w:bookmarkStart w:id="1" w:name="_GoBack"/>
      <w:bookmarkEnd w:id="1"/>
      <w:r>
        <w:rPr>
          <w:rFonts w:hint="eastAsia" w:ascii="方正小标宋简体" w:hAnsi="微软雅黑" w:eastAsia="方正小标宋简体" w:cs="宋体"/>
          <w:b/>
          <w:bCs/>
          <w:color w:val="333333"/>
          <w:kern w:val="0"/>
          <w:sz w:val="44"/>
          <w:szCs w:val="44"/>
          <w:lang w:val="en-US" w:eastAsia="zh-CN"/>
        </w:rPr>
        <w:t>子店幼儿园</w:t>
      </w:r>
    </w:p>
    <w:p w14:paraId="33FFE67C">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2022年预算情况说明</w:t>
      </w:r>
    </w:p>
    <w:p w14:paraId="06B95F70">
      <w:pPr>
        <w:spacing w:line="560" w:lineRule="exact"/>
        <w:jc w:val="center"/>
        <w:rPr>
          <w:rFonts w:ascii="方正小标宋简体" w:hAnsi="微软雅黑" w:eastAsia="方正小标宋简体" w:cs="宋体"/>
          <w:b/>
          <w:bCs/>
          <w:color w:val="333333"/>
          <w:kern w:val="0"/>
          <w:sz w:val="44"/>
          <w:szCs w:val="44"/>
        </w:rPr>
      </w:pPr>
    </w:p>
    <w:p w14:paraId="344A9543">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5B911CF3">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7605FF19">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0A522218">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70460155">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7A19BC92">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1ACA7019">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63EC6503">
      <w:pPr>
        <w:spacing w:line="560" w:lineRule="exact"/>
        <w:ind w:firstLine="643" w:firstLineChars="200"/>
        <w:outlineLvl w:val="0"/>
        <w:rPr>
          <w:rFonts w:ascii="仿宋_GB2312" w:eastAsia="仿宋_GB2312"/>
          <w:b/>
          <w:sz w:val="32"/>
          <w:szCs w:val="32"/>
        </w:rPr>
      </w:pPr>
    </w:p>
    <w:p w14:paraId="774D3AAA">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6AD42DC6">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24E57745">
      <w:pPr>
        <w:spacing w:line="560" w:lineRule="exact"/>
        <w:rPr>
          <w:rFonts w:hint="default" w:ascii="仿宋_GB2312" w:eastAsia="仿宋_GB2312"/>
          <w:sz w:val="32"/>
          <w:szCs w:val="32"/>
          <w:highlight w:val="yellow"/>
          <w:lang w:val="en-US" w:eastAsia="zh-CN"/>
        </w:rPr>
      </w:pPr>
      <w:r>
        <w:rPr>
          <w:rFonts w:hint="eastAsia" w:ascii="仿宋_GB2312" w:eastAsia="仿宋_GB2312"/>
          <w:sz w:val="32"/>
          <w:szCs w:val="32"/>
        </w:rPr>
        <w:t xml:space="preserve">     </w:t>
      </w:r>
      <w:r>
        <w:rPr>
          <w:rFonts w:hint="eastAsia" w:ascii="仿宋_GB2312" w:eastAsia="仿宋_GB2312"/>
          <w:sz w:val="32"/>
          <w:szCs w:val="32"/>
          <w:highlight w:val="none"/>
        </w:rPr>
        <w:t xml:space="preserve"> 1.单位机构设置</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北京市通州区漷县镇觅子店幼儿园设有园长室、保教室、后勤管理办公室、保健室、财务室、档案室等6个内设机构。</w:t>
      </w:r>
    </w:p>
    <w:p w14:paraId="4719F1E9">
      <w:pPr>
        <w:spacing w:line="560" w:lineRule="exact"/>
        <w:ind w:firstLine="960" w:firstLineChars="300"/>
        <w:rPr>
          <w:rFonts w:ascii="仿宋_GB2312" w:eastAsia="仿宋_GB2312"/>
          <w:sz w:val="32"/>
          <w:szCs w:val="32"/>
        </w:rPr>
      </w:pPr>
      <w:r>
        <w:rPr>
          <w:rFonts w:hint="eastAsia" w:ascii="仿宋_GB2312" w:eastAsia="仿宋_GB2312"/>
          <w:sz w:val="32"/>
          <w:szCs w:val="32"/>
          <w:highlight w:val="none"/>
        </w:rPr>
        <w:t>2.单位主要职责</w:t>
      </w:r>
      <w:r>
        <w:rPr>
          <w:rFonts w:hint="eastAsia" w:ascii="仿宋_GB2312" w:eastAsia="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为学龄前儿童提供保育和教育服务。幼儿保育，幼儿教育。保教处主要职责：负责全园保教工作的组织领导，指导各班级做好保育和教育工作，促进幼儿身心健康和谐发展。安全管理办公室主要职责：协助园长具体管理后勤及安全工作；协助园长对做好幼儿园各项日常行政事务工作的管理。保健室主要职责：根据卫生部门的要求及《幼儿园工作规程》的有关规定，制定幼儿园卫生保健工作计划，保障全园幼儿健康，督促、整改卫生保健工作。财务室主要职责：落实上级主管部门财务规定和制度，严格依法管理幼儿园财务工作，做好日常财务核算工作，编制收支计划。档案室主要职责：按照区档案局和上级行政主管部门的档案管理规定做好幼儿园档案收集登记归档工作。</w:t>
      </w:r>
    </w:p>
    <w:p w14:paraId="71132509">
      <w:pPr>
        <w:spacing w:line="560" w:lineRule="exact"/>
        <w:ind w:firstLine="555"/>
        <w:rPr>
          <w:rFonts w:ascii="仿宋_GB2312" w:eastAsia="仿宋_GB2312"/>
          <w:sz w:val="32"/>
          <w:szCs w:val="32"/>
        </w:rPr>
      </w:pPr>
      <w:r>
        <w:rPr>
          <w:rFonts w:hint="eastAsia" w:ascii="仿宋_GB2312" w:eastAsia="仿宋_GB2312"/>
          <w:sz w:val="32"/>
          <w:szCs w:val="32"/>
        </w:rPr>
        <w:t>（二）人员构成情况</w:t>
      </w:r>
    </w:p>
    <w:p w14:paraId="6B060465">
      <w:pPr>
        <w:spacing w:line="560" w:lineRule="exact"/>
        <w:ind w:firstLine="555"/>
        <w:rPr>
          <w:rFonts w:ascii="仿宋_GB2312" w:eastAsia="仿宋_GB2312"/>
          <w:sz w:val="32"/>
          <w:szCs w:val="32"/>
          <w:highlight w:val="none"/>
        </w:rPr>
      </w:pPr>
      <w:r>
        <w:rPr>
          <w:rFonts w:hint="eastAsia" w:ascii="仿宋_GB2312" w:eastAsia="仿宋_GB2312"/>
          <w:sz w:val="32"/>
          <w:szCs w:val="32"/>
          <w:highlight w:val="none"/>
        </w:rPr>
        <w:t>我单位行政编制</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人，实际</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人；事业编制</w:t>
      </w:r>
      <w:r>
        <w:rPr>
          <w:rFonts w:hint="eastAsia" w:ascii="仿宋_GB2312" w:eastAsia="仿宋_GB2312"/>
          <w:sz w:val="32"/>
          <w:szCs w:val="32"/>
          <w:highlight w:val="none"/>
          <w:lang w:val="en-US" w:eastAsia="zh-CN"/>
        </w:rPr>
        <w:t>41</w:t>
      </w:r>
      <w:r>
        <w:rPr>
          <w:rFonts w:hint="eastAsia" w:ascii="仿宋_GB2312" w:eastAsia="仿宋_GB2312"/>
          <w:sz w:val="32"/>
          <w:szCs w:val="32"/>
          <w:highlight w:val="none"/>
        </w:rPr>
        <w:t>人，实际</w:t>
      </w:r>
      <w:r>
        <w:rPr>
          <w:rFonts w:hint="eastAsia" w:ascii="仿宋_GB2312" w:eastAsia="仿宋_GB2312"/>
          <w:sz w:val="32"/>
          <w:szCs w:val="32"/>
          <w:highlight w:val="none"/>
          <w:lang w:val="en-US" w:eastAsia="zh-CN"/>
        </w:rPr>
        <w:t>37</w:t>
      </w:r>
      <w:r>
        <w:rPr>
          <w:rFonts w:hint="eastAsia" w:ascii="仿宋_GB2312" w:eastAsia="仿宋_GB2312"/>
          <w:sz w:val="32"/>
          <w:szCs w:val="32"/>
          <w:highlight w:val="none"/>
        </w:rPr>
        <w:t>人；聘用人员（包括其他聘用人员--临时工等）</w:t>
      </w:r>
      <w:r>
        <w:rPr>
          <w:rFonts w:hint="eastAsia" w:ascii="仿宋_GB2312" w:eastAsia="仿宋_GB2312"/>
          <w:sz w:val="32"/>
          <w:szCs w:val="32"/>
          <w:highlight w:val="none"/>
          <w:lang w:val="en-US" w:eastAsia="zh-CN"/>
        </w:rPr>
        <w:t>68</w:t>
      </w:r>
      <w:r>
        <w:rPr>
          <w:rFonts w:hint="eastAsia" w:ascii="仿宋_GB2312" w:eastAsia="仿宋_GB2312"/>
          <w:sz w:val="32"/>
          <w:szCs w:val="32"/>
          <w:highlight w:val="none"/>
        </w:rPr>
        <w:t>人。</w:t>
      </w:r>
    </w:p>
    <w:p w14:paraId="476AE2F3">
      <w:pPr>
        <w:spacing w:line="560" w:lineRule="exact"/>
        <w:ind w:firstLine="555"/>
        <w:rPr>
          <w:rFonts w:ascii="仿宋_GB2312" w:eastAsia="仿宋_GB2312"/>
          <w:sz w:val="32"/>
          <w:szCs w:val="32"/>
          <w:highlight w:val="none"/>
        </w:rPr>
      </w:pPr>
      <w:r>
        <w:rPr>
          <w:rFonts w:hint="eastAsia" w:ascii="仿宋_GB2312" w:eastAsia="仿宋_GB2312"/>
          <w:sz w:val="32"/>
          <w:szCs w:val="32"/>
          <w:highlight w:val="none"/>
        </w:rPr>
        <w:t>离退休人员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人，其中：离休</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人，退休</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w:t>
      </w:r>
    </w:p>
    <w:p w14:paraId="19DC73BB">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6D798ADA">
      <w:pPr>
        <w:spacing w:line="560" w:lineRule="exact"/>
        <w:ind w:firstLine="555"/>
        <w:rPr>
          <w:rFonts w:ascii="仿宋_GB2312" w:eastAsia="仿宋_GB2312"/>
          <w:sz w:val="32"/>
          <w:szCs w:val="32"/>
          <w:highlight w:val="none"/>
        </w:rPr>
      </w:pPr>
      <w:r>
        <w:rPr>
          <w:rFonts w:hint="eastAsia" w:ascii="仿宋_GB2312" w:eastAsia="仿宋_GB2312"/>
          <w:sz w:val="32"/>
          <w:szCs w:val="32"/>
          <w:highlight w:val="none"/>
        </w:rPr>
        <w:t>以《幼儿园办园质量督导评估标准》为主要依据，继续贯彻落实《幼儿园教育指导纲要》《3-6岁儿童学习与发展指南》精神，立德树人，实行保育和教育相结合的原则，对幼儿实施体、智、德、美全面发展的教育，促进身心和谐发展。</w:t>
      </w:r>
    </w:p>
    <w:p w14:paraId="310F6D9A">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712F1706">
      <w:pPr>
        <w:spacing w:line="560" w:lineRule="exact"/>
        <w:ind w:firstLine="555"/>
        <w:rPr>
          <w:rFonts w:ascii="仿宋_GB2312" w:eastAsia="仿宋_GB2312"/>
          <w:sz w:val="32"/>
          <w:szCs w:val="32"/>
        </w:rPr>
      </w:pPr>
      <w:r>
        <w:rPr>
          <w:rFonts w:hint="eastAsia" w:ascii="仿宋_GB2312" w:eastAsia="仿宋_GB2312"/>
          <w:sz w:val="32"/>
          <w:szCs w:val="32"/>
          <w:highlight w:val="none"/>
        </w:rPr>
        <w:t>2022年收入预算</w:t>
      </w:r>
      <w:r>
        <w:rPr>
          <w:rFonts w:hint="eastAsia" w:ascii="仿宋_GB2312" w:eastAsia="仿宋_GB2312"/>
          <w:sz w:val="32"/>
          <w:szCs w:val="32"/>
          <w:lang w:val="en-US" w:eastAsia="zh-CN"/>
        </w:rPr>
        <w:t>867.13</w:t>
      </w:r>
      <w:r>
        <w:rPr>
          <w:rFonts w:hint="eastAsia" w:ascii="仿宋_GB2312" w:eastAsia="仿宋_GB2312"/>
          <w:sz w:val="32"/>
          <w:szCs w:val="32"/>
          <w:highlight w:val="none"/>
        </w:rPr>
        <w:t>万元，比2021年</w:t>
      </w:r>
      <w:r>
        <w:rPr>
          <w:rFonts w:hint="eastAsia" w:ascii="仿宋_GB2312" w:eastAsia="仿宋_GB2312"/>
          <w:sz w:val="32"/>
          <w:szCs w:val="32"/>
          <w:lang w:val="en-US" w:eastAsia="zh-CN"/>
        </w:rPr>
        <w:t>188.44</w:t>
      </w:r>
      <w:r>
        <w:rPr>
          <w:rFonts w:hint="eastAsia" w:ascii="仿宋_GB2312" w:eastAsia="仿宋_GB2312"/>
          <w:sz w:val="32"/>
          <w:szCs w:val="32"/>
          <w:highlight w:val="none"/>
        </w:rPr>
        <w:t>万元增加</w:t>
      </w:r>
      <w:r>
        <w:rPr>
          <w:rFonts w:hint="eastAsia" w:ascii="仿宋_GB2312" w:eastAsia="仿宋_GB2312"/>
          <w:sz w:val="32"/>
          <w:szCs w:val="32"/>
          <w:lang w:val="en-US" w:eastAsia="zh-CN"/>
        </w:rPr>
        <w:t>678.69</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360</w:t>
      </w:r>
      <w:r>
        <w:rPr>
          <w:rFonts w:hint="eastAsia" w:ascii="仿宋_GB2312" w:eastAsia="仿宋_GB2312"/>
          <w:sz w:val="32"/>
          <w:szCs w:val="32"/>
          <w:highlight w:val="none"/>
        </w:rPr>
        <w:t>%。其中：财政拨款</w:t>
      </w:r>
      <w:r>
        <w:rPr>
          <w:rFonts w:hint="eastAsia" w:ascii="仿宋_GB2312" w:eastAsia="仿宋_GB2312"/>
          <w:sz w:val="32"/>
          <w:szCs w:val="32"/>
          <w:lang w:val="en-US" w:eastAsia="zh-CN"/>
        </w:rPr>
        <w:t>867.13</w:t>
      </w:r>
      <w:r>
        <w:rPr>
          <w:rFonts w:hint="eastAsia" w:ascii="仿宋_GB2312" w:eastAsia="仿宋_GB2312"/>
          <w:sz w:val="32"/>
          <w:szCs w:val="32"/>
          <w:highlight w:val="none"/>
        </w:rPr>
        <w:t>万元，比2021年</w:t>
      </w:r>
      <w:r>
        <w:rPr>
          <w:rFonts w:hint="eastAsia" w:ascii="仿宋_GB2312" w:eastAsia="仿宋_GB2312"/>
          <w:sz w:val="32"/>
          <w:szCs w:val="32"/>
          <w:lang w:val="en-US" w:eastAsia="zh-CN"/>
        </w:rPr>
        <w:t>188.44</w:t>
      </w:r>
      <w:r>
        <w:rPr>
          <w:rFonts w:hint="eastAsia" w:ascii="仿宋_GB2312" w:eastAsia="仿宋_GB2312"/>
          <w:sz w:val="32"/>
          <w:szCs w:val="32"/>
          <w:highlight w:val="none"/>
        </w:rPr>
        <w:t>万元增加</w:t>
      </w:r>
      <w:r>
        <w:rPr>
          <w:rFonts w:hint="eastAsia" w:ascii="仿宋_GB2312" w:eastAsia="仿宋_GB2312"/>
          <w:sz w:val="32"/>
          <w:szCs w:val="32"/>
          <w:lang w:val="en-US" w:eastAsia="zh-CN"/>
        </w:rPr>
        <w:t>678.69</w:t>
      </w:r>
      <w:r>
        <w:rPr>
          <w:rFonts w:hint="eastAsia" w:ascii="仿宋_GB2312" w:eastAsia="仿宋_GB2312"/>
          <w:sz w:val="32"/>
          <w:szCs w:val="32"/>
          <w:highlight w:val="none"/>
        </w:rPr>
        <w:t>元；</w:t>
      </w:r>
      <w:r>
        <w:rPr>
          <w:rFonts w:hint="eastAsia" w:ascii="仿宋_GB2312" w:eastAsia="仿宋_GB2312"/>
          <w:sz w:val="32"/>
          <w:szCs w:val="32"/>
        </w:rPr>
        <w:t>统筹使用结余资金安排预算0万元，与2021年0万元持平；其他资金0万元，与2021年0万元持平。</w:t>
      </w:r>
    </w:p>
    <w:p w14:paraId="19B621BC">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4137C863">
      <w:pPr>
        <w:spacing w:line="560" w:lineRule="exact"/>
        <w:ind w:firstLine="555"/>
        <w:rPr>
          <w:rFonts w:ascii="仿宋_GB2312" w:eastAsia="仿宋_GB2312"/>
          <w:sz w:val="32"/>
          <w:szCs w:val="32"/>
        </w:rPr>
      </w:pPr>
      <w:r>
        <w:rPr>
          <w:rFonts w:hint="eastAsia" w:ascii="仿宋_GB2312" w:eastAsia="仿宋_GB2312"/>
          <w:sz w:val="32"/>
          <w:szCs w:val="32"/>
          <w:highlight w:val="none"/>
        </w:rPr>
        <w:t>（一）基本支出预算</w:t>
      </w:r>
      <w:r>
        <w:rPr>
          <w:rFonts w:hint="eastAsia" w:ascii="仿宋_GB2312" w:eastAsia="仿宋_GB2312"/>
          <w:sz w:val="32"/>
          <w:szCs w:val="32"/>
          <w:lang w:val="en-US" w:eastAsia="zh-CN"/>
        </w:rPr>
        <w:t>867.13</w:t>
      </w:r>
      <w:r>
        <w:rPr>
          <w:rFonts w:hint="eastAsia" w:ascii="仿宋_GB2312" w:eastAsia="仿宋_GB2312"/>
          <w:sz w:val="32"/>
          <w:szCs w:val="32"/>
          <w:highlight w:val="none"/>
        </w:rPr>
        <w:t>万元，占总支出预算</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%，比2021年</w:t>
      </w:r>
      <w:r>
        <w:rPr>
          <w:rFonts w:hint="eastAsia" w:ascii="仿宋_GB2312" w:eastAsia="仿宋_GB2312"/>
          <w:sz w:val="32"/>
          <w:szCs w:val="32"/>
          <w:lang w:val="en-US" w:eastAsia="zh-CN"/>
        </w:rPr>
        <w:t>188.44</w:t>
      </w:r>
      <w:r>
        <w:rPr>
          <w:rFonts w:hint="eastAsia" w:ascii="仿宋_GB2312" w:eastAsia="仿宋_GB2312"/>
          <w:sz w:val="32"/>
          <w:szCs w:val="32"/>
          <w:highlight w:val="none"/>
        </w:rPr>
        <w:t>万元增加</w:t>
      </w:r>
      <w:r>
        <w:rPr>
          <w:rFonts w:hint="eastAsia" w:ascii="仿宋_GB2312" w:eastAsia="仿宋_GB2312"/>
          <w:sz w:val="32"/>
          <w:szCs w:val="32"/>
          <w:lang w:val="en-US" w:eastAsia="zh-CN"/>
        </w:rPr>
        <w:t>678.69</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360</w:t>
      </w:r>
      <w:r>
        <w:rPr>
          <w:rFonts w:hint="eastAsia" w:ascii="仿宋_GB2312" w:eastAsia="仿宋_GB2312"/>
          <w:sz w:val="32"/>
          <w:szCs w:val="32"/>
          <w:highlight w:val="none"/>
        </w:rPr>
        <w:t>%，</w:t>
      </w:r>
      <w:r>
        <w:rPr>
          <w:rFonts w:hint="eastAsia" w:ascii="仿宋_GB2312" w:eastAsia="仿宋_GB2312"/>
          <w:sz w:val="32"/>
          <w:szCs w:val="32"/>
        </w:rPr>
        <w:t>主要增加原因为人员经费增加。</w:t>
      </w:r>
    </w:p>
    <w:p w14:paraId="385CE4D6">
      <w:pPr>
        <w:spacing w:line="560" w:lineRule="exact"/>
        <w:ind w:firstLine="555"/>
        <w:rPr>
          <w:rFonts w:ascii="仿宋_GB2312" w:eastAsia="仿宋_GB2312"/>
          <w:sz w:val="32"/>
          <w:szCs w:val="32"/>
        </w:rPr>
      </w:pPr>
      <w:r>
        <w:rPr>
          <w:rFonts w:hint="eastAsia" w:ascii="仿宋_GB2312" w:eastAsia="仿宋_GB2312"/>
          <w:sz w:val="32"/>
          <w:szCs w:val="32"/>
        </w:rPr>
        <w:t>（二）无项目支出预算0万元，与2021年0万元持平</w:t>
      </w:r>
    </w:p>
    <w:p w14:paraId="10A417EB">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1184C79B">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1B259695">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5ED9D26E">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50D6AE7D">
      <w:pPr>
        <w:spacing w:line="560" w:lineRule="exact"/>
        <w:ind w:firstLine="6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12A1ED22">
      <w:pPr>
        <w:spacing w:line="560" w:lineRule="exact"/>
        <w:ind w:firstLine="6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3107C951">
      <w:pPr>
        <w:spacing w:line="560" w:lineRule="exact"/>
        <w:ind w:firstLine="6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财政拨款情况说明</w:t>
      </w:r>
    </w:p>
    <w:p w14:paraId="1043B42D">
      <w:pPr>
        <w:spacing w:line="560" w:lineRule="exact"/>
        <w:ind w:firstLine="600"/>
        <w:rPr>
          <w:rFonts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财政拨款预算0万元，与2021年0万元持平。其中：</w:t>
      </w:r>
    </w:p>
    <w:p w14:paraId="13A604DB">
      <w:pPr>
        <w:spacing w:line="560" w:lineRule="exact"/>
        <w:ind w:firstLine="600"/>
        <w:rPr>
          <w:rFonts w:ascii="仿宋_GB2312" w:eastAsia="仿宋_GB2312"/>
          <w:sz w:val="32"/>
          <w:szCs w:val="32"/>
        </w:rPr>
      </w:pPr>
      <w:r>
        <w:rPr>
          <w:rFonts w:hint="eastAsia" w:ascii="仿宋_GB2312" w:eastAsia="仿宋_GB2312"/>
          <w:sz w:val="32"/>
          <w:szCs w:val="32"/>
        </w:rPr>
        <w:t>1、因公出国（境）费用。2022年预算数0万元，与2021年0万元持平。</w:t>
      </w:r>
    </w:p>
    <w:p w14:paraId="26500D2A">
      <w:pPr>
        <w:spacing w:line="560" w:lineRule="exact"/>
        <w:ind w:firstLine="600"/>
        <w:rPr>
          <w:rFonts w:ascii="仿宋_GB2312" w:eastAsia="仿宋_GB2312"/>
          <w:sz w:val="32"/>
          <w:szCs w:val="32"/>
        </w:rPr>
      </w:pPr>
      <w:r>
        <w:rPr>
          <w:rFonts w:hint="eastAsia" w:ascii="仿宋_GB2312" w:eastAsia="仿宋_GB2312"/>
          <w:sz w:val="32"/>
          <w:szCs w:val="32"/>
        </w:rPr>
        <w:t>2、公务接待费。2022年预算0万元，与2021年0万元持平。</w:t>
      </w:r>
    </w:p>
    <w:p w14:paraId="3BDEDDF9">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与2021年0万元持平；公务用车运行维护费2022年预算数0万元，与2021年0万元持平，其中：公务用车加油0万元，公务用车维修0万元，公务用车保险0万元，其他0万元，与2021年持平。</w:t>
      </w:r>
    </w:p>
    <w:p w14:paraId="683B6BA0">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3A0C8726">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29EC4E99">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14C384A5">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65EC6C4A">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本单位预算</w:t>
      </w:r>
      <w:r>
        <w:rPr>
          <w:rFonts w:ascii="仿宋_GB2312" w:eastAsia="仿宋_GB2312"/>
          <w:sz w:val="32"/>
          <w:szCs w:val="32"/>
        </w:rPr>
        <w:t>批复无项目</w:t>
      </w:r>
      <w:r>
        <w:rPr>
          <w:rFonts w:hint="eastAsia" w:ascii="仿宋_GB2312" w:eastAsia="仿宋_GB2312"/>
          <w:sz w:val="32"/>
          <w:szCs w:val="32"/>
        </w:rPr>
        <w:t>。</w:t>
      </w:r>
    </w:p>
    <w:p w14:paraId="65B5C378">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5221EF8B">
      <w:pPr>
        <w:spacing w:line="560" w:lineRule="exact"/>
        <w:ind w:firstLine="800" w:firstLineChars="250"/>
        <w:rPr>
          <w:rFonts w:ascii="仿宋_GB2312" w:eastAsia="仿宋_GB2312"/>
          <w:sz w:val="32"/>
          <w:szCs w:val="32"/>
        </w:rPr>
      </w:pPr>
      <w:r>
        <w:rPr>
          <w:rFonts w:hint="eastAsia" w:ascii="仿宋_GB2312" w:eastAsia="仿宋_GB2312"/>
          <w:sz w:val="32"/>
          <w:szCs w:val="32"/>
        </w:rPr>
        <w:t>保育教育费：收费依据市发展改革委、市教委和市财政局《关于规范本市幼儿园收费有关问题的通知》（京发改规〔2012〕4号），收费标准：</w:t>
      </w:r>
      <w:r>
        <w:rPr>
          <w:rFonts w:hint="eastAsia" w:ascii="仿宋_GB2312" w:eastAsia="仿宋_GB2312"/>
          <w:sz w:val="32"/>
          <w:szCs w:val="32"/>
          <w:lang w:val="en-US" w:eastAsia="zh-CN"/>
        </w:rPr>
        <w:t>北京市通州区漷县镇觅子店幼儿园</w:t>
      </w:r>
      <w:r>
        <w:rPr>
          <w:rFonts w:hint="eastAsia" w:ascii="仿宋_GB2312" w:eastAsia="仿宋_GB2312"/>
          <w:sz w:val="32"/>
          <w:szCs w:val="32"/>
          <w:highlight w:val="none"/>
          <w:lang w:val="en-US" w:eastAsia="zh-CN"/>
        </w:rPr>
        <w:t>400</w:t>
      </w:r>
      <w:r>
        <w:rPr>
          <w:rFonts w:hint="eastAsia" w:ascii="仿宋_GB2312" w:eastAsia="仿宋_GB2312"/>
          <w:sz w:val="32"/>
          <w:szCs w:val="32"/>
        </w:rPr>
        <w:t>元/生.月，</w:t>
      </w:r>
      <w:r>
        <w:rPr>
          <w:rFonts w:hint="eastAsia" w:ascii="仿宋_GB2312" w:eastAsia="仿宋_GB2312"/>
          <w:sz w:val="32"/>
          <w:szCs w:val="32"/>
          <w:lang w:eastAsia="zh-CN"/>
        </w:rPr>
        <w:t>（</w:t>
      </w:r>
      <w:r>
        <w:rPr>
          <w:rFonts w:hint="eastAsia" w:ascii="仿宋_GB2312" w:eastAsia="仿宋_GB2312"/>
          <w:sz w:val="32"/>
          <w:szCs w:val="32"/>
          <w:lang w:val="en-US" w:eastAsia="zh-CN"/>
        </w:rPr>
        <w:t>分园300元/生.月</w:t>
      </w:r>
      <w:r>
        <w:rPr>
          <w:rFonts w:hint="eastAsia" w:ascii="仿宋_GB2312" w:eastAsia="仿宋_GB2312"/>
          <w:sz w:val="32"/>
          <w:szCs w:val="32"/>
          <w:lang w:eastAsia="zh-CN"/>
        </w:rPr>
        <w:t>）</w:t>
      </w:r>
      <w:r>
        <w:rPr>
          <w:rFonts w:hint="eastAsia" w:ascii="仿宋_GB2312" w:eastAsia="仿宋_GB2312"/>
          <w:sz w:val="32"/>
          <w:szCs w:val="32"/>
        </w:rPr>
        <w:t>收入预计</w:t>
      </w:r>
      <w:r>
        <w:rPr>
          <w:rFonts w:hint="eastAsia" w:ascii="仿宋_GB2312" w:eastAsia="仿宋_GB2312"/>
          <w:sz w:val="32"/>
          <w:szCs w:val="32"/>
          <w:lang w:val="en-US" w:eastAsia="zh-CN"/>
        </w:rPr>
        <w:t>250</w:t>
      </w:r>
      <w:r>
        <w:rPr>
          <w:rFonts w:hint="eastAsia" w:ascii="仿宋_GB2312" w:eastAsia="仿宋_GB2312"/>
          <w:sz w:val="32"/>
          <w:szCs w:val="32"/>
          <w:highlight w:val="none"/>
        </w:rPr>
        <w:t>万元</w:t>
      </w:r>
      <w:r>
        <w:rPr>
          <w:rFonts w:hint="eastAsia" w:ascii="仿宋_GB2312" w:eastAsia="仿宋_GB2312"/>
          <w:sz w:val="32"/>
          <w:szCs w:val="32"/>
        </w:rPr>
        <w:t>，支出已纳入一般预算统筹使用。</w:t>
      </w:r>
    </w:p>
    <w:p w14:paraId="6E2C450E">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4AC12CA3">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76BC1E03">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截止202</w:t>
      </w:r>
      <w:r>
        <w:rPr>
          <w:rFonts w:ascii="仿宋_GB2312" w:eastAsia="仿宋_GB2312"/>
          <w:sz w:val="32"/>
          <w:szCs w:val="32"/>
          <w:highlight w:val="none"/>
        </w:rPr>
        <w:t>1</w:t>
      </w:r>
      <w:r>
        <w:rPr>
          <w:rFonts w:hint="eastAsia" w:ascii="仿宋_GB2312" w:eastAsia="仿宋_GB2312"/>
          <w:sz w:val="32"/>
          <w:szCs w:val="32"/>
          <w:highlight w:val="none"/>
        </w:rPr>
        <w:t>年12月31日，本单位货币资金</w:t>
      </w:r>
      <w:r>
        <w:rPr>
          <w:rFonts w:hint="eastAsia" w:ascii="仿宋_GB2312" w:eastAsia="仿宋_GB2312"/>
          <w:sz w:val="32"/>
          <w:szCs w:val="32"/>
          <w:highlight w:val="none"/>
          <w:lang w:val="en-US" w:eastAsia="zh-CN"/>
        </w:rPr>
        <w:t>258</w:t>
      </w:r>
      <w:r>
        <w:rPr>
          <w:rFonts w:hint="eastAsia" w:ascii="仿宋_GB2312" w:eastAsia="仿宋_GB2312"/>
          <w:sz w:val="32"/>
          <w:szCs w:val="32"/>
          <w:highlight w:val="none"/>
        </w:rPr>
        <w:t>万元（其中银行存款</w:t>
      </w:r>
      <w:r>
        <w:rPr>
          <w:rFonts w:hint="eastAsia" w:ascii="仿宋_GB2312" w:eastAsia="仿宋_GB2312"/>
          <w:sz w:val="32"/>
          <w:szCs w:val="32"/>
          <w:highlight w:val="none"/>
          <w:lang w:val="en-US" w:eastAsia="zh-CN"/>
        </w:rPr>
        <w:t>258</w:t>
      </w:r>
      <w:r>
        <w:rPr>
          <w:rFonts w:hint="eastAsia" w:ascii="仿宋_GB2312" w:eastAsia="仿宋_GB2312"/>
          <w:sz w:val="32"/>
          <w:szCs w:val="32"/>
          <w:highlight w:val="none"/>
        </w:rPr>
        <w:t>万元），房屋</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万元，车辆</w:t>
      </w:r>
      <w:r>
        <w:rPr>
          <w:rFonts w:hint="eastAsia" w:ascii="仿宋_GB2312" w:eastAsia="仿宋_GB2312"/>
          <w:sz w:val="32"/>
          <w:szCs w:val="32"/>
          <w:highlight w:val="none"/>
          <w:lang w:val="en-US" w:eastAsia="zh-CN"/>
        </w:rPr>
        <w:t>15.38</w:t>
      </w:r>
      <w:r>
        <w:rPr>
          <w:rFonts w:hint="eastAsia" w:ascii="仿宋_GB2312" w:eastAsia="仿宋_GB2312"/>
          <w:sz w:val="32"/>
          <w:szCs w:val="32"/>
          <w:highlight w:val="none"/>
        </w:rPr>
        <w:t>万元，在建工程</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p>
    <w:p w14:paraId="4B56D973">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截至2021年12月31日，本单位共有车辆</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辆。</w:t>
      </w:r>
    </w:p>
    <w:p w14:paraId="479350A5">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2EA6D100">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58A86401">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1F4EEEB0">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22474D29">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75D47D08">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19DA8E06">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66DFADA3">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12382716">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67BD8CAA">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74A06F8E">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2E114D42">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5DA8A9CE">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01154799">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1CFCB043">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11BAC3F5">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4E947497">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284BFF48">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w:t>
      </w:r>
    </w:p>
    <w:p w14:paraId="34911A81">
      <w:pPr>
        <w:pStyle w:val="4"/>
        <w:spacing w:before="0" w:beforeAutospacing="0" w:line="560" w:lineRule="exact"/>
        <w:ind w:firstLine="640" w:firstLineChars="200"/>
        <w:jc w:val="both"/>
        <w:rPr>
          <w:rFonts w:ascii="仿宋_GB2312" w:eastAsia="仿宋_GB2312"/>
          <w:sz w:val="32"/>
          <w:szCs w:val="32"/>
        </w:rPr>
      </w:pPr>
    </w:p>
    <w:p w14:paraId="50918D69"/>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A7A5C">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14:paraId="49B1A35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5A9AE">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5C942F21">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Y3ZTk1NjVlODZkZmMwZmFlMmJmMzNmNDA0YWRiYTgifQ=="/>
  </w:docVars>
  <w:rsids>
    <w:rsidRoot w:val="001F517C"/>
    <w:rsid w:val="001F517C"/>
    <w:rsid w:val="00253596"/>
    <w:rsid w:val="004A7E85"/>
    <w:rsid w:val="00514F17"/>
    <w:rsid w:val="00527E78"/>
    <w:rsid w:val="006D1A58"/>
    <w:rsid w:val="00793C5E"/>
    <w:rsid w:val="009D023F"/>
    <w:rsid w:val="00A364D2"/>
    <w:rsid w:val="00AB4CCE"/>
    <w:rsid w:val="00B471ED"/>
    <w:rsid w:val="00C4523D"/>
    <w:rsid w:val="00CB304E"/>
    <w:rsid w:val="00CD0F5F"/>
    <w:rsid w:val="00D97B70"/>
    <w:rsid w:val="00E852EF"/>
    <w:rsid w:val="00F11C3F"/>
    <w:rsid w:val="00FB57D2"/>
    <w:rsid w:val="097E116E"/>
    <w:rsid w:val="0FC9581B"/>
    <w:rsid w:val="20842E4E"/>
    <w:rsid w:val="20EE12EA"/>
    <w:rsid w:val="2487588F"/>
    <w:rsid w:val="30187655"/>
    <w:rsid w:val="51D51B6D"/>
    <w:rsid w:val="599B5AA8"/>
    <w:rsid w:val="6C1F7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qFormat/>
    <w:uiPriority w:val="0"/>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uiPriority w:val="99"/>
    <w:rPr>
      <w:sz w:val="18"/>
      <w:szCs w:val="18"/>
    </w:rPr>
  </w:style>
  <w:style w:type="character" w:customStyle="1" w:styleId="10">
    <w:name w:val="页脚 字符"/>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7</Pages>
  <Words>2891</Words>
  <Characters>3085</Characters>
  <Lines>21</Lines>
  <Paragraphs>6</Paragraphs>
  <TotalTime>3</TotalTime>
  <ScaleCrop>false</ScaleCrop>
  <LinksUpToDate>false</LinksUpToDate>
  <CharactersWithSpaces>3095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2022-05-22T09:00:00Z</dcterms:created>
  <dc:creator>Owner</dc:creator>
  <cp:lastModifiedBy>寇俊鹏</cp:lastModifiedBy>
  <dcterms:modified xsi:type="dcterms:W3CDTF">2025-03-24T07:00:49Z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558DFC2B3F014E47BD88F1E1A6D1AB50</vt:lpwstr>
  </property>
  <property fmtid="{D5CDD505-2E9C-101B-9397-08002B2CF9AE}" pid="4" name="KSOTemplateDocerSaveRecord">
    <vt:lpwstr>eyJoZGlkIjoiMDY1MWZiMWEyNWMwNTVlZmNmM2QxMTdmNzZkNjNmZmYiLCJ1c2VySWQiOiI3NTk1ODIzMjQifQ==</vt:lpwstr>
  </property>
</Properties>
</file>