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58443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000000" w:themeColor="text1"/>
          <w:kern w:val="0"/>
          <w:sz w:val="44"/>
          <w:szCs w:val="44"/>
          <w:highlight w:val="none"/>
          <w:shd w:val="clear" w:color="auto" w:fill="auto"/>
        </w:rPr>
      </w:pPr>
      <w:r>
        <w:rPr>
          <w:rFonts w:hint="eastAsia" w:ascii="方正小标宋简体" w:hAnsi="微软雅黑" w:eastAsia="方正小标宋简体" w:cs="宋体"/>
          <w:b/>
          <w:bCs/>
          <w:color w:val="000000" w:themeColor="text1"/>
          <w:kern w:val="0"/>
          <w:sz w:val="44"/>
          <w:szCs w:val="44"/>
          <w:highlight w:val="none"/>
          <w:shd w:val="clear" w:color="auto" w:fill="auto"/>
          <w:lang w:eastAsia="zh-CN"/>
        </w:rPr>
        <w:t>北京市通州区漷县中学</w:t>
      </w:r>
      <w:r>
        <w:rPr>
          <w:rFonts w:hint="eastAsia" w:ascii="方正小标宋简体" w:hAnsi="微软雅黑" w:eastAsia="方正小标宋简体" w:cs="宋体"/>
          <w:b/>
          <w:bCs/>
          <w:color w:val="000000" w:themeColor="text1"/>
          <w:kern w:val="0"/>
          <w:sz w:val="44"/>
          <w:szCs w:val="44"/>
          <w:highlight w:val="none"/>
          <w:shd w:val="clear" w:color="auto" w:fill="auto"/>
        </w:rPr>
        <w:t>202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000000" w:themeColor="text1"/>
          <w:kern w:val="0"/>
          <w:sz w:val="44"/>
          <w:szCs w:val="44"/>
          <w:highlight w:val="none"/>
          <w:shd w:val="clear" w:color="auto" w:fill="auto"/>
        </w:rPr>
        <w:t>2年预算情况说明</w:t>
      </w:r>
    </w:p>
    <w:p w14:paraId="2B06D6F3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000000" w:themeColor="text1"/>
          <w:kern w:val="0"/>
          <w:sz w:val="44"/>
          <w:szCs w:val="44"/>
          <w:highlight w:val="none"/>
          <w:shd w:val="clear" w:color="auto" w:fill="auto"/>
        </w:rPr>
      </w:pPr>
    </w:p>
    <w:p w14:paraId="16B236DB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目    录</w:t>
      </w:r>
    </w:p>
    <w:p w14:paraId="78C3BE53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一、2022年度预算单位情况说明</w:t>
      </w:r>
    </w:p>
    <w:p w14:paraId="650F516B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二、2022年度单位收入预算说明</w:t>
      </w:r>
    </w:p>
    <w:p w14:paraId="7C9442C0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三、2022年度单位支出预算说明</w:t>
      </w:r>
    </w:p>
    <w:p w14:paraId="1D55A269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四、2022年度单位“三公”经费财政拨款预算说明</w:t>
      </w:r>
    </w:p>
    <w:p w14:paraId="669541EF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五、2022年度其他重要事项的情况说明</w:t>
      </w:r>
    </w:p>
    <w:p w14:paraId="670E3752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六、2022年度单位预算附表</w:t>
      </w:r>
    </w:p>
    <w:p w14:paraId="3999C783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color w:val="000000" w:themeColor="text1"/>
          <w:sz w:val="32"/>
          <w:szCs w:val="32"/>
          <w:highlight w:val="none"/>
          <w:shd w:val="clear" w:color="auto" w:fill="auto"/>
        </w:rPr>
      </w:pPr>
    </w:p>
    <w:p w14:paraId="721CD465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一、2022年度预算单位情况说明</w:t>
      </w:r>
    </w:p>
    <w:p w14:paraId="742B8275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单位机构设置、主要职责</w:t>
      </w:r>
    </w:p>
    <w:p w14:paraId="2D5D0CC0">
      <w:pPr>
        <w:spacing w:line="560" w:lineRule="exact"/>
        <w:ind w:firstLine="960" w:firstLineChars="300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 xml:space="preserve"> 教务处：主管学校教学相关工作。分管学校教学、教科研、师训工作。教务处、学籍、专业教室、科技、学校电教和校园信息网络建设及培训工作。教师进修、继教、“青年教师研修班”培训、教科研工作。完成校长临时交办工作。</w:t>
      </w:r>
    </w:p>
    <w:p w14:paraId="2F3FDB38">
      <w:pPr>
        <w:spacing w:line="560" w:lineRule="exact"/>
        <w:ind w:firstLine="960" w:firstLineChars="300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政教处：主管学校德育、共青团工作、安全、体卫工作；政教内勤、安全保卫、体育卫生工作。完成校长临时交办工作。</w:t>
      </w:r>
    </w:p>
    <w:p w14:paraId="6563E625">
      <w:pPr>
        <w:spacing w:line="560" w:lineRule="exact"/>
        <w:ind w:firstLine="960" w:firstLineChars="300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办公室：党建、章程制度建设、考核统计、文件报送、档案室、会务接待工作。</w:t>
      </w:r>
    </w:p>
    <w:p w14:paraId="7D8F7ED2">
      <w:pPr>
        <w:spacing w:line="560" w:lineRule="exact"/>
        <w:ind w:firstLine="960" w:firstLineChars="300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总务处：主管党建、工会、关工委、总务工作；分管会计室、校产、食堂、校园环境建设、校舍和车辆安全管理、学校临时用工等工作。完成校长临时交办工作。</w:t>
      </w:r>
    </w:p>
    <w:p w14:paraId="3B086FF7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（二）人员构成情况</w:t>
      </w:r>
    </w:p>
    <w:p w14:paraId="6F443285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我单位行政编制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0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人，实际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0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人；事业编制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82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人，实际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82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人；聘用人员（包括其他聘用人员--临时工等）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1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人。</w:t>
      </w:r>
    </w:p>
    <w:p w14:paraId="20AAA6AD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离退休人员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29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人，其中：离休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0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 xml:space="preserve"> 人，退休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29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 xml:space="preserve"> 人。</w:t>
      </w:r>
    </w:p>
    <w:p w14:paraId="45D9C103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（三）本预算年度的主要工作任务</w:t>
      </w:r>
    </w:p>
    <w:p w14:paraId="6FF20113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1.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指导思想：</w:t>
      </w:r>
    </w:p>
    <w:p w14:paraId="5E42B961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2022年的开启，是北京城市副中心“十四五”时期教育规划落地之年。本学期是收获的学期，继续创新完善“双减”工作，推进素质教育，规范办学行为，强化优质服务意识，细化学校内部管理，不断增强学校可持续发展能力，全面提高学校办学质量，为打造优质均衡的副中心教育出力。</w:t>
      </w:r>
    </w:p>
    <w:p w14:paraId="1559A597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工作目标：</w:t>
      </w:r>
    </w:p>
    <w:p w14:paraId="3C3A0508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全体干部、教师以“做人教育”为主题，继续强化“敬业、平等、文明”的学校文化环境建设。坚持“责任、学习、质量和发展”的四个意识，加强师德教育，提高教师队伍建设水平，加强学生劳动教育，提升学生学科素养，提升学校的办学质量。</w:t>
      </w:r>
    </w:p>
    <w:p w14:paraId="7963C014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德育工作: 贯彻落实《北京市中小学培育和践行社会主义核心价值观实施意见》，以《中小学德育工作指南》为指导，推动养成教育工作落实。创建良好的育人环境，加强学校文化建设，形成良好的学风、班风、和校风。进一步加强对学生进行中华传统美德和革命传统教育，大力弘扬和践行社会主义核心价值观，教育学生成为孝敬父母、尊敬师长、团结同学、遵守纪律、勤奋好学，并具有创新精神的中学生。以德育队伍建设为核心，落实三全育人，培养学生良好行为习惯；结合社会大课堂活动，在活动中提升实践育人效果，培养学生良好道德习惯；发挥课堂主渠道作用，在教学中落实核心价值观教育，培养学生良好学习习惯。制定家长学校工作计划，整合德育资源，构建学校、家庭、社区联动机制，发挥协同育人作用。</w:t>
      </w:r>
    </w:p>
    <w:p w14:paraId="2B7513B7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教学工作:本学期以市区教委“双减工作”调研检查为抓手，以教委中教科和研修中心的计划工作为前提，全面规范学校教育教学管理，健全学校课程实施机制。以教学项目落实为契机，结合我校教学实际情况，规范教学管理体系，加强学生学科核心素养的培养，进一步促进初三年级教学工作，尝试推进“交流生”计划活动，创造条件为学生提供不同类别的优质课程资源，使更多的学生获得更好的发展，进一步提升学校办学质量。</w:t>
      </w:r>
    </w:p>
    <w:p w14:paraId="3CC24A5C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党支部、工会：以建党100年为契机，加强“四史”教育和学习，贯彻十九届六中全会精神及十四五发展纲要的学习，学习贯彻习近平新发展理念，新时代合格教师标准，在“双减”背景下，不断加强师德建设，增强支部凝聚力和战斗堡垒作用；维护职工合法权益，在单位和教师间搭建桥梁和纽带；紧紧的团结、依靠动员全体教职工，为我校的教育教学质量的提高、为推动“北京城市副中心”教育事业发展而努力奋斗。</w:t>
      </w:r>
    </w:p>
    <w:p w14:paraId="14F7BA2E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办公室：进一步强化核心办学思想，不断创新工作方法，紧紧围绕学校教育教学高质量发展主题，发挥辅助作用，协助党政领导班子抓好内部建设，为全面提升教育教学质量提供优质高效的服务。</w:t>
      </w:r>
    </w:p>
    <w:p w14:paraId="067F9480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总务处：为教育教学努力做好服务育人、环境育人的各项工作，提高主动服务意识，确保教育教学的需要，提升教学硬件水平，促进教育教学硬件水平快速发展；改善校园环境，提高环境育人的质量。</w:t>
      </w:r>
    </w:p>
    <w:p w14:paraId="6AD99CC8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二、2022年度单位收入预算说明</w:t>
      </w:r>
    </w:p>
    <w:p w14:paraId="2B3A78A8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2022年收入预算1713.8万元，比2021年136.49万元增加1577.31万元，增长1155.62%。其中：财政拨款1713.8万元，比2021年136.49万元增加1577.31万元；统筹使用结余资金安排预算0万元，与2021年0万元持平；其他资金0万元，与2021年0万元持平。</w:t>
      </w:r>
    </w:p>
    <w:p w14:paraId="2B2837D7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三、2022年度单位支出预算说明</w:t>
      </w:r>
    </w:p>
    <w:p w14:paraId="45281002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（一）基本支出预算 1713.8万元，占总支出预算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100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 xml:space="preserve"> %，比2021年136.49万元增加1577.31万元，增长1155.62%，主要增加原因为人员经费增加。</w:t>
      </w:r>
    </w:p>
    <w:p w14:paraId="5EECE5B7">
      <w:pPr>
        <w:spacing w:line="560" w:lineRule="exact"/>
        <w:ind w:firstLine="555"/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eastAsia="zh-CN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（二）项目支出预算0万元，与2021年0万元持平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eastAsia="zh-CN"/>
        </w:rPr>
        <w:t>。</w:t>
      </w:r>
    </w:p>
    <w:p w14:paraId="2749C50B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（三）无上缴上级支出</w:t>
      </w:r>
    </w:p>
    <w:p w14:paraId="30C55052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（四）无事业单位经营支出</w:t>
      </w:r>
    </w:p>
    <w:p w14:paraId="065DE477">
      <w:pPr>
        <w:spacing w:line="560" w:lineRule="exact"/>
        <w:ind w:firstLine="555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（五）无对附属单位补助支出</w:t>
      </w:r>
    </w:p>
    <w:p w14:paraId="48D66045">
      <w:pPr>
        <w:spacing w:line="560" w:lineRule="exact"/>
        <w:jc w:val="center"/>
        <w:rPr>
          <w:rFonts w:ascii="黑体" w:eastAsia="黑体"/>
          <w:b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四、2022年度</w:t>
      </w:r>
      <w:r>
        <w:rPr>
          <w:rFonts w:hint="eastAsia" w:ascii="黑体" w:eastAsia="黑体"/>
          <w:b/>
          <w:color w:val="000000" w:themeColor="text1"/>
          <w:sz w:val="32"/>
          <w:szCs w:val="32"/>
          <w:highlight w:val="none"/>
          <w:shd w:val="clear" w:color="auto" w:fill="auto"/>
        </w:rPr>
        <w:t>单位“三公”经费财政拨款预算说明</w:t>
      </w:r>
    </w:p>
    <w:p w14:paraId="0BA9B98C">
      <w:pPr>
        <w:spacing w:line="560" w:lineRule="exact"/>
        <w:ind w:firstLine="6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（一）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eastAsia="zh-CN"/>
        </w:rPr>
        <w:t>“三公”经费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的单位范围</w:t>
      </w:r>
    </w:p>
    <w:p w14:paraId="6D7D00C7">
      <w:pPr>
        <w:spacing w:line="560" w:lineRule="exact"/>
        <w:ind w:firstLine="6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本单位因公出国（境）费用、公务接待费、公务用车购置和运行维护费开支单位包括0个所属单位。</w:t>
      </w:r>
    </w:p>
    <w:p w14:paraId="7096D794">
      <w:pPr>
        <w:spacing w:line="560" w:lineRule="exact"/>
        <w:ind w:firstLine="6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（二）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eastAsia="zh-CN"/>
        </w:rPr>
        <w:t>“三公”经费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财政拨款情况说明</w:t>
      </w:r>
    </w:p>
    <w:p w14:paraId="3C3675E8">
      <w:pPr>
        <w:spacing w:line="560" w:lineRule="exact"/>
        <w:ind w:firstLine="6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2022年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eastAsia="zh-CN"/>
        </w:rPr>
        <w:t>“三公”经费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财政拨款预算0万元，与2021年0万元持平。其中：</w:t>
      </w:r>
    </w:p>
    <w:p w14:paraId="3DD9674B">
      <w:pPr>
        <w:spacing w:line="560" w:lineRule="exact"/>
        <w:ind w:firstLine="6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1、因公出国（境）费用。2022年预算数0万元，与2021年0万元持平。</w:t>
      </w:r>
    </w:p>
    <w:p w14:paraId="435B6858">
      <w:pPr>
        <w:spacing w:line="560" w:lineRule="exact"/>
        <w:ind w:firstLine="6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2、公务接待费。2022年预算0万元，与2021年0万元持平。</w:t>
      </w:r>
    </w:p>
    <w:p w14:paraId="1034A15E">
      <w:pPr>
        <w:spacing w:line="560" w:lineRule="exact"/>
        <w:ind w:firstLine="6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529379E4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五、其他重要事项的情况说明</w:t>
      </w:r>
    </w:p>
    <w:p w14:paraId="5D47735E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（一）机关运行经费情况说明</w:t>
      </w:r>
    </w:p>
    <w:p w14:paraId="559AB320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本单位无</w:t>
      </w:r>
      <w:r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机关运行经费。</w:t>
      </w:r>
    </w:p>
    <w:p w14:paraId="0CB348EF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（二）项目支出绩效目标及评价结果情况说明</w:t>
      </w:r>
    </w:p>
    <w:p w14:paraId="648F18FE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本单位预算</w:t>
      </w:r>
      <w:r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批复无项目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。</w:t>
      </w:r>
    </w:p>
    <w:p w14:paraId="26C93BF4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bookmarkStart w:id="0" w:name="OLE_LINK2"/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（三）重点行政事业性收费情况说明</w:t>
      </w:r>
    </w:p>
    <w:bookmarkEnd w:id="0"/>
    <w:p w14:paraId="195C929E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本单位2022年无重点行政事业性收费。</w:t>
      </w:r>
    </w:p>
    <w:p w14:paraId="288AFB92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（四）国有资本经营预算财政拨款情况及国有资产占用情况说明</w:t>
      </w:r>
    </w:p>
    <w:p w14:paraId="76C82891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本单位2022年无国有资本经营预算财政拨款安排的预算。</w:t>
      </w:r>
    </w:p>
    <w:p w14:paraId="6E4658FA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截止202</w:t>
      </w:r>
      <w:r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1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年12月31日，本单位货币资金263.9万元（其中银行存款263.87万元），房屋1015.08万元，车辆23.23万元，在建工程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0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万元。</w:t>
      </w:r>
    </w:p>
    <w:p w14:paraId="58D8B0B6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截至2021年12月31日，本单位共有车辆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</w:rPr>
        <w:t>1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辆。</w:t>
      </w:r>
    </w:p>
    <w:p w14:paraId="0747BA99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（五）政府采购预算财政拨款情况说明</w:t>
      </w:r>
    </w:p>
    <w:p w14:paraId="22DC2675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本单位2022年无政府采购预算财政拨款安排的预算。</w:t>
      </w:r>
    </w:p>
    <w:p w14:paraId="67942B70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（六）政府购买服务预算财政拨款情况说明</w:t>
      </w:r>
    </w:p>
    <w:p w14:paraId="194B973B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本单位2022年无政府购买服务预算财政拨款安排的预算。</w:t>
      </w:r>
    </w:p>
    <w:p w14:paraId="2C314BBB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（七）名词解释</w:t>
      </w:r>
    </w:p>
    <w:p w14:paraId="580E7D42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75AC541B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42DC52DB"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60A2A65A">
      <w:pPr>
        <w:spacing w:line="560" w:lineRule="exact"/>
        <w:ind w:firstLine="555"/>
        <w:outlineLvl w:val="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10376DCA">
      <w:pPr>
        <w:spacing w:line="560" w:lineRule="exact"/>
        <w:ind w:firstLine="555"/>
        <w:outlineLvl w:val="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5BC16B81">
      <w:pPr>
        <w:spacing w:line="560" w:lineRule="exact"/>
        <w:ind w:firstLine="555"/>
        <w:outlineLvl w:val="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21992217">
      <w:pPr>
        <w:spacing w:line="560" w:lineRule="exact"/>
        <w:ind w:firstLine="555"/>
        <w:outlineLvl w:val="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6A61EAC6">
      <w:pPr>
        <w:spacing w:line="560" w:lineRule="exact"/>
        <w:ind w:firstLine="555"/>
        <w:outlineLvl w:val="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0FC2119D">
      <w:pPr>
        <w:spacing w:line="560" w:lineRule="exact"/>
        <w:ind w:firstLine="555"/>
        <w:outlineLvl w:val="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117CB5C4">
      <w:pPr>
        <w:spacing w:line="560" w:lineRule="exact"/>
        <w:ind w:firstLine="555"/>
        <w:outlineLvl w:val="0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56AF50C3">
      <w:pPr>
        <w:spacing w:line="560" w:lineRule="exact"/>
        <w:ind w:firstLine="555"/>
        <w:outlineLvl w:val="0"/>
        <w:rPr>
          <w:rFonts w:ascii="仿宋_GB2312" w:eastAsia="仿宋_GB2312"/>
          <w:b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2D2821E9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32"/>
          <w:szCs w:val="32"/>
          <w:highlight w:val="none"/>
          <w:shd w:val="clear" w:color="auto" w:fill="auto"/>
        </w:rPr>
        <w:t>六、2022年度单位预算附表</w:t>
      </w:r>
    </w:p>
    <w:p w14:paraId="7191350B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  <w:t>详见2022年度单位预算公开报表</w:t>
      </w:r>
    </w:p>
    <w:p w14:paraId="3D70EA83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color w:val="000000" w:themeColor="text1"/>
          <w:sz w:val="32"/>
          <w:szCs w:val="32"/>
          <w:highlight w:val="none"/>
          <w:shd w:val="clear" w:color="auto" w:fill="auto"/>
        </w:rPr>
      </w:pPr>
    </w:p>
    <w:p w14:paraId="723D993D">
      <w:pPr>
        <w:rPr>
          <w:color w:val="000000" w:themeColor="text1"/>
          <w:highlight w:val="none"/>
          <w:shd w:val="clear" w:color="auto" w:fill="auto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10693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4FE0CD4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5C58D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6DEB0115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42A21A3C"/>
    <w:rsid w:val="47156B58"/>
    <w:rsid w:val="60CE46C7"/>
    <w:rsid w:val="6EF02E81"/>
    <w:rsid w:val="70265FA3"/>
    <w:rsid w:val="7C367084"/>
    <w:rsid w:val="7D31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9</Pages>
  <Words>3698</Words>
  <Characters>3911</Characters>
  <Lines>21</Lines>
  <Paragraphs>6</Paragraphs>
  <TotalTime>8</TotalTime>
  <ScaleCrop>false</ScaleCrop>
  <LinksUpToDate>false</LinksUpToDate>
  <CharactersWithSpaces>3921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2025-03-24T07:00:28Z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eyJoZGlkIjoiMDY1MWZiMWEyNWMwNTVlZmNmM2QxMTdmNzZkNjNmZmYiLCJ1c2VySWQiOiI3NTk1ODIzMjQifQ==</vt:lpwstr>
  </property>
  <property fmtid="{D5CDD505-2E9C-101B-9397-08002B2CF9AE}" pid="4" name="ICV">
    <vt:lpwstr>5F1BA5FCEF514D5895B35F72A5BB7626_12</vt:lpwstr>
  </property>
</Properties>
</file>