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0C187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北京市通州区民办教育服务中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心2022年预算情况说明</w:t>
      </w:r>
    </w:p>
    <w:p w14:paraId="7E989FD9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</w:p>
    <w:p w14:paraId="5C2C016F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目    录</w:t>
      </w:r>
    </w:p>
    <w:p w14:paraId="7603E35B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707F5AAA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7C3C68FA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40EBFE88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四、2022年度单位“三公”经费财政拨款预算说明</w:t>
      </w:r>
    </w:p>
    <w:p w14:paraId="4C1EFA6D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五、2022年度其他重要事项的情况说明</w:t>
      </w:r>
    </w:p>
    <w:p w14:paraId="28AB193A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5FC26B0C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</w:p>
    <w:p w14:paraId="285B2F57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74A2C5B0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单位机构设置、主要职责</w:t>
      </w:r>
    </w:p>
    <w:p w14:paraId="611067B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1.单位机构设置我单位共设主任室、办公室、财务室、学历科、幼教科、非学历科、综合科</w:t>
      </w:r>
    </w:p>
    <w:p w14:paraId="30AFC6D9">
      <w:pPr>
        <w:spacing w:line="560" w:lineRule="exact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2.单位主要职责为民办教育提供基础性服务，承担本区民办教育相关事务性和辅助性工作。</w:t>
      </w:r>
    </w:p>
    <w:p w14:paraId="1C1547C7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（二）人员构成情况</w:t>
      </w:r>
    </w:p>
    <w:p w14:paraId="0A3E9A33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北京市通州区民办教育服务中心事业编制20人，实际14人；聘用人员（包括其他聘用人员--临时工等）    0人。</w:t>
      </w:r>
    </w:p>
    <w:p w14:paraId="71784CB8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离退休人员0人，其中：离休   0人，退休   0 人。</w:t>
      </w:r>
    </w:p>
    <w:p w14:paraId="787AB5E9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（三）本预算年度的主要工作任务</w:t>
      </w:r>
    </w:p>
    <w:p w14:paraId="66D4C6EE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完成日常公用经费支出、人员工资发放、民办幼儿园生均补助工作</w:t>
      </w:r>
    </w:p>
    <w:p w14:paraId="72A4A80D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6B291A2F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2022年收入预算203.28万元，比2021年34.09万元增加169.19万元，增长496%。其中：财政拨款203.28万元，比2021年34.09万元增加169.19万元。</w:t>
      </w:r>
      <w:r>
        <w:rPr>
          <w:rFonts w:ascii="仿宋_GB2312" w:eastAsia="仿宋_GB2312"/>
          <w:sz w:val="32"/>
          <w:szCs w:val="32"/>
        </w:rPr>
        <w:t xml:space="preserve"> </w:t>
      </w:r>
    </w:p>
    <w:p w14:paraId="7C50DCA7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统筹使用结余资金安排预算0万元，与2021年0万元持平；其他资金0万元，与2021年0万元持平。</w:t>
      </w:r>
    </w:p>
    <w:p w14:paraId="02E249EF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4FE662FA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（（一）基本支出预算203.28万元，占总支出预算100 %，比2021年34.09万元增加169.19万元，增长496%。（原因是我单位单位工资176.99万元）。</w:t>
      </w:r>
    </w:p>
    <w:p w14:paraId="30D32CE1">
      <w:pPr>
        <w:spacing w:line="560" w:lineRule="exact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主要增加原因为人员经费增加。</w:t>
      </w:r>
    </w:p>
    <w:p w14:paraId="3943339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（二）项目支出预算0万元，与2021年0万元持平</w:t>
      </w:r>
    </w:p>
    <w:p w14:paraId="4DBEAD39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（三）无上缴上级支出</w:t>
      </w:r>
    </w:p>
    <w:p w14:paraId="0C9B36F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（四）无事业单位经营支出</w:t>
      </w:r>
    </w:p>
    <w:p w14:paraId="07ACEABE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（五）无对附属单位补助支出</w:t>
      </w:r>
    </w:p>
    <w:p w14:paraId="0D8C5459">
      <w:pPr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</w:t>
      </w:r>
      <w:r>
        <w:rPr>
          <w:rFonts w:hint="eastAsia" w:ascii="黑体" w:eastAsia="黑体"/>
          <w:b/>
          <w:sz w:val="32"/>
          <w:szCs w:val="32"/>
        </w:rPr>
        <w:t>单位“三公”经费财政拨款预算说明</w:t>
      </w:r>
    </w:p>
    <w:p w14:paraId="7D69BF49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的单位范围</w:t>
      </w:r>
    </w:p>
    <w:p w14:paraId="1F6234BE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本单位因公出国（境）费用、公务接待费、公务用车购置和运行维护费开支单位包括0个所属单位。</w:t>
      </w:r>
    </w:p>
    <w:p w14:paraId="4A4F6DCC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财政拨款情况说明</w:t>
      </w:r>
    </w:p>
    <w:p w14:paraId="6DD6B9C4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财政拨款预算0万元，与2021年0万元持平。其中：</w:t>
      </w:r>
    </w:p>
    <w:p w14:paraId="73E77A63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1、因公出国（境）费用。2022年预算数0万元，与2021年0万元持平。</w:t>
      </w:r>
    </w:p>
    <w:p w14:paraId="4ABB1CE6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2、公务接待费。2022年预算0万元，与2021年0万元持平。</w:t>
      </w:r>
    </w:p>
    <w:p w14:paraId="05E9B1B5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518C4057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五、其他重要事项的情况说明</w:t>
      </w:r>
    </w:p>
    <w:p w14:paraId="00E5BC4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（一）机关运行经费情况说明</w:t>
      </w:r>
    </w:p>
    <w:p w14:paraId="2B9D9E7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ascii="仿宋_GB2312" w:eastAsia="仿宋_GB2312"/>
          <w:sz w:val="32"/>
          <w:szCs w:val="32"/>
        </w:rPr>
        <w:t>机关运行经费。</w:t>
      </w:r>
    </w:p>
    <w:p w14:paraId="78D1850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（二）项目支出绩效目标及评价结果情况说明</w:t>
      </w:r>
    </w:p>
    <w:p w14:paraId="48CDCCF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本单位预算</w:t>
      </w:r>
      <w:r>
        <w:rPr>
          <w:rFonts w:ascii="仿宋_GB2312" w:eastAsia="仿宋_GB2312"/>
          <w:sz w:val="32"/>
          <w:szCs w:val="32"/>
        </w:rPr>
        <w:t>批复无项目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EF9DEE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OLE_LINK2"/>
      <w:r>
        <w:rPr>
          <w:rFonts w:hint="eastAsia" w:ascii="仿宋_GB2312" w:eastAsia="仿宋_GB2312"/>
          <w:sz w:val="32"/>
          <w:szCs w:val="32"/>
        </w:rPr>
        <w:t>（三）重点行政事业性收费情况说明</w:t>
      </w:r>
    </w:p>
    <w:bookmarkEnd w:id="0"/>
    <w:p w14:paraId="00C8EF2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本单位2022年无重点行政事业性收费</w:t>
      </w:r>
    </w:p>
    <w:p w14:paraId="5631CAF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（四）国有资本经营预算财政拨款情况及国有资产占用情况说明</w:t>
      </w:r>
    </w:p>
    <w:p w14:paraId="261DB58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本单位2022年无国有资本经营预算财政拨款安排的预算。</w:t>
      </w:r>
    </w:p>
    <w:p w14:paraId="3BDE499F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截止202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年12月31日，本单位货币资金13862.55万元（其中银行存款13862.55万元），房屋0万元，车辆13.61万元，在建工程0万元。</w:t>
      </w:r>
    </w:p>
    <w:p w14:paraId="6DC3818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截至2021年12月31日，本单位共有车辆1辆。</w:t>
      </w:r>
    </w:p>
    <w:p w14:paraId="4323876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（五）政府采购预算财政拨款情况说明</w:t>
      </w:r>
    </w:p>
    <w:p w14:paraId="2FE21BF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本单位2022年无政府采购预算财政拨款安排的预算。</w:t>
      </w:r>
    </w:p>
    <w:p w14:paraId="25060F2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（六）政府购买服务预算财政拨款情况说明</w:t>
      </w:r>
    </w:p>
    <w:p w14:paraId="78837F5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本单位2022年无政府购买服务预算财政拨款安排的预算。</w:t>
      </w:r>
    </w:p>
    <w:p w14:paraId="03AE0E7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（七）名词解释</w:t>
      </w:r>
    </w:p>
    <w:p w14:paraId="4E41FDC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2497826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14AD230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1EB0A603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37F648D5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6870C3C3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7EA6DA0F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4A33A422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61E56452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6D507867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47E89118">
      <w:pPr>
        <w:spacing w:line="560" w:lineRule="exact"/>
        <w:ind w:firstLine="555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6631CACE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3EAFFB3C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详见2022年度单位预算公开报表</w:t>
      </w:r>
    </w:p>
    <w:p w14:paraId="402254DA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 w14:paraId="70C389D3"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30107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5</w:t>
    </w:r>
    <w:r>
      <w:rPr>
        <w:rStyle w:val="7"/>
      </w:rPr>
      <w:fldChar w:fldCharType="end"/>
    </w:r>
  </w:p>
  <w:p w14:paraId="34DAD7D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CA234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65CD958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QyNTExODIwZDRkOWI3MDA5NTY2YzM0NDY2YmMwZjAifQ=="/>
  </w:docVars>
  <w:rsids>
    <w:rsidRoot w:val="001F517C"/>
    <w:rsid w:val="001F517C"/>
    <w:rsid w:val="00253596"/>
    <w:rsid w:val="00356424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BD725D"/>
    <w:rsid w:val="00C4523D"/>
    <w:rsid w:val="00CB304E"/>
    <w:rsid w:val="00CD0F5F"/>
    <w:rsid w:val="00D97B70"/>
    <w:rsid w:val="00E852EF"/>
    <w:rsid w:val="00EF1BB8"/>
    <w:rsid w:val="00F07F29"/>
    <w:rsid w:val="00F11C3F"/>
    <w:rsid w:val="00FB57D2"/>
    <w:rsid w:val="096B6F7B"/>
    <w:rsid w:val="65FA2F1A"/>
    <w:rsid w:val="6632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uiPriority w:val="0"/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2446</Words>
  <Characters>2642</Characters>
  <Lines>19</Lines>
  <Paragraphs>5</Paragraphs>
  <TotalTime>1</TotalTime>
  <ScaleCrop>false</ScaleCrop>
  <LinksUpToDate>false</LinksUpToDate>
  <CharactersWithSpaces>2665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2022-05-24T01:03:00Z</dcterms:created>
  <dc:creator>Owner</dc:creator>
  <cp:lastModifiedBy>寇俊鹏</cp:lastModifiedBy>
  <dcterms:modified xsi:type="dcterms:W3CDTF">2025-03-24T06:54:03Z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DF71C71921DC4ECC8716989AE8D6749F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