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BE6B7">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北京市通州区新城东里幼儿园</w:t>
      </w:r>
    </w:p>
    <w:p w14:paraId="08E1D0D6">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581F88BB">
      <w:pPr>
        <w:spacing w:line="560" w:lineRule="exact"/>
        <w:jc w:val="center"/>
        <w:rPr>
          <w:rFonts w:ascii="方正小标宋简体" w:hAnsi="微软雅黑" w:eastAsia="方正小标宋简体" w:cs="宋体"/>
          <w:b/>
          <w:bCs/>
          <w:color w:val="333333"/>
          <w:kern w:val="0"/>
          <w:sz w:val="44"/>
          <w:szCs w:val="44"/>
        </w:rPr>
      </w:pPr>
    </w:p>
    <w:p w14:paraId="01C584C5">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3E883475">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3433379A">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0D40D084">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589C07B4">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06BACEB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3752C901">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70697F8C">
      <w:pPr>
        <w:spacing w:line="560" w:lineRule="exact"/>
        <w:ind w:firstLine="643" w:firstLineChars="200"/>
        <w:outlineLvl w:val="0"/>
        <w:rPr>
          <w:rFonts w:ascii="仿宋_GB2312" w:eastAsia="仿宋_GB2312"/>
          <w:b/>
          <w:sz w:val="32"/>
          <w:szCs w:val="32"/>
        </w:rPr>
      </w:pPr>
    </w:p>
    <w:p w14:paraId="3097E79F">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6CA75B88">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5C5B5870">
      <w:pPr>
        <w:pStyle w:val="11"/>
        <w:numPr>
          <w:ilvl w:val="0"/>
          <w:numId w:val="2"/>
        </w:numPr>
        <w:spacing w:line="560" w:lineRule="exact"/>
        <w:ind w:firstLineChars="0"/>
        <w:rPr>
          <w:rFonts w:hint="eastAsia" w:ascii="仿宋_GB2312" w:eastAsia="仿宋_GB2312"/>
          <w:sz w:val="32"/>
          <w:szCs w:val="32"/>
        </w:rPr>
      </w:pPr>
      <w:r>
        <w:rPr>
          <w:rFonts w:hint="eastAsia" w:ascii="仿宋_GB2312" w:eastAsia="仿宋_GB2312"/>
          <w:sz w:val="32"/>
          <w:szCs w:val="32"/>
        </w:rPr>
        <w:t>单位机构设置</w:t>
      </w:r>
    </w:p>
    <w:p w14:paraId="04A93EFB">
      <w:pPr>
        <w:spacing w:line="560" w:lineRule="exact"/>
        <w:ind w:firstLine="640" w:firstLineChars="200"/>
        <w:rPr>
          <w:rFonts w:ascii="仿宋_GB2312" w:eastAsia="仿宋_GB2312"/>
          <w:sz w:val="32"/>
          <w:szCs w:val="32"/>
        </w:rPr>
      </w:pPr>
      <w:r>
        <w:rPr>
          <w:rFonts w:hint="eastAsia" w:ascii="仿宋_GB2312" w:eastAsia="仿宋_GB2312"/>
          <w:sz w:val="32"/>
          <w:szCs w:val="32"/>
        </w:rPr>
        <w:t>我单位内设保教处、总务处、办公室、保健室、食堂、会计室6个部门。</w:t>
      </w:r>
    </w:p>
    <w:p w14:paraId="1C082146">
      <w:pPr>
        <w:pStyle w:val="11"/>
        <w:numPr>
          <w:ilvl w:val="0"/>
          <w:numId w:val="2"/>
        </w:numPr>
        <w:spacing w:line="560" w:lineRule="exact"/>
        <w:ind w:firstLineChars="0"/>
        <w:rPr>
          <w:rFonts w:hint="eastAsia" w:ascii="仿宋_GB2312" w:eastAsia="仿宋_GB2312"/>
          <w:sz w:val="32"/>
          <w:szCs w:val="32"/>
        </w:rPr>
      </w:pPr>
      <w:r>
        <w:rPr>
          <w:rFonts w:hint="eastAsia" w:ascii="仿宋_GB2312" w:eastAsia="仿宋_GB2312"/>
          <w:sz w:val="32"/>
          <w:szCs w:val="32"/>
        </w:rPr>
        <w:t>单位主要职责</w:t>
      </w:r>
    </w:p>
    <w:p w14:paraId="052AEBB6">
      <w:pPr>
        <w:spacing w:line="560" w:lineRule="exact"/>
        <w:ind w:firstLine="645"/>
        <w:rPr>
          <w:rFonts w:hint="eastAsia" w:ascii="仿宋" w:hAnsi="仿宋" w:eastAsia="仿宋" w:cs="仿宋"/>
          <w:sz w:val="32"/>
          <w:szCs w:val="32"/>
        </w:rPr>
      </w:pPr>
      <w:r>
        <w:rPr>
          <w:rFonts w:hint="eastAsia" w:ascii="仿宋_GB2312" w:eastAsia="仿宋_GB2312"/>
          <w:sz w:val="32"/>
          <w:szCs w:val="32"/>
        </w:rPr>
        <w:t>保教处主要职责：</w:t>
      </w:r>
      <w:r>
        <w:rPr>
          <w:rFonts w:hint="eastAsia" w:ascii="仿宋" w:hAnsi="仿宋" w:eastAsia="仿宋" w:cs="仿宋"/>
          <w:sz w:val="32"/>
          <w:szCs w:val="32"/>
        </w:rPr>
        <w:t>负责本园教育教学整体工作，制定保教工作计划，认真贯彻执行园务工作计划。</w:t>
      </w:r>
    </w:p>
    <w:p w14:paraId="561E6ED2">
      <w:pPr>
        <w:ind w:firstLine="640" w:firstLineChars="200"/>
        <w:rPr>
          <w:rFonts w:hint="eastAsia" w:ascii="仿宋" w:hAnsi="仿宋" w:eastAsia="仿宋" w:cs="仿宋"/>
          <w:sz w:val="32"/>
          <w:szCs w:val="32"/>
        </w:rPr>
      </w:pPr>
      <w:r>
        <w:rPr>
          <w:rFonts w:hint="eastAsia" w:ascii="仿宋" w:hAnsi="仿宋" w:eastAsia="仿宋" w:cs="仿宋"/>
          <w:sz w:val="32"/>
          <w:szCs w:val="32"/>
        </w:rPr>
        <w:t>总务处主要职责：负责后勤、安全保卫、财产、交通、绿化、美化、基建工程等各项管理工作。</w:t>
      </w:r>
    </w:p>
    <w:p w14:paraId="52177A7B">
      <w:pPr>
        <w:ind w:firstLine="640" w:firstLineChars="200"/>
        <w:rPr>
          <w:rFonts w:hint="eastAsia" w:ascii="仿宋" w:hAnsi="仿宋" w:eastAsia="仿宋" w:cs="仿宋"/>
          <w:sz w:val="32"/>
          <w:szCs w:val="32"/>
        </w:rPr>
      </w:pPr>
      <w:r>
        <w:rPr>
          <w:rFonts w:hint="eastAsia" w:ascii="仿宋_GB2312" w:eastAsia="仿宋_GB2312"/>
          <w:sz w:val="32"/>
          <w:szCs w:val="32"/>
        </w:rPr>
        <w:t>办公室主要职责：</w:t>
      </w:r>
      <w:r>
        <w:rPr>
          <w:rFonts w:hint="eastAsia" w:ascii="仿宋" w:hAnsi="仿宋" w:eastAsia="仿宋" w:cs="仿宋"/>
          <w:sz w:val="32"/>
          <w:szCs w:val="32"/>
        </w:rPr>
        <w:t>积极主动地参与政务、管理事务、搞好服务，协助园长平衡、协调、检查、督促幼儿园各处室工作。</w:t>
      </w:r>
    </w:p>
    <w:p w14:paraId="27FB42C9">
      <w:pPr>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保健室主要职责：</w:t>
      </w:r>
      <w:r>
        <w:rPr>
          <w:rFonts w:hint="eastAsia" w:ascii="仿宋" w:hAnsi="仿宋" w:eastAsia="仿宋" w:cs="仿宋"/>
          <w:color w:val="000000"/>
          <w:sz w:val="32"/>
          <w:szCs w:val="32"/>
        </w:rPr>
        <w:t>负责全园的卫生保健、消毒工作。根据卫生保健相关规章制度规定，制订卫生保健工作计划，建立健全各项卫生保健制度，定期督促检查保育员、炊事员的工作情况。</w:t>
      </w:r>
    </w:p>
    <w:p w14:paraId="5C6C5ABB">
      <w:pPr>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食堂主要职责：</w:t>
      </w:r>
      <w:r>
        <w:rPr>
          <w:rFonts w:hint="eastAsia" w:ascii="仿宋" w:hAnsi="仿宋" w:eastAsia="仿宋" w:cs="仿宋"/>
          <w:sz w:val="32"/>
          <w:szCs w:val="32"/>
        </w:rPr>
        <w:t>负责全园伙食烹饪工作，严格遵守操作规程，严格把好进菜、切洗、烹饪、分餐及清洗、消毒等各种关口，确保幼儿饮食安全。</w:t>
      </w:r>
    </w:p>
    <w:p w14:paraId="15AA0D28">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会计室主要职责：按时编制财务预算决算，力行节约，保证重点，有计划安排经费支出。</w:t>
      </w:r>
      <w:r>
        <w:rPr>
          <w:rFonts w:hint="eastAsia" w:ascii="仿宋" w:hAnsi="仿宋" w:eastAsia="仿宋" w:cs="仿宋"/>
          <w:sz w:val="32"/>
          <w:szCs w:val="32"/>
        </w:rPr>
        <w:t>按规定</w:t>
      </w:r>
      <w:r>
        <w:rPr>
          <w:rFonts w:hint="eastAsia" w:ascii="仿宋" w:hAnsi="仿宋" w:eastAsia="仿宋" w:cs="仿宋"/>
          <w:sz w:val="32"/>
          <w:szCs w:val="32"/>
          <w:lang w:val="en-US" w:eastAsia="zh-CN"/>
        </w:rPr>
        <w:t>记账</w:t>
      </w:r>
      <w:r>
        <w:rPr>
          <w:rFonts w:hint="eastAsia" w:ascii="仿宋" w:hAnsi="仿宋" w:eastAsia="仿宋" w:cs="仿宋"/>
          <w:sz w:val="32"/>
          <w:szCs w:val="32"/>
        </w:rPr>
        <w:t>、报</w:t>
      </w:r>
      <w:r>
        <w:rPr>
          <w:rFonts w:hint="eastAsia" w:ascii="仿宋" w:hAnsi="仿宋" w:eastAsia="仿宋" w:cs="仿宋"/>
          <w:sz w:val="32"/>
          <w:szCs w:val="32"/>
          <w:lang w:val="en-US" w:eastAsia="zh-CN"/>
        </w:rPr>
        <w:t>账</w:t>
      </w:r>
      <w:r>
        <w:rPr>
          <w:rFonts w:hint="eastAsia" w:ascii="仿宋" w:hAnsi="仿宋" w:eastAsia="仿宋" w:cs="仿宋"/>
          <w:sz w:val="32"/>
          <w:szCs w:val="32"/>
        </w:rPr>
        <w:t>，</w:t>
      </w:r>
      <w:r>
        <w:rPr>
          <w:rFonts w:hint="eastAsia" w:ascii="仿宋" w:hAnsi="仿宋" w:eastAsia="仿宋" w:cs="仿宋"/>
          <w:sz w:val="32"/>
          <w:szCs w:val="32"/>
          <w:lang w:val="en-US" w:eastAsia="zh-CN"/>
        </w:rPr>
        <w:t>账</w:t>
      </w:r>
      <w:r>
        <w:rPr>
          <w:rFonts w:hint="eastAsia" w:ascii="仿宋" w:hAnsi="仿宋" w:eastAsia="仿宋" w:cs="仿宋"/>
          <w:sz w:val="32"/>
          <w:szCs w:val="32"/>
        </w:rPr>
        <w:t>目要清晰，科目准确，手续完备，日清月结。及时向园长反映财务收支情况，定期向园长汇报财务工作。</w:t>
      </w:r>
    </w:p>
    <w:p w14:paraId="34315C75">
      <w:pPr>
        <w:spacing w:line="560" w:lineRule="exact"/>
        <w:ind w:firstLine="555"/>
        <w:rPr>
          <w:rFonts w:ascii="仿宋_GB2312" w:eastAsia="仿宋_GB2312"/>
          <w:sz w:val="32"/>
          <w:szCs w:val="32"/>
        </w:rPr>
      </w:pPr>
      <w:r>
        <w:rPr>
          <w:rFonts w:hint="eastAsia" w:ascii="仿宋_GB2312" w:eastAsia="仿宋_GB2312"/>
          <w:sz w:val="32"/>
          <w:szCs w:val="32"/>
        </w:rPr>
        <w:t>（二）人员构成情况</w:t>
      </w:r>
    </w:p>
    <w:p w14:paraId="31CFD362">
      <w:pPr>
        <w:spacing w:line="560" w:lineRule="exact"/>
        <w:ind w:firstLine="555"/>
        <w:rPr>
          <w:rFonts w:ascii="仿宋_GB2312" w:eastAsia="仿宋_GB2312"/>
          <w:sz w:val="32"/>
          <w:szCs w:val="32"/>
        </w:rPr>
      </w:pPr>
      <w:r>
        <w:rPr>
          <w:rFonts w:hint="eastAsia" w:ascii="仿宋_GB2312" w:eastAsia="仿宋_GB2312"/>
          <w:sz w:val="32"/>
          <w:szCs w:val="32"/>
        </w:rPr>
        <w:t>我单位事业编制60人，实际55人；</w:t>
      </w:r>
      <w:bookmarkStart w:id="1" w:name="_GoBack"/>
      <w:bookmarkEnd w:id="1"/>
      <w:r>
        <w:rPr>
          <w:rFonts w:hint="eastAsia" w:ascii="仿宋_GB2312" w:eastAsia="仿宋_GB2312"/>
          <w:sz w:val="32"/>
          <w:szCs w:val="32"/>
        </w:rPr>
        <w:t>聘用人员（包括其他聘用人员--临时工等）23人。</w:t>
      </w:r>
    </w:p>
    <w:p w14:paraId="09835C41">
      <w:pPr>
        <w:spacing w:line="560" w:lineRule="exact"/>
        <w:ind w:firstLine="555"/>
        <w:rPr>
          <w:rFonts w:ascii="仿宋_GB2312" w:eastAsia="仿宋_GB2312"/>
          <w:sz w:val="32"/>
          <w:szCs w:val="32"/>
        </w:rPr>
      </w:pPr>
      <w:r>
        <w:rPr>
          <w:rFonts w:hint="eastAsia" w:ascii="仿宋_GB2312" w:eastAsia="仿宋_GB2312"/>
          <w:sz w:val="32"/>
          <w:szCs w:val="32"/>
        </w:rPr>
        <w:t>离退休人员19人，其中：离休0人，退休19人。</w:t>
      </w:r>
    </w:p>
    <w:p w14:paraId="67A0EF59">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7FA02347">
      <w:pPr>
        <w:spacing w:line="560" w:lineRule="exact"/>
        <w:ind w:firstLine="640" w:firstLineChars="200"/>
        <w:rPr>
          <w:rFonts w:ascii="仿宋_GB2312" w:eastAsia="仿宋_GB2312"/>
          <w:sz w:val="32"/>
          <w:szCs w:val="32"/>
        </w:rPr>
      </w:pPr>
      <w:r>
        <w:rPr>
          <w:rFonts w:hint="eastAsia" w:ascii="仿宋_GB2312" w:eastAsia="仿宋_GB2312"/>
          <w:sz w:val="32"/>
          <w:szCs w:val="32"/>
        </w:rPr>
        <w:t>坚持党的全面领导，贯彻落实党的教育方针，坚持社会主义办学方向，全面贯彻落实习近平总书记关于教育的论述及党的十九大报告中关于教育的重要思想，定位城市副中心幼儿教育的发展。继续深入贯彻《幼儿园教育指导纲要》及《3-6岁儿童学习与发展指南》，坚持以人为本的管理思想，以教科研为先导， 深耕“润心”文化内涵，完善“润心教育 育人课程”体系，展现强体魄、乐探究、会交往、喜欣赏的全健康儿童，成就重事业、富爱心、讲方法、展自我的新时代教师。以润心党建团队建设为引领，植根爱国主义教育，使幼儿园成为学前教育的新高地。</w:t>
      </w:r>
    </w:p>
    <w:p w14:paraId="200C046E">
      <w:pPr>
        <w:spacing w:line="560" w:lineRule="exact"/>
        <w:ind w:firstLine="555"/>
        <w:rPr>
          <w:rFonts w:ascii="仿宋_GB2312" w:eastAsia="仿宋_GB2312"/>
          <w:sz w:val="32"/>
          <w:szCs w:val="32"/>
        </w:rPr>
      </w:pPr>
      <w:r>
        <w:rPr>
          <w:rFonts w:hint="eastAsia" w:ascii="仿宋_GB2312" w:eastAsia="仿宋_GB2312"/>
          <w:sz w:val="32"/>
          <w:szCs w:val="32"/>
        </w:rPr>
        <w:t>1．党政工团工作</w:t>
      </w:r>
    </w:p>
    <w:p w14:paraId="6827775A">
      <w:pPr>
        <w:spacing w:line="560" w:lineRule="exact"/>
        <w:ind w:firstLine="555"/>
        <w:rPr>
          <w:rFonts w:ascii="仿宋_GB2312" w:eastAsia="仿宋_GB2312"/>
          <w:sz w:val="32"/>
          <w:szCs w:val="32"/>
        </w:rPr>
      </w:pPr>
      <w:r>
        <w:rPr>
          <w:rFonts w:hint="eastAsia" w:ascii="仿宋_GB2312" w:eastAsia="仿宋_GB2312"/>
          <w:sz w:val="32"/>
          <w:szCs w:val="32"/>
        </w:rPr>
        <w:t>坚持党建引领，丰富润心党建品牌，打造优秀党支部。</w:t>
      </w:r>
    </w:p>
    <w:p w14:paraId="6286BBCC">
      <w:pPr>
        <w:spacing w:line="560" w:lineRule="exact"/>
        <w:ind w:firstLine="555"/>
        <w:rPr>
          <w:rFonts w:ascii="仿宋_GB2312" w:eastAsia="仿宋_GB2312"/>
          <w:sz w:val="32"/>
          <w:szCs w:val="32"/>
        </w:rPr>
      </w:pPr>
      <w:r>
        <w:rPr>
          <w:rFonts w:hint="eastAsia" w:ascii="仿宋_GB2312" w:eastAsia="仿宋_GB2312"/>
          <w:sz w:val="32"/>
          <w:szCs w:val="32"/>
        </w:rPr>
        <w:t>2．管理工作</w:t>
      </w:r>
    </w:p>
    <w:p w14:paraId="69ABEBB4">
      <w:pPr>
        <w:spacing w:line="560" w:lineRule="exact"/>
        <w:ind w:firstLine="555"/>
        <w:rPr>
          <w:rFonts w:ascii="仿宋_GB2312" w:eastAsia="仿宋_GB2312"/>
          <w:sz w:val="32"/>
          <w:szCs w:val="32"/>
        </w:rPr>
      </w:pPr>
      <w:r>
        <w:rPr>
          <w:rFonts w:hint="eastAsia" w:ascii="仿宋_GB2312" w:eastAsia="仿宋_GB2312"/>
          <w:sz w:val="32"/>
          <w:szCs w:val="32"/>
        </w:rPr>
        <w:t>依法办园加大对常态工作的监督与指导，依托润心文化理念，采用灵活的管理方法，不断健全和完善各项规章制度，形成良性运行机制。</w:t>
      </w:r>
    </w:p>
    <w:p w14:paraId="1607860C">
      <w:pPr>
        <w:spacing w:line="560" w:lineRule="exact"/>
        <w:ind w:firstLine="640" w:firstLineChars="200"/>
        <w:rPr>
          <w:rFonts w:ascii="仿宋_GB2312" w:eastAsia="仿宋_GB2312"/>
          <w:sz w:val="32"/>
          <w:szCs w:val="32"/>
        </w:rPr>
      </w:pPr>
      <w:r>
        <w:rPr>
          <w:rFonts w:hint="eastAsia" w:ascii="仿宋_GB2312" w:eastAsia="仿宋_GB2312"/>
          <w:sz w:val="32"/>
          <w:szCs w:val="32"/>
        </w:rPr>
        <w:t>3．保教工作</w:t>
      </w:r>
    </w:p>
    <w:p w14:paraId="4A63A43D">
      <w:pPr>
        <w:spacing w:line="560" w:lineRule="exact"/>
        <w:ind w:firstLine="555"/>
        <w:rPr>
          <w:rFonts w:ascii="仿宋_GB2312" w:eastAsia="仿宋_GB2312"/>
          <w:sz w:val="32"/>
          <w:szCs w:val="32"/>
        </w:rPr>
      </w:pPr>
      <w:r>
        <w:rPr>
          <w:rFonts w:hint="eastAsia" w:ascii="仿宋_GB2312" w:eastAsia="仿宋_GB2312"/>
          <w:sz w:val="32"/>
          <w:szCs w:val="32"/>
        </w:rPr>
        <w:t>（1）计划管理与过程性管理相结合，以提高常态保教工作质量为重点，加强教学常规管理，切实促进幼儿全面快乐发展。</w:t>
      </w:r>
    </w:p>
    <w:p w14:paraId="6C9BAA6F">
      <w:pPr>
        <w:numPr>
          <w:ilvl w:val="0"/>
          <w:numId w:val="3"/>
        </w:numPr>
        <w:spacing w:line="560" w:lineRule="exact"/>
        <w:ind w:firstLine="555"/>
        <w:rPr>
          <w:rFonts w:ascii="仿宋_GB2312" w:eastAsia="仿宋_GB2312"/>
          <w:sz w:val="32"/>
          <w:szCs w:val="32"/>
        </w:rPr>
      </w:pPr>
      <w:r>
        <w:rPr>
          <w:rFonts w:hint="eastAsia" w:ascii="仿宋_GB2312" w:eastAsia="仿宋_GB2312"/>
          <w:sz w:val="32"/>
          <w:szCs w:val="32"/>
        </w:rPr>
        <w:t>深入课程建设，目标、过程规范化，生活化，促课程内涵提升。</w:t>
      </w:r>
    </w:p>
    <w:p w14:paraId="24267004">
      <w:pPr>
        <w:spacing w:line="560" w:lineRule="exact"/>
        <w:ind w:firstLine="640" w:firstLineChars="200"/>
        <w:rPr>
          <w:rFonts w:ascii="仿宋_GB2312" w:eastAsia="仿宋_GB2312"/>
          <w:sz w:val="32"/>
          <w:szCs w:val="32"/>
        </w:rPr>
      </w:pPr>
      <w:r>
        <w:rPr>
          <w:rFonts w:hint="eastAsia" w:ascii="仿宋_GB2312" w:eastAsia="仿宋_GB2312"/>
          <w:sz w:val="32"/>
          <w:szCs w:val="32"/>
        </w:rPr>
        <w:t>4．卫生保健工作</w:t>
      </w:r>
    </w:p>
    <w:p w14:paraId="0EE3FF84">
      <w:pPr>
        <w:spacing w:line="560" w:lineRule="exact"/>
        <w:ind w:firstLine="555"/>
        <w:rPr>
          <w:rFonts w:ascii="仿宋_GB2312" w:eastAsia="仿宋_GB2312"/>
          <w:sz w:val="32"/>
          <w:szCs w:val="32"/>
        </w:rPr>
      </w:pPr>
      <w:r>
        <w:rPr>
          <w:rFonts w:hint="eastAsia" w:ascii="仿宋_GB2312" w:eastAsia="仿宋_GB2312"/>
          <w:sz w:val="32"/>
          <w:szCs w:val="32"/>
        </w:rPr>
        <w:t>（1）加强幼儿体格锻炼及体能常规工作的管理。</w:t>
      </w:r>
    </w:p>
    <w:p w14:paraId="36321CAF">
      <w:pPr>
        <w:spacing w:line="560" w:lineRule="exact"/>
        <w:ind w:firstLine="555"/>
        <w:rPr>
          <w:rFonts w:ascii="仿宋_GB2312" w:eastAsia="仿宋_GB2312"/>
          <w:sz w:val="32"/>
          <w:szCs w:val="32"/>
        </w:rPr>
      </w:pPr>
      <w:r>
        <w:rPr>
          <w:rFonts w:hint="eastAsia" w:ascii="仿宋_GB2312" w:eastAsia="仿宋_GB2312"/>
          <w:sz w:val="32"/>
          <w:szCs w:val="32"/>
        </w:rPr>
        <w:t>（2）“一日三巡”高质量做好常规工作，卫生保健工作再上新台阶。</w:t>
      </w:r>
    </w:p>
    <w:p w14:paraId="02F70F5F">
      <w:pPr>
        <w:spacing w:line="560" w:lineRule="exact"/>
        <w:ind w:firstLine="555"/>
        <w:rPr>
          <w:rFonts w:ascii="仿宋_GB2312" w:eastAsia="仿宋_GB2312"/>
          <w:sz w:val="32"/>
          <w:szCs w:val="32"/>
        </w:rPr>
      </w:pPr>
      <w:r>
        <w:rPr>
          <w:rFonts w:hint="eastAsia" w:ascii="仿宋_GB2312" w:eastAsia="仿宋_GB2312"/>
          <w:sz w:val="32"/>
          <w:szCs w:val="32"/>
        </w:rPr>
        <w:t>5．总务后勤工作</w:t>
      </w:r>
    </w:p>
    <w:p w14:paraId="7DFEF440">
      <w:pPr>
        <w:spacing w:line="560" w:lineRule="exact"/>
        <w:ind w:firstLine="555"/>
        <w:rPr>
          <w:rFonts w:ascii="仿宋_GB2312" w:eastAsia="仿宋_GB2312"/>
          <w:sz w:val="32"/>
          <w:szCs w:val="32"/>
        </w:rPr>
      </w:pPr>
      <w:r>
        <w:rPr>
          <w:rFonts w:hint="eastAsia" w:ascii="仿宋_GB2312" w:eastAsia="仿宋_GB2312"/>
          <w:sz w:val="32"/>
          <w:szCs w:val="32"/>
        </w:rPr>
        <w:t>（1）严格落实安全主体责任，健全各项安全风险防控体系，加强管理力度，初步实现我园安全工作数字化管理。</w:t>
      </w:r>
    </w:p>
    <w:p w14:paraId="0E01B890">
      <w:pPr>
        <w:spacing w:line="560" w:lineRule="exact"/>
        <w:ind w:firstLine="555"/>
        <w:rPr>
          <w:rFonts w:ascii="仿宋_GB2312" w:eastAsia="仿宋_GB2312"/>
          <w:sz w:val="32"/>
          <w:szCs w:val="32"/>
        </w:rPr>
      </w:pPr>
      <w:r>
        <w:rPr>
          <w:rFonts w:hint="eastAsia" w:ascii="仿宋_GB2312" w:eastAsia="仿宋_GB2312"/>
          <w:sz w:val="32"/>
          <w:szCs w:val="32"/>
        </w:rPr>
        <w:t>（2）倡导绿色环保理念，结合副中心发展要求，充分利用有限资源，深化建设，体现节约型幼儿园的风采。</w:t>
      </w:r>
    </w:p>
    <w:p w14:paraId="34E3184B">
      <w:pPr>
        <w:spacing w:line="560" w:lineRule="exact"/>
        <w:ind w:firstLine="555"/>
        <w:rPr>
          <w:rFonts w:ascii="仿宋_GB2312" w:eastAsia="仿宋_GB2312"/>
          <w:sz w:val="32"/>
          <w:szCs w:val="32"/>
        </w:rPr>
      </w:pPr>
      <w:r>
        <w:rPr>
          <w:rFonts w:hint="eastAsia" w:ascii="仿宋_GB2312" w:eastAsia="仿宋_GB2312"/>
          <w:sz w:val="32"/>
          <w:szCs w:val="32"/>
        </w:rPr>
        <w:t>（3）加强固定资产管理。</w:t>
      </w:r>
    </w:p>
    <w:p w14:paraId="706F7E1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07CA60D1">
      <w:pPr>
        <w:spacing w:line="560" w:lineRule="exact"/>
        <w:ind w:firstLine="555"/>
        <w:rPr>
          <w:rFonts w:ascii="仿宋_GB2312" w:eastAsia="仿宋_GB2312"/>
          <w:sz w:val="32"/>
          <w:szCs w:val="32"/>
        </w:rPr>
      </w:pPr>
      <w:r>
        <w:rPr>
          <w:rFonts w:hint="eastAsia" w:ascii="仿宋_GB2312" w:eastAsia="仿宋_GB2312"/>
          <w:sz w:val="32"/>
          <w:szCs w:val="32"/>
        </w:rPr>
        <w:t>2022年收入预算964.87万元，比2021年147.96万元增加816.91万元，增长552.12%。其中：财政拨款964.87万元，比2021年147.96万元增加816.91万元；统筹使用结余资金安排预算0万元，与2021年0万元持平；其他资金0万元，与2021年0万元持平。</w:t>
      </w:r>
    </w:p>
    <w:p w14:paraId="11777CC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7DB1BD00">
      <w:pPr>
        <w:spacing w:line="560" w:lineRule="exact"/>
        <w:ind w:firstLine="555"/>
        <w:rPr>
          <w:rFonts w:ascii="仿宋_GB2312" w:eastAsia="仿宋_GB2312"/>
          <w:sz w:val="32"/>
          <w:szCs w:val="32"/>
        </w:rPr>
      </w:pPr>
      <w:r>
        <w:rPr>
          <w:rFonts w:hint="eastAsia" w:ascii="仿宋_GB2312" w:eastAsia="仿宋_GB2312"/>
          <w:sz w:val="32"/>
          <w:szCs w:val="32"/>
        </w:rPr>
        <w:t>（一）基本支出预算964.87万元，占总支出预算100 %，比2021年147.96万元增加816.91万元，增长552.12%，主要增加原因为人员经费增加。</w:t>
      </w:r>
    </w:p>
    <w:p w14:paraId="0A5431B6">
      <w:pPr>
        <w:spacing w:line="560" w:lineRule="exact"/>
        <w:ind w:firstLine="555"/>
        <w:rPr>
          <w:rFonts w:ascii="仿宋_GB2312" w:eastAsia="仿宋_GB2312"/>
          <w:sz w:val="32"/>
          <w:szCs w:val="32"/>
        </w:rPr>
      </w:pPr>
      <w:r>
        <w:rPr>
          <w:rFonts w:hint="eastAsia" w:ascii="仿宋_GB2312" w:eastAsia="仿宋_GB2312"/>
          <w:sz w:val="32"/>
          <w:szCs w:val="32"/>
        </w:rPr>
        <w:t>（二）项目支出预算0万元，与2021年0万元持平。</w:t>
      </w:r>
    </w:p>
    <w:p w14:paraId="48AC2247">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486E9891">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51D0FE3A">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26EF4A7E">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34997450">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02D58F55">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16825927">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40A34CE8">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4DEFFDED">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729E56D1">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042AD25F">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1B97BF7A">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64E45240">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63A79F2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247EE295">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7AC23C93">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07185BE5">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732FFF9E">
      <w:pPr>
        <w:spacing w:line="560" w:lineRule="exact"/>
        <w:ind w:firstLine="800" w:firstLineChars="250"/>
        <w:rPr>
          <w:rFonts w:ascii="仿宋_GB2312" w:eastAsia="仿宋_GB2312"/>
          <w:sz w:val="32"/>
          <w:szCs w:val="32"/>
        </w:rPr>
      </w:pPr>
      <w:r>
        <w:rPr>
          <w:rFonts w:hint="eastAsia" w:ascii="仿宋_GB2312" w:eastAsia="仿宋_GB2312"/>
          <w:sz w:val="32"/>
          <w:szCs w:val="32"/>
        </w:rPr>
        <w:t>保育教育费：收费依据市发展改革委、市教委和市财政局《关于规范本市幼儿园收费有关问题的通知》（京发改规〔2012〕4号），收费标准：市级示范园900元/生.月，收入预计220万元，支出已纳入一般预算统筹使用。</w:t>
      </w:r>
    </w:p>
    <w:p w14:paraId="53AC4FF0">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278597A5">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2313362F">
      <w:pPr>
        <w:spacing w:line="560" w:lineRule="exact"/>
        <w:ind w:firstLine="640" w:firstLineChars="200"/>
        <w:rPr>
          <w:rFonts w:ascii="仿宋_GB2312" w:eastAsia="仿宋_GB2312"/>
          <w:sz w:val="32"/>
          <w:szCs w:val="32"/>
        </w:rPr>
      </w:pPr>
      <w:r>
        <w:rPr>
          <w:rFonts w:hint="eastAsia" w:ascii="仿宋_GB2312" w:eastAsia="仿宋_GB2312"/>
          <w:sz w:val="32"/>
          <w:szCs w:val="32"/>
        </w:rPr>
        <w:t>截止202</w:t>
      </w:r>
      <w:r>
        <w:rPr>
          <w:rFonts w:ascii="仿宋_GB2312" w:eastAsia="仿宋_GB2312"/>
          <w:sz w:val="32"/>
          <w:szCs w:val="32"/>
        </w:rPr>
        <w:t>1</w:t>
      </w:r>
      <w:r>
        <w:rPr>
          <w:rFonts w:hint="eastAsia" w:ascii="仿宋_GB2312" w:eastAsia="仿宋_GB2312"/>
          <w:sz w:val="32"/>
          <w:szCs w:val="32"/>
        </w:rPr>
        <w:t>年12月31日，本单位货币资金182.42万元（其中银行存款182.36万元），房屋0万元，车辆29.04万元，在建工程0万元。</w:t>
      </w:r>
    </w:p>
    <w:p w14:paraId="07AC4B58">
      <w:pPr>
        <w:spacing w:line="560" w:lineRule="exact"/>
        <w:ind w:firstLine="640" w:firstLineChars="200"/>
        <w:rPr>
          <w:rFonts w:ascii="仿宋_GB2312" w:eastAsia="仿宋_GB2312"/>
          <w:sz w:val="32"/>
          <w:szCs w:val="32"/>
        </w:rPr>
      </w:pPr>
      <w:r>
        <w:rPr>
          <w:rFonts w:hint="eastAsia" w:ascii="仿宋_GB2312" w:eastAsia="仿宋_GB2312"/>
          <w:sz w:val="32"/>
          <w:szCs w:val="32"/>
        </w:rPr>
        <w:t>截至2021年12月31日，本单位共有车辆1辆。</w:t>
      </w:r>
    </w:p>
    <w:p w14:paraId="5F7C8F7B">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4F495A53">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4AA87029">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7A8C5F37">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6104BC98">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2A3FC698">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273F68B6">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419DAD0B">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768ECFF0">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2D8AF115">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4E40F765">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051C23BE">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0C3A9A68">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6EF53F6C">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1034668C">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75FB211C">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393EF382">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23575356">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39B6E08F"/>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C9C59">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8</w:t>
    </w:r>
    <w:r>
      <w:rPr>
        <w:rStyle w:val="7"/>
      </w:rPr>
      <w:fldChar w:fldCharType="end"/>
    </w:r>
  </w:p>
  <w:p w14:paraId="55A5AB5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01326">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49FD548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abstractNum w:abstractNumId="1">
    <w:nsid w:val="0DD84D45"/>
    <w:multiLevelType w:val="multilevel"/>
    <w:tmpl w:val="0DD84D45"/>
    <w:lvl w:ilvl="0" w:tentative="0">
      <w:start w:val="1"/>
      <w:numFmt w:val="decimal"/>
      <w:lvlText w:val="%1."/>
      <w:lvlJc w:val="left"/>
      <w:pPr>
        <w:ind w:left="1305" w:hanging="360"/>
      </w:pPr>
      <w:rPr>
        <w:rFonts w:hint="default"/>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2">
    <w:nsid w:val="78AF4120"/>
    <w:multiLevelType w:val="singleLevel"/>
    <w:tmpl w:val="78AF4120"/>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0107DD"/>
    <w:rsid w:val="00021A44"/>
    <w:rsid w:val="001F517C"/>
    <w:rsid w:val="00253596"/>
    <w:rsid w:val="003A4AC9"/>
    <w:rsid w:val="003F1A4E"/>
    <w:rsid w:val="004A7E85"/>
    <w:rsid w:val="00514F17"/>
    <w:rsid w:val="00527E78"/>
    <w:rsid w:val="005B10A2"/>
    <w:rsid w:val="005C470E"/>
    <w:rsid w:val="005D6EF2"/>
    <w:rsid w:val="006D1A58"/>
    <w:rsid w:val="006F1F43"/>
    <w:rsid w:val="00793C5E"/>
    <w:rsid w:val="007C415F"/>
    <w:rsid w:val="00887E07"/>
    <w:rsid w:val="009D023F"/>
    <w:rsid w:val="00A364D2"/>
    <w:rsid w:val="00A7491C"/>
    <w:rsid w:val="00A8062C"/>
    <w:rsid w:val="00A87F8D"/>
    <w:rsid w:val="00AB4CCE"/>
    <w:rsid w:val="00B471ED"/>
    <w:rsid w:val="00B761E5"/>
    <w:rsid w:val="00C4523D"/>
    <w:rsid w:val="00CB2EAD"/>
    <w:rsid w:val="00CB304E"/>
    <w:rsid w:val="00CD0F5F"/>
    <w:rsid w:val="00D97B70"/>
    <w:rsid w:val="00E852EF"/>
    <w:rsid w:val="00F11C3F"/>
    <w:rsid w:val="00F1753C"/>
    <w:rsid w:val="00FB57D2"/>
    <w:rsid w:val="00FC4572"/>
    <w:rsid w:val="1B7673D4"/>
    <w:rsid w:val="310A5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page number"/>
    <w:uiPriority w:val="0"/>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qFormat/>
    <w:uiPriority w:val="99"/>
    <w:rPr>
      <w:sz w:val="18"/>
      <w:szCs w:val="18"/>
    </w:rPr>
  </w:style>
  <w:style w:type="character" w:customStyle="1" w:styleId="10">
    <w:name w:val="页脚 字符"/>
    <w:uiPriority w:val="0"/>
    <w:rPr>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3425</Words>
  <Characters>3628</Characters>
  <Lines>26</Lines>
  <Paragraphs>7</Paragraphs>
  <TotalTime>91</TotalTime>
  <ScaleCrop>false</ScaleCrop>
  <LinksUpToDate>false</LinksUpToDate>
  <CharactersWithSpaces>3635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薛志斌</cp:lastModifiedBy>
  <dcterms:modified xsi:type="dcterms:W3CDTF">2025-04-10T06:36:18Z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eyJoZGlkIjoiMWQzZWMwNzIwMzUzZjgwZDM2MTIwMGVhYmE0YmUyNmEiLCJ1c2VySWQiOiIxNjY2OTAwMDI3In0=</vt:lpwstr>
  </property>
  <property fmtid="{D5CDD505-2E9C-101B-9397-08002B2CF9AE}" pid="3" name="KSOProductBuildVer">
    <vt:lpwstr>2052-12.1.0.20305</vt:lpwstr>
  </property>
  <property fmtid="{D5CDD505-2E9C-101B-9397-08002B2CF9AE}" pid="4" name="ICV">
    <vt:lpwstr>1A78CE2A960C46C89A790B16A271154B_12</vt:lpwstr>
  </property>
</Properties>
</file>