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94658">
      <w:pPr>
        <w:spacing w:line="560" w:lineRule="exact"/>
        <w:jc w:val="center"/>
        <w:rPr>
          <w:rFonts w:ascii="方正小标宋简体" w:hAnsi="微软雅黑" w:eastAsia="方正小标宋简体" w:cs="宋体"/>
          <w:b/>
          <w:bCs/>
          <w:color w:val="333333"/>
          <w:kern w:val="0"/>
          <w:sz w:val="44"/>
          <w:szCs w:val="44"/>
        </w:rPr>
      </w:pPr>
      <w:r>
        <w:rPr>
          <w:rFonts w:hint="eastAsia" w:ascii="方正小标宋简体" w:hAnsi="微软雅黑" w:eastAsia="方正小标宋简体" w:cs="宋体"/>
          <w:b/>
          <w:bCs/>
          <w:color w:val="333333"/>
          <w:kern w:val="0"/>
          <w:sz w:val="44"/>
          <w:szCs w:val="44"/>
        </w:rPr>
        <w:t>北京市通州区</w:t>
      </w:r>
      <w:r>
        <w:rPr>
          <w:rFonts w:ascii="方正小标宋简体" w:hAnsi="微软雅黑" w:eastAsia="方正小标宋简体" w:cs="宋体"/>
          <w:b/>
          <w:bCs/>
          <w:color w:val="333333"/>
          <w:kern w:val="0"/>
          <w:sz w:val="44"/>
          <w:szCs w:val="44"/>
        </w:rPr>
        <w:t>教职</w:t>
      </w:r>
      <w:bookmarkStart w:id="1" w:name="_GoBack"/>
      <w:bookmarkEnd w:id="1"/>
      <w:r>
        <w:rPr>
          <w:rFonts w:ascii="方正小标宋简体" w:hAnsi="微软雅黑" w:eastAsia="方正小标宋简体" w:cs="宋体"/>
          <w:b/>
          <w:bCs/>
          <w:color w:val="333333"/>
          <w:kern w:val="0"/>
          <w:sz w:val="44"/>
          <w:szCs w:val="44"/>
        </w:rPr>
        <w:t>工活动中心</w:t>
      </w:r>
    </w:p>
    <w:p w14:paraId="4404907C">
      <w:pPr>
        <w:spacing w:line="560" w:lineRule="exact"/>
        <w:jc w:val="center"/>
        <w:rPr>
          <w:rFonts w:ascii="方正小标宋简体" w:hAnsi="微软雅黑" w:eastAsia="方正小标宋简体" w:cs="宋体"/>
          <w:b/>
          <w:bCs/>
          <w:color w:val="333333"/>
          <w:kern w:val="0"/>
          <w:sz w:val="44"/>
          <w:szCs w:val="44"/>
        </w:rPr>
      </w:pPr>
      <w:r>
        <w:rPr>
          <w:rFonts w:hint="eastAsia" w:ascii="方正小标宋简体" w:hAnsi="微软雅黑" w:eastAsia="方正小标宋简体" w:cs="宋体"/>
          <w:b/>
          <w:bCs/>
          <w:color w:val="333333"/>
          <w:kern w:val="0"/>
          <w:sz w:val="44"/>
          <w:szCs w:val="44"/>
        </w:rPr>
        <w:t>2022年预算情况说明</w:t>
      </w:r>
    </w:p>
    <w:p w14:paraId="0B13BF8E">
      <w:pPr>
        <w:spacing w:line="560" w:lineRule="exact"/>
        <w:jc w:val="center"/>
        <w:rPr>
          <w:rFonts w:ascii="方正小标宋简体" w:hAnsi="微软雅黑" w:eastAsia="方正小标宋简体" w:cs="宋体"/>
          <w:b/>
          <w:bCs/>
          <w:color w:val="333333"/>
          <w:kern w:val="0"/>
          <w:sz w:val="44"/>
          <w:szCs w:val="44"/>
        </w:rPr>
      </w:pPr>
    </w:p>
    <w:p w14:paraId="45ED1F6F">
      <w:pPr>
        <w:widowControl/>
        <w:spacing w:after="240" w:line="560" w:lineRule="exact"/>
        <w:ind w:firstLine="480"/>
        <w:jc w:val="center"/>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目    录</w:t>
      </w:r>
    </w:p>
    <w:p w14:paraId="4F6D5AF8">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7A6910B7">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2DBDB77C">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1B3D5ED1">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四、2022年度单位“三公”经费财政拨款预算说明</w:t>
      </w:r>
    </w:p>
    <w:p w14:paraId="39D6B617">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五、2022年度其他重要事项的情况说明</w:t>
      </w:r>
    </w:p>
    <w:p w14:paraId="7CB05219">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50A03DF5">
      <w:pPr>
        <w:spacing w:line="560" w:lineRule="exact"/>
        <w:ind w:firstLine="643" w:firstLineChars="200"/>
        <w:outlineLvl w:val="0"/>
        <w:rPr>
          <w:rFonts w:ascii="仿宋_GB2312" w:eastAsia="仿宋_GB2312"/>
          <w:b/>
          <w:sz w:val="32"/>
          <w:szCs w:val="32"/>
        </w:rPr>
      </w:pPr>
    </w:p>
    <w:p w14:paraId="0F397920">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43EFFEF1">
      <w:pPr>
        <w:numPr>
          <w:ilvl w:val="0"/>
          <w:numId w:val="1"/>
        </w:numPr>
        <w:spacing w:line="560" w:lineRule="exact"/>
        <w:ind w:firstLine="555"/>
        <w:rPr>
          <w:rFonts w:ascii="仿宋_GB2312" w:eastAsia="仿宋_GB2312"/>
          <w:sz w:val="32"/>
          <w:szCs w:val="32"/>
        </w:rPr>
      </w:pPr>
      <w:r>
        <w:rPr>
          <w:rFonts w:hint="eastAsia" w:ascii="仿宋_GB2312" w:eastAsia="仿宋_GB2312"/>
          <w:sz w:val="32"/>
          <w:szCs w:val="32"/>
        </w:rPr>
        <w:t>单位机构设置、主要职责</w:t>
      </w:r>
    </w:p>
    <w:p w14:paraId="179121DF">
      <w:pPr>
        <w:spacing w:line="560" w:lineRule="atLeast"/>
        <w:ind w:firstLine="640" w:firstLineChars="200"/>
        <w:jc w:val="left"/>
        <w:rPr>
          <w:rFonts w:hint="eastAsia" w:ascii="仿宋_GB2312" w:eastAsia="仿宋_GB2312"/>
          <w:sz w:val="32"/>
          <w:szCs w:val="32"/>
        </w:rPr>
      </w:pPr>
      <w:r>
        <w:rPr>
          <w:rFonts w:hint="eastAsia" w:ascii="仿宋_GB2312" w:eastAsia="仿宋_GB2312"/>
          <w:sz w:val="32"/>
          <w:szCs w:val="32"/>
        </w:rPr>
        <w:t xml:space="preserve"> 北京市通州区</w:t>
      </w:r>
      <w:r>
        <w:rPr>
          <w:rFonts w:ascii="仿宋_GB2312" w:eastAsia="仿宋_GB2312"/>
          <w:sz w:val="32"/>
          <w:szCs w:val="32"/>
        </w:rPr>
        <w:t>教职工活动</w:t>
      </w:r>
      <w:r>
        <w:rPr>
          <w:rFonts w:hint="eastAsia" w:ascii="仿宋_GB2312" w:eastAsia="仿宋_GB2312"/>
          <w:sz w:val="32"/>
          <w:szCs w:val="32"/>
        </w:rPr>
        <w:t>中心成立于1986年</w:t>
      </w:r>
      <w:r>
        <w:rPr>
          <w:rFonts w:ascii="仿宋_GB2312" w:eastAsia="仿宋_GB2312"/>
          <w:sz w:val="32"/>
          <w:szCs w:val="32"/>
        </w:rPr>
        <w:t>，</w:t>
      </w:r>
      <w:r>
        <w:rPr>
          <w:rFonts w:hint="eastAsia" w:ascii="仿宋_GB2312" w:eastAsia="仿宋_GB2312"/>
          <w:sz w:val="32"/>
          <w:szCs w:val="32"/>
        </w:rPr>
        <w:t>位于通州区新华</w:t>
      </w:r>
      <w:r>
        <w:rPr>
          <w:rFonts w:ascii="仿宋_GB2312" w:eastAsia="仿宋_GB2312"/>
          <w:sz w:val="32"/>
          <w:szCs w:val="32"/>
        </w:rPr>
        <w:t>西街甲</w:t>
      </w:r>
      <w:r>
        <w:rPr>
          <w:rFonts w:hint="eastAsia" w:ascii="仿宋_GB2312" w:eastAsia="仿宋_GB2312"/>
          <w:sz w:val="32"/>
          <w:szCs w:val="32"/>
        </w:rPr>
        <w:t>18号，成立</w:t>
      </w:r>
      <w:r>
        <w:rPr>
          <w:rFonts w:ascii="仿宋_GB2312" w:eastAsia="仿宋_GB2312"/>
          <w:sz w:val="32"/>
          <w:szCs w:val="32"/>
        </w:rPr>
        <w:t>宗旨和业务</w:t>
      </w:r>
      <w:r>
        <w:rPr>
          <w:rFonts w:hint="eastAsia" w:ascii="仿宋_GB2312" w:eastAsia="仿宋_GB2312"/>
          <w:sz w:val="32"/>
          <w:szCs w:val="32"/>
        </w:rPr>
        <w:t>范围</w:t>
      </w:r>
      <w:r>
        <w:rPr>
          <w:rFonts w:ascii="仿宋_GB2312" w:eastAsia="仿宋_GB2312"/>
          <w:sz w:val="32"/>
          <w:szCs w:val="32"/>
        </w:rPr>
        <w:t>为：</w:t>
      </w:r>
      <w:r>
        <w:rPr>
          <w:rFonts w:hint="eastAsia" w:ascii="仿宋_GB2312" w:eastAsia="仿宋_GB2312"/>
          <w:sz w:val="32"/>
          <w:szCs w:val="32"/>
        </w:rPr>
        <w:t>为教育系统教职工各项活动提供相关服务。主要承担组织教职工参加文化、艺术、体育、休闲等活动，促进教职工广泛交流。关心关爱教职工，构建舒适完善便利的服务体系。引导离退休教职工发挥所长，积极服务社会，承担教育史志编纂工作。我单位现有内设机构分别为：主任室、办公室、</w:t>
      </w:r>
      <w:r>
        <w:rPr>
          <w:rFonts w:ascii="仿宋_GB2312" w:eastAsia="仿宋_GB2312"/>
          <w:sz w:val="32"/>
          <w:szCs w:val="32"/>
        </w:rPr>
        <w:t>离休科</w:t>
      </w:r>
      <w:r>
        <w:rPr>
          <w:rFonts w:hint="eastAsia" w:ascii="仿宋_GB2312" w:eastAsia="仿宋_GB2312"/>
          <w:sz w:val="32"/>
          <w:szCs w:val="32"/>
        </w:rPr>
        <w:t>、后勤科。主任室统筹安排单位全面工作。办公室在主任的直接领导下做好单位日常工作，协助主任制订、贯彻和落实工作计划，及检查执行情况。离休</w:t>
      </w:r>
      <w:r>
        <w:rPr>
          <w:rFonts w:ascii="仿宋_GB2312" w:eastAsia="仿宋_GB2312"/>
          <w:sz w:val="32"/>
          <w:szCs w:val="32"/>
        </w:rPr>
        <w:t>科</w:t>
      </w:r>
      <w:r>
        <w:rPr>
          <w:rFonts w:hint="eastAsia" w:ascii="仿宋_GB2312" w:eastAsia="仿宋_GB2312"/>
          <w:sz w:val="32"/>
          <w:szCs w:val="32"/>
        </w:rPr>
        <w:t>做好教育</w:t>
      </w:r>
      <w:r>
        <w:rPr>
          <w:rFonts w:ascii="仿宋_GB2312" w:eastAsia="仿宋_GB2312"/>
          <w:sz w:val="32"/>
          <w:szCs w:val="32"/>
        </w:rPr>
        <w:t>系统在职及</w:t>
      </w:r>
      <w:r>
        <w:rPr>
          <w:rFonts w:hint="eastAsia" w:ascii="仿宋_GB2312" w:eastAsia="仿宋_GB2312"/>
          <w:sz w:val="32"/>
          <w:szCs w:val="32"/>
        </w:rPr>
        <w:t>离退休</w:t>
      </w:r>
      <w:r>
        <w:rPr>
          <w:rFonts w:ascii="仿宋_GB2312" w:eastAsia="仿宋_GB2312"/>
          <w:sz w:val="32"/>
          <w:szCs w:val="32"/>
        </w:rPr>
        <w:t>老同志的服务工作，</w:t>
      </w:r>
      <w:r>
        <w:rPr>
          <w:rFonts w:hint="eastAsia" w:ascii="仿宋_GB2312" w:eastAsia="仿宋_GB2312"/>
          <w:sz w:val="32"/>
          <w:szCs w:val="32"/>
        </w:rPr>
        <w:t>积极帮助有</w:t>
      </w:r>
      <w:r>
        <w:rPr>
          <w:rFonts w:ascii="仿宋_GB2312" w:eastAsia="仿宋_GB2312"/>
          <w:sz w:val="32"/>
          <w:szCs w:val="32"/>
        </w:rPr>
        <w:t>困难的离退休教职工</w:t>
      </w:r>
      <w:r>
        <w:rPr>
          <w:rFonts w:hint="eastAsia" w:ascii="仿宋_GB2312" w:eastAsia="仿宋_GB2312"/>
          <w:sz w:val="32"/>
          <w:szCs w:val="32"/>
        </w:rPr>
        <w:t>排忧解难，组织在职及离退休</w:t>
      </w:r>
      <w:r>
        <w:rPr>
          <w:rFonts w:ascii="仿宋_GB2312" w:eastAsia="仿宋_GB2312"/>
          <w:sz w:val="32"/>
          <w:szCs w:val="32"/>
        </w:rPr>
        <w:t>教职工</w:t>
      </w:r>
      <w:r>
        <w:rPr>
          <w:rFonts w:hint="eastAsia" w:ascii="仿宋_GB2312" w:eastAsia="仿宋_GB2312"/>
          <w:sz w:val="32"/>
          <w:szCs w:val="32"/>
        </w:rPr>
        <w:t>进行</w:t>
      </w:r>
      <w:r>
        <w:rPr>
          <w:rFonts w:ascii="仿宋_GB2312" w:eastAsia="仿宋_GB2312"/>
          <w:sz w:val="32"/>
          <w:szCs w:val="32"/>
        </w:rPr>
        <w:t>各种</w:t>
      </w:r>
      <w:r>
        <w:rPr>
          <w:rFonts w:hint="eastAsia" w:ascii="仿宋_GB2312" w:eastAsia="仿宋_GB2312"/>
          <w:sz w:val="32"/>
          <w:szCs w:val="32"/>
        </w:rPr>
        <w:t>文化、艺术、体育、休闲等交流活动。后勤科为单位的后勤</w:t>
      </w:r>
      <w:r>
        <w:rPr>
          <w:rFonts w:ascii="仿宋_GB2312" w:eastAsia="仿宋_GB2312"/>
          <w:sz w:val="32"/>
          <w:szCs w:val="32"/>
        </w:rPr>
        <w:t>工作</w:t>
      </w:r>
      <w:r>
        <w:rPr>
          <w:rFonts w:hint="eastAsia" w:ascii="仿宋_GB2312" w:eastAsia="仿宋_GB2312"/>
          <w:sz w:val="32"/>
          <w:szCs w:val="32"/>
        </w:rPr>
        <w:t>提供</w:t>
      </w:r>
      <w:r>
        <w:rPr>
          <w:rFonts w:ascii="仿宋_GB2312" w:eastAsia="仿宋_GB2312"/>
          <w:sz w:val="32"/>
          <w:szCs w:val="32"/>
        </w:rPr>
        <w:t>保障。</w:t>
      </w:r>
    </w:p>
    <w:p w14:paraId="4C784E58">
      <w:pPr>
        <w:spacing w:line="560" w:lineRule="exact"/>
        <w:ind w:firstLine="480" w:firstLineChars="150"/>
        <w:rPr>
          <w:rFonts w:ascii="仿宋_GB2312" w:eastAsia="仿宋_GB2312"/>
          <w:sz w:val="32"/>
          <w:szCs w:val="32"/>
        </w:rPr>
      </w:pPr>
      <w:r>
        <w:rPr>
          <w:rFonts w:hint="eastAsia" w:ascii="仿宋_GB2312" w:eastAsia="仿宋_GB2312"/>
          <w:sz w:val="32"/>
          <w:szCs w:val="32"/>
        </w:rPr>
        <w:t>（二）人员构成情况</w:t>
      </w:r>
    </w:p>
    <w:p w14:paraId="13EDF566">
      <w:pPr>
        <w:spacing w:line="560" w:lineRule="exact"/>
        <w:ind w:firstLine="555"/>
        <w:rPr>
          <w:rFonts w:ascii="仿宋_GB2312" w:eastAsia="仿宋_GB2312"/>
          <w:sz w:val="32"/>
          <w:szCs w:val="32"/>
        </w:rPr>
      </w:pPr>
      <w:r>
        <w:rPr>
          <w:rFonts w:hint="eastAsia" w:ascii="仿宋_GB2312" w:eastAsia="仿宋_GB2312"/>
          <w:sz w:val="32"/>
          <w:szCs w:val="32"/>
        </w:rPr>
        <w:t xml:space="preserve">我单位事业编制  8 </w:t>
      </w:r>
      <w:r>
        <w:rPr>
          <w:rFonts w:ascii="仿宋_GB2312" w:eastAsia="仿宋_GB2312"/>
          <w:sz w:val="32"/>
          <w:szCs w:val="32"/>
        </w:rPr>
        <w:t xml:space="preserve"> </w:t>
      </w:r>
      <w:r>
        <w:rPr>
          <w:rFonts w:hint="eastAsia" w:ascii="仿宋_GB2312" w:eastAsia="仿宋_GB2312"/>
          <w:sz w:val="32"/>
          <w:szCs w:val="32"/>
        </w:rPr>
        <w:t xml:space="preserve">人，实际  9 </w:t>
      </w:r>
      <w:r>
        <w:rPr>
          <w:rFonts w:ascii="仿宋_GB2312" w:eastAsia="仿宋_GB2312"/>
          <w:sz w:val="32"/>
          <w:szCs w:val="32"/>
        </w:rPr>
        <w:t xml:space="preserve"> </w:t>
      </w:r>
      <w:r>
        <w:rPr>
          <w:rFonts w:hint="eastAsia" w:ascii="仿宋_GB2312" w:eastAsia="仿宋_GB2312"/>
          <w:sz w:val="32"/>
          <w:szCs w:val="32"/>
        </w:rPr>
        <w:t>人；聘用人员（包括其他聘用人员--临时工等）  2  人。</w:t>
      </w:r>
    </w:p>
    <w:p w14:paraId="702B6999">
      <w:pPr>
        <w:spacing w:line="560" w:lineRule="exact"/>
        <w:ind w:firstLine="555"/>
        <w:rPr>
          <w:rFonts w:ascii="仿宋_GB2312" w:eastAsia="仿宋_GB2312"/>
          <w:sz w:val="32"/>
          <w:szCs w:val="32"/>
        </w:rPr>
      </w:pPr>
      <w:r>
        <w:rPr>
          <w:rFonts w:hint="eastAsia" w:ascii="仿宋_GB2312" w:eastAsia="仿宋_GB2312"/>
          <w:sz w:val="32"/>
          <w:szCs w:val="32"/>
        </w:rPr>
        <w:t xml:space="preserve">离退休人员  22  人，其中：离休  0 </w:t>
      </w:r>
      <w:r>
        <w:rPr>
          <w:rFonts w:ascii="仿宋_GB2312" w:eastAsia="仿宋_GB2312"/>
          <w:sz w:val="32"/>
          <w:szCs w:val="32"/>
        </w:rPr>
        <w:t xml:space="preserve"> </w:t>
      </w:r>
      <w:r>
        <w:rPr>
          <w:rFonts w:hint="eastAsia" w:ascii="仿宋_GB2312" w:eastAsia="仿宋_GB2312"/>
          <w:sz w:val="32"/>
          <w:szCs w:val="32"/>
        </w:rPr>
        <w:t>人，退休  22  人。</w:t>
      </w:r>
    </w:p>
    <w:p w14:paraId="7E7CB5DA">
      <w:pPr>
        <w:spacing w:line="560" w:lineRule="exact"/>
        <w:ind w:firstLine="555"/>
        <w:rPr>
          <w:rFonts w:ascii="仿宋_GB2312" w:eastAsia="仿宋_GB2312"/>
          <w:sz w:val="32"/>
          <w:szCs w:val="32"/>
        </w:rPr>
      </w:pPr>
      <w:r>
        <w:rPr>
          <w:rFonts w:hint="eastAsia" w:ascii="仿宋_GB2312" w:eastAsia="仿宋_GB2312"/>
          <w:sz w:val="32"/>
          <w:szCs w:val="32"/>
        </w:rPr>
        <w:t>（三）本预算年度的主要工作任务</w:t>
      </w:r>
    </w:p>
    <w:p w14:paraId="51EECE8B">
      <w:pPr>
        <w:spacing w:line="560" w:lineRule="exact"/>
        <w:ind w:firstLine="555"/>
        <w:rPr>
          <w:rFonts w:ascii="仿宋_GB2312" w:eastAsia="仿宋_GB2312"/>
          <w:sz w:val="32"/>
          <w:szCs w:val="32"/>
        </w:rPr>
      </w:pPr>
      <w:r>
        <w:rPr>
          <w:rFonts w:hint="eastAsia" w:ascii="仿宋_GB2312" w:eastAsia="仿宋_GB2312"/>
          <w:sz w:val="32"/>
          <w:szCs w:val="32"/>
        </w:rPr>
        <w:t>我单位全面贯彻党的各项方针政策，确保中央、市委、区委和区委教育工委重大决策部署在教职工活动中心贯彻落实。坚决落实“四个意识”，做到“两个维护”，始终在政治立场、政治方向、政治原则、政治道路上同党中央保持高度一致，深入学习，做学习型团队，抓管理，抓队伍，抓服务，打造积极进取和谐向上的团队，努力办好教职工满意的活动中心。</w:t>
      </w:r>
    </w:p>
    <w:p w14:paraId="39091B1E">
      <w:pPr>
        <w:spacing w:line="560" w:lineRule="exact"/>
        <w:ind w:firstLine="555"/>
        <w:rPr>
          <w:rFonts w:ascii="仿宋_GB2312" w:eastAsia="仿宋_GB2312"/>
          <w:sz w:val="32"/>
          <w:szCs w:val="32"/>
        </w:rPr>
      </w:pPr>
      <w:r>
        <w:rPr>
          <w:rFonts w:hint="eastAsia" w:ascii="仿宋_GB2312" w:eastAsia="仿宋_GB2312"/>
          <w:sz w:val="32"/>
          <w:szCs w:val="32"/>
        </w:rPr>
        <w:t>1.加强理论学习，突出政治引领</w:t>
      </w:r>
    </w:p>
    <w:p w14:paraId="2495F9EA">
      <w:pPr>
        <w:spacing w:line="560" w:lineRule="exact"/>
        <w:ind w:firstLine="555"/>
        <w:rPr>
          <w:rFonts w:ascii="仿宋_GB2312" w:eastAsia="仿宋_GB2312"/>
          <w:sz w:val="32"/>
          <w:szCs w:val="32"/>
        </w:rPr>
      </w:pPr>
      <w:r>
        <w:rPr>
          <w:rFonts w:hint="eastAsia" w:ascii="仿宋_GB2312" w:eastAsia="仿宋_GB2312"/>
          <w:sz w:val="32"/>
          <w:szCs w:val="32"/>
        </w:rPr>
        <w:t>继续强化用理论武装头脑，突出政治引领。加强政治理论学习，丰富学习形式，努力提升党员干部的政治理论修养，做好宣传和贯彻党的理论路线方针政策及上级党组织布置的各项工作。</w:t>
      </w:r>
    </w:p>
    <w:p w14:paraId="6B639765">
      <w:pPr>
        <w:spacing w:line="560" w:lineRule="exact"/>
        <w:ind w:firstLine="555"/>
        <w:rPr>
          <w:rFonts w:hint="eastAsia" w:ascii="仿宋_GB2312" w:eastAsia="仿宋_GB2312"/>
          <w:sz w:val="32"/>
          <w:szCs w:val="32"/>
        </w:rPr>
      </w:pPr>
      <w:r>
        <w:rPr>
          <w:rFonts w:hint="eastAsia" w:ascii="仿宋_GB2312" w:eastAsia="仿宋_GB2312"/>
          <w:sz w:val="32"/>
          <w:szCs w:val="32"/>
        </w:rPr>
        <w:t xml:space="preserve">2.加强管理，提升服务质量   </w:t>
      </w:r>
    </w:p>
    <w:p w14:paraId="6BCEF3C4">
      <w:pPr>
        <w:spacing w:line="560" w:lineRule="exact"/>
        <w:ind w:firstLine="555"/>
        <w:rPr>
          <w:rFonts w:hint="eastAsia" w:ascii="仿宋_GB2312" w:eastAsia="仿宋_GB2312"/>
          <w:sz w:val="32"/>
          <w:szCs w:val="32"/>
        </w:rPr>
      </w:pPr>
      <w:r>
        <w:rPr>
          <w:rFonts w:ascii="仿宋_GB2312" w:eastAsia="仿宋_GB2312"/>
          <w:sz w:val="32"/>
          <w:szCs w:val="32"/>
        </w:rPr>
        <w:t>在离退休教职工中开展对中心工作的工作意见、建议调查工作，深入了解离退休教职工的意见和需求，为我们做好服务奠定基础。进一步做好</w:t>
      </w:r>
      <w:r>
        <w:rPr>
          <w:rFonts w:hint="eastAsia" w:ascii="仿宋_GB2312" w:eastAsia="仿宋_GB2312"/>
          <w:sz w:val="32"/>
          <w:szCs w:val="32"/>
        </w:rPr>
        <w:t>离退休</w:t>
      </w:r>
      <w:r>
        <w:rPr>
          <w:rFonts w:ascii="仿宋_GB2312" w:eastAsia="仿宋_GB2312"/>
          <w:sz w:val="32"/>
          <w:szCs w:val="32"/>
        </w:rPr>
        <w:t>教职工的服务工作，针对离休干部年龄较大的实际情况尽量采取服务到家里的形式。</w:t>
      </w:r>
      <w:r>
        <w:rPr>
          <w:rFonts w:hint="eastAsia" w:ascii="仿宋_GB2312" w:eastAsia="仿宋_GB2312"/>
          <w:sz w:val="32"/>
          <w:szCs w:val="32"/>
        </w:rPr>
        <w:t xml:space="preserve"> </w:t>
      </w:r>
    </w:p>
    <w:p w14:paraId="7B188B20">
      <w:pPr>
        <w:spacing w:line="560" w:lineRule="exact"/>
        <w:ind w:firstLine="555"/>
        <w:rPr>
          <w:rFonts w:ascii="仿宋_GB2312" w:eastAsia="仿宋_GB2312"/>
          <w:sz w:val="32"/>
          <w:szCs w:val="32"/>
        </w:rPr>
      </w:pPr>
      <w:r>
        <w:rPr>
          <w:rFonts w:hint="eastAsia" w:ascii="仿宋_GB2312" w:eastAsia="仿宋_GB2312"/>
          <w:sz w:val="32"/>
          <w:szCs w:val="32"/>
        </w:rPr>
        <w:t>3.强化反腐倡廉教育</w:t>
      </w:r>
    </w:p>
    <w:p w14:paraId="7653E03E">
      <w:pPr>
        <w:spacing w:line="560" w:lineRule="exact"/>
        <w:ind w:firstLine="555"/>
        <w:rPr>
          <w:rFonts w:hint="eastAsia" w:ascii="仿宋_GB2312" w:eastAsia="仿宋_GB2312"/>
          <w:sz w:val="32"/>
          <w:szCs w:val="32"/>
        </w:rPr>
      </w:pPr>
      <w:r>
        <w:rPr>
          <w:rFonts w:hint="eastAsia" w:ascii="仿宋_GB2312" w:eastAsia="仿宋_GB2312"/>
          <w:sz w:val="32"/>
          <w:szCs w:val="32"/>
        </w:rPr>
        <w:t xml:space="preserve">继续推进反腐倡廉教育，深入开展多种形式的反腐倡廉教育活动。完善党员教育、管理、监督措施，开展富有成效的教育活动，做好党风廉政建设工作。 </w:t>
      </w:r>
    </w:p>
    <w:p w14:paraId="335BB9CF">
      <w:pPr>
        <w:spacing w:line="560" w:lineRule="exact"/>
        <w:ind w:firstLine="555"/>
        <w:rPr>
          <w:rFonts w:hint="eastAsia" w:ascii="仿宋_GB2312" w:eastAsia="仿宋_GB2312"/>
          <w:sz w:val="32"/>
          <w:szCs w:val="32"/>
        </w:rPr>
      </w:pPr>
      <w:r>
        <w:rPr>
          <w:rFonts w:ascii="仿宋_GB2312" w:eastAsia="仿宋_GB2312"/>
          <w:sz w:val="32"/>
          <w:szCs w:val="32"/>
        </w:rPr>
        <w:t>4.</w:t>
      </w:r>
      <w:r>
        <w:rPr>
          <w:rFonts w:hint="eastAsia" w:ascii="仿宋_GB2312" w:eastAsia="仿宋_GB2312"/>
          <w:sz w:val="32"/>
          <w:szCs w:val="32"/>
        </w:rPr>
        <w:t xml:space="preserve"> 做好后勤保障，确保各部门工作有序开展 </w:t>
      </w:r>
    </w:p>
    <w:p w14:paraId="523BDE6A">
      <w:pPr>
        <w:pStyle w:val="13"/>
        <w:ind w:firstLine="320" w:firstLineChars="100"/>
        <w:rPr>
          <w:rFonts w:hint="eastAsia" w:ascii="仿宋_GB2312" w:eastAsia="仿宋_GB2312"/>
          <w:sz w:val="32"/>
          <w:szCs w:val="32"/>
        </w:rPr>
      </w:pPr>
      <w:r>
        <w:rPr>
          <w:rFonts w:hint="eastAsia" w:ascii="仿宋_GB2312" w:eastAsia="仿宋_GB2312"/>
          <w:sz w:val="32"/>
          <w:szCs w:val="32"/>
        </w:rPr>
        <w:t xml:space="preserve">（1）严格财务管理，严格落实资金使用规定，确保财务管理的安全。 </w:t>
      </w:r>
    </w:p>
    <w:p w14:paraId="35FC6E72">
      <w:pPr>
        <w:spacing w:line="560" w:lineRule="exact"/>
        <w:ind w:firstLine="320" w:firstLineChars="100"/>
        <w:rPr>
          <w:rFonts w:ascii="仿宋_GB2312" w:eastAsia="仿宋_GB2312"/>
          <w:sz w:val="32"/>
          <w:szCs w:val="32"/>
        </w:rPr>
      </w:pPr>
      <w:r>
        <w:rPr>
          <w:rFonts w:hint="eastAsia" w:ascii="仿宋_GB2312" w:eastAsia="仿宋_GB2312"/>
          <w:sz w:val="32"/>
          <w:szCs w:val="32"/>
        </w:rPr>
        <w:t xml:space="preserve">（2）做好各项制度及责任的梳理、完善、落实工作。重点做好制定教职工在中心活动的安全协议，每次重大活动的安全预案，安全工作责任到人。  </w:t>
      </w:r>
      <w:r>
        <w:rPr>
          <w:rFonts w:ascii="仿宋_GB2312" w:eastAsia="仿宋_GB2312"/>
          <w:sz w:val="32"/>
          <w:szCs w:val="32"/>
        </w:rPr>
        <w:t xml:space="preserve"> </w:t>
      </w:r>
    </w:p>
    <w:p w14:paraId="7D343BE5">
      <w:pPr>
        <w:spacing w:line="560" w:lineRule="exact"/>
        <w:ind w:firstLine="320" w:firstLineChars="100"/>
        <w:rPr>
          <w:rFonts w:ascii="仿宋_GB2312" w:eastAsia="仿宋_GB2312"/>
          <w:sz w:val="32"/>
          <w:szCs w:val="32"/>
        </w:rPr>
      </w:pPr>
      <w:r>
        <w:rPr>
          <w:rFonts w:hint="eastAsia" w:ascii="仿宋_GB2312" w:eastAsia="仿宋_GB2312"/>
          <w:sz w:val="32"/>
          <w:szCs w:val="32"/>
        </w:rPr>
        <w:t>（3）做好疫情防控常态化工作，做好本单位职工核酸检测、下沉社区防疫工作。</w:t>
      </w:r>
    </w:p>
    <w:p w14:paraId="0E4962A0">
      <w:pPr>
        <w:widowControl/>
        <w:spacing w:after="240" w:line="560" w:lineRule="exact"/>
        <w:ind w:firstLine="482" w:firstLineChars="15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5592129E">
      <w:pPr>
        <w:spacing w:line="560" w:lineRule="exact"/>
        <w:ind w:firstLine="555"/>
        <w:rPr>
          <w:rFonts w:ascii="仿宋_GB2312" w:eastAsia="仿宋_GB2312"/>
          <w:sz w:val="32"/>
          <w:szCs w:val="32"/>
        </w:rPr>
      </w:pPr>
      <w:r>
        <w:rPr>
          <w:rFonts w:hint="eastAsia" w:ascii="仿宋_GB2312" w:eastAsia="仿宋_GB2312"/>
          <w:sz w:val="32"/>
          <w:szCs w:val="32"/>
        </w:rPr>
        <w:t>2022年收入预算1</w:t>
      </w:r>
      <w:r>
        <w:rPr>
          <w:rFonts w:ascii="仿宋_GB2312" w:eastAsia="仿宋_GB2312"/>
          <w:sz w:val="32"/>
          <w:szCs w:val="32"/>
        </w:rPr>
        <w:t>49.72</w:t>
      </w:r>
      <w:r>
        <w:rPr>
          <w:rFonts w:hint="eastAsia" w:ascii="仿宋_GB2312" w:eastAsia="仿宋_GB2312"/>
          <w:sz w:val="32"/>
          <w:szCs w:val="32"/>
        </w:rPr>
        <w:t>万元，比2021年1</w:t>
      </w:r>
      <w:r>
        <w:rPr>
          <w:rFonts w:ascii="仿宋_GB2312" w:eastAsia="仿宋_GB2312"/>
          <w:sz w:val="32"/>
          <w:szCs w:val="32"/>
        </w:rPr>
        <w:t>8.2</w:t>
      </w:r>
      <w:r>
        <w:rPr>
          <w:rFonts w:hint="eastAsia" w:ascii="仿宋_GB2312" w:eastAsia="仿宋_GB2312"/>
          <w:sz w:val="32"/>
          <w:szCs w:val="32"/>
        </w:rPr>
        <w:t>万元增加</w:t>
      </w:r>
      <w:r>
        <w:rPr>
          <w:rFonts w:ascii="仿宋_GB2312" w:eastAsia="仿宋_GB2312"/>
          <w:sz w:val="32"/>
          <w:szCs w:val="32"/>
        </w:rPr>
        <w:t>131.22</w:t>
      </w:r>
      <w:r>
        <w:rPr>
          <w:rFonts w:hint="eastAsia" w:ascii="仿宋_GB2312" w:eastAsia="仿宋_GB2312"/>
          <w:sz w:val="32"/>
          <w:szCs w:val="32"/>
        </w:rPr>
        <w:t>万元，增长7</w:t>
      </w:r>
      <w:r>
        <w:rPr>
          <w:rFonts w:ascii="仿宋_GB2312" w:eastAsia="仿宋_GB2312"/>
          <w:sz w:val="32"/>
          <w:szCs w:val="32"/>
        </w:rPr>
        <w:t>20.99</w:t>
      </w:r>
      <w:r>
        <w:rPr>
          <w:rFonts w:hint="eastAsia" w:ascii="仿宋_GB2312" w:eastAsia="仿宋_GB2312"/>
          <w:sz w:val="32"/>
          <w:szCs w:val="32"/>
        </w:rPr>
        <w:t xml:space="preserve"> %。其中：财政拨款1</w:t>
      </w:r>
      <w:r>
        <w:rPr>
          <w:rFonts w:ascii="仿宋_GB2312" w:eastAsia="仿宋_GB2312"/>
          <w:sz w:val="32"/>
          <w:szCs w:val="32"/>
        </w:rPr>
        <w:t>49.42</w:t>
      </w:r>
      <w:r>
        <w:rPr>
          <w:rFonts w:hint="eastAsia" w:ascii="仿宋_GB2312" w:eastAsia="仿宋_GB2312"/>
          <w:sz w:val="32"/>
          <w:szCs w:val="32"/>
        </w:rPr>
        <w:t>万元，比2021年1</w:t>
      </w:r>
      <w:r>
        <w:rPr>
          <w:rFonts w:ascii="仿宋_GB2312" w:eastAsia="仿宋_GB2312"/>
          <w:sz w:val="32"/>
          <w:szCs w:val="32"/>
        </w:rPr>
        <w:t>8.2</w:t>
      </w:r>
      <w:r>
        <w:rPr>
          <w:rFonts w:hint="eastAsia" w:ascii="仿宋_GB2312" w:eastAsia="仿宋_GB2312"/>
          <w:sz w:val="32"/>
          <w:szCs w:val="32"/>
        </w:rPr>
        <w:t>万元增加1</w:t>
      </w:r>
      <w:r>
        <w:rPr>
          <w:rFonts w:ascii="仿宋_GB2312" w:eastAsia="仿宋_GB2312"/>
          <w:sz w:val="32"/>
          <w:szCs w:val="32"/>
        </w:rPr>
        <w:t>31.22</w:t>
      </w:r>
      <w:r>
        <w:rPr>
          <w:rFonts w:hint="eastAsia" w:ascii="仿宋_GB2312" w:eastAsia="仿宋_GB2312"/>
          <w:sz w:val="32"/>
          <w:szCs w:val="32"/>
        </w:rPr>
        <w:t>万元；统筹使用结余资金安排预算0万元，与2021年0万元持平；其他资金0万元，与2021年0万元持平。</w:t>
      </w:r>
    </w:p>
    <w:p w14:paraId="2294F8B8">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59161CB4">
      <w:pPr>
        <w:spacing w:line="560" w:lineRule="exact"/>
        <w:ind w:firstLine="555"/>
        <w:rPr>
          <w:rFonts w:ascii="仿宋_GB2312" w:eastAsia="仿宋_GB2312"/>
          <w:sz w:val="32"/>
          <w:szCs w:val="32"/>
        </w:rPr>
      </w:pPr>
      <w:r>
        <w:rPr>
          <w:rFonts w:hint="eastAsia" w:ascii="仿宋_GB2312" w:eastAsia="仿宋_GB2312"/>
          <w:sz w:val="32"/>
          <w:szCs w:val="32"/>
        </w:rPr>
        <w:t>（一）基本支出预算 1</w:t>
      </w:r>
      <w:r>
        <w:rPr>
          <w:rFonts w:ascii="仿宋_GB2312" w:eastAsia="仿宋_GB2312"/>
          <w:sz w:val="32"/>
          <w:szCs w:val="32"/>
        </w:rPr>
        <w:t>49.42</w:t>
      </w:r>
      <w:r>
        <w:rPr>
          <w:rFonts w:hint="eastAsia" w:ascii="仿宋_GB2312" w:eastAsia="仿宋_GB2312"/>
          <w:sz w:val="32"/>
          <w:szCs w:val="32"/>
        </w:rPr>
        <w:t>万元，占总支出预算100%，比2021年1</w:t>
      </w:r>
      <w:r>
        <w:rPr>
          <w:rFonts w:ascii="仿宋_GB2312" w:eastAsia="仿宋_GB2312"/>
          <w:sz w:val="32"/>
          <w:szCs w:val="32"/>
        </w:rPr>
        <w:t>8.2</w:t>
      </w:r>
      <w:r>
        <w:rPr>
          <w:rFonts w:hint="eastAsia" w:ascii="仿宋_GB2312" w:eastAsia="仿宋_GB2312"/>
          <w:sz w:val="32"/>
          <w:szCs w:val="32"/>
        </w:rPr>
        <w:t>万元增加1</w:t>
      </w:r>
      <w:r>
        <w:rPr>
          <w:rFonts w:ascii="仿宋_GB2312" w:eastAsia="仿宋_GB2312"/>
          <w:sz w:val="32"/>
          <w:szCs w:val="32"/>
        </w:rPr>
        <w:t>31.22</w:t>
      </w:r>
      <w:r>
        <w:rPr>
          <w:rFonts w:hint="eastAsia" w:ascii="仿宋_GB2312" w:eastAsia="仿宋_GB2312"/>
          <w:sz w:val="32"/>
          <w:szCs w:val="32"/>
        </w:rPr>
        <w:t>万元，增长72</w:t>
      </w:r>
      <w:r>
        <w:rPr>
          <w:rFonts w:ascii="仿宋_GB2312" w:eastAsia="仿宋_GB2312"/>
          <w:sz w:val="32"/>
          <w:szCs w:val="32"/>
        </w:rPr>
        <w:t>0.99</w:t>
      </w:r>
      <w:r>
        <w:rPr>
          <w:rFonts w:hint="eastAsia" w:ascii="仿宋_GB2312" w:eastAsia="仿宋_GB2312"/>
          <w:sz w:val="32"/>
          <w:szCs w:val="32"/>
        </w:rPr>
        <w:t>%，主要增加原因为人员经费增加。</w:t>
      </w:r>
    </w:p>
    <w:p w14:paraId="0DDF2695">
      <w:pPr>
        <w:spacing w:line="560" w:lineRule="exact"/>
        <w:ind w:firstLine="555"/>
        <w:rPr>
          <w:rFonts w:ascii="仿宋_GB2312" w:eastAsia="仿宋_GB2312"/>
          <w:sz w:val="32"/>
          <w:szCs w:val="32"/>
        </w:rPr>
      </w:pPr>
      <w:r>
        <w:rPr>
          <w:rFonts w:hint="eastAsia" w:ascii="仿宋_GB2312" w:eastAsia="仿宋_GB2312"/>
          <w:sz w:val="32"/>
          <w:szCs w:val="32"/>
        </w:rPr>
        <w:t>（二）项目支出预算0万元，与2021年0万元持平</w:t>
      </w:r>
    </w:p>
    <w:p w14:paraId="38D9BE8F">
      <w:pPr>
        <w:spacing w:line="560" w:lineRule="exact"/>
        <w:ind w:firstLine="555"/>
        <w:rPr>
          <w:rFonts w:ascii="仿宋_GB2312" w:eastAsia="仿宋_GB2312"/>
          <w:sz w:val="32"/>
          <w:szCs w:val="32"/>
        </w:rPr>
      </w:pPr>
      <w:r>
        <w:rPr>
          <w:rFonts w:hint="eastAsia" w:ascii="仿宋_GB2312" w:eastAsia="仿宋_GB2312"/>
          <w:sz w:val="32"/>
          <w:szCs w:val="32"/>
        </w:rPr>
        <w:t>（三）无上缴上级支出</w:t>
      </w:r>
    </w:p>
    <w:p w14:paraId="313A03D3">
      <w:pPr>
        <w:spacing w:line="560" w:lineRule="exact"/>
        <w:ind w:firstLine="555"/>
        <w:rPr>
          <w:rFonts w:ascii="仿宋_GB2312" w:eastAsia="仿宋_GB2312"/>
          <w:sz w:val="32"/>
          <w:szCs w:val="32"/>
        </w:rPr>
      </w:pPr>
      <w:r>
        <w:rPr>
          <w:rFonts w:hint="eastAsia" w:ascii="仿宋_GB2312" w:eastAsia="仿宋_GB2312"/>
          <w:sz w:val="32"/>
          <w:szCs w:val="32"/>
        </w:rPr>
        <w:t>（四）无事业单位经营支出</w:t>
      </w:r>
    </w:p>
    <w:p w14:paraId="0BD139E6">
      <w:pPr>
        <w:spacing w:line="560" w:lineRule="exact"/>
        <w:ind w:firstLine="555"/>
        <w:rPr>
          <w:rFonts w:ascii="仿宋_GB2312" w:eastAsia="仿宋_GB2312"/>
          <w:sz w:val="32"/>
          <w:szCs w:val="32"/>
        </w:rPr>
      </w:pPr>
      <w:r>
        <w:rPr>
          <w:rFonts w:hint="eastAsia" w:ascii="仿宋_GB2312" w:eastAsia="仿宋_GB2312"/>
          <w:sz w:val="32"/>
          <w:szCs w:val="32"/>
        </w:rPr>
        <w:t>（五）无对附属单位补助支出</w:t>
      </w:r>
    </w:p>
    <w:p w14:paraId="283C9A77">
      <w:pPr>
        <w:spacing w:line="560" w:lineRule="exact"/>
        <w:jc w:val="center"/>
        <w:rPr>
          <w:rFonts w:ascii="黑体" w:eastAsia="黑体"/>
          <w:b/>
          <w:sz w:val="32"/>
          <w:szCs w:val="32"/>
        </w:rPr>
      </w:pPr>
      <w:r>
        <w:rPr>
          <w:rFonts w:hint="eastAsia" w:ascii="黑体" w:hAnsi="黑体" w:eastAsia="黑体" w:cs="宋体"/>
          <w:b/>
          <w:bCs/>
          <w:color w:val="333333"/>
          <w:kern w:val="0"/>
          <w:sz w:val="32"/>
          <w:szCs w:val="32"/>
        </w:rPr>
        <w:t>四、2022年度</w:t>
      </w:r>
      <w:r>
        <w:rPr>
          <w:rFonts w:hint="eastAsia" w:ascii="黑体" w:eastAsia="黑体"/>
          <w:b/>
          <w:sz w:val="32"/>
          <w:szCs w:val="32"/>
        </w:rPr>
        <w:t>单位“三公”经费财政拨款预算说明</w:t>
      </w:r>
    </w:p>
    <w:p w14:paraId="1F17FF6C">
      <w:pPr>
        <w:spacing w:line="560" w:lineRule="exact"/>
        <w:ind w:firstLine="6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“三公”经费</w:t>
      </w:r>
      <w:r>
        <w:rPr>
          <w:rFonts w:hint="eastAsia" w:ascii="仿宋_GB2312" w:eastAsia="仿宋_GB2312"/>
          <w:sz w:val="32"/>
          <w:szCs w:val="32"/>
        </w:rPr>
        <w:t>的单位范围</w:t>
      </w:r>
    </w:p>
    <w:p w14:paraId="5CCDD7B0">
      <w:pPr>
        <w:spacing w:line="560" w:lineRule="exact"/>
        <w:ind w:firstLine="600"/>
        <w:rPr>
          <w:rFonts w:ascii="仿宋_GB2312" w:eastAsia="仿宋_GB2312"/>
          <w:sz w:val="32"/>
          <w:szCs w:val="32"/>
        </w:rPr>
      </w:pPr>
      <w:r>
        <w:rPr>
          <w:rFonts w:hint="eastAsia" w:ascii="仿宋_GB2312" w:eastAsia="仿宋_GB2312"/>
          <w:sz w:val="32"/>
          <w:szCs w:val="32"/>
        </w:rPr>
        <w:t>本单位因公出国（境）费用、公务接待费、公务用车购置和运行维护费开支单位包括0个所属单位。</w:t>
      </w:r>
    </w:p>
    <w:p w14:paraId="2726214B">
      <w:pPr>
        <w:spacing w:line="560" w:lineRule="exact"/>
        <w:ind w:firstLine="6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“三公”经费</w:t>
      </w:r>
      <w:r>
        <w:rPr>
          <w:rFonts w:hint="eastAsia" w:ascii="仿宋_GB2312" w:eastAsia="仿宋_GB2312"/>
          <w:sz w:val="32"/>
          <w:szCs w:val="32"/>
        </w:rPr>
        <w:t>财政拨款情况说明</w:t>
      </w:r>
    </w:p>
    <w:p w14:paraId="79B7CF00">
      <w:pPr>
        <w:spacing w:line="560" w:lineRule="exact"/>
        <w:ind w:firstLine="600"/>
        <w:rPr>
          <w:rFonts w:ascii="仿宋_GB2312" w:eastAsia="仿宋_GB2312"/>
          <w:sz w:val="32"/>
          <w:szCs w:val="32"/>
        </w:rPr>
      </w:pPr>
      <w:r>
        <w:rPr>
          <w:rFonts w:hint="eastAsia" w:ascii="仿宋_GB2312" w:eastAsia="仿宋_GB2312"/>
          <w:sz w:val="32"/>
          <w:szCs w:val="32"/>
        </w:rPr>
        <w:t>2022年</w:t>
      </w:r>
      <w:r>
        <w:rPr>
          <w:rFonts w:hint="eastAsia" w:ascii="仿宋_GB2312" w:eastAsia="仿宋_GB2312"/>
          <w:sz w:val="32"/>
          <w:szCs w:val="32"/>
          <w:lang w:eastAsia="zh-CN"/>
        </w:rPr>
        <w:t>“三公”经费</w:t>
      </w:r>
      <w:r>
        <w:rPr>
          <w:rFonts w:hint="eastAsia" w:ascii="仿宋_GB2312" w:eastAsia="仿宋_GB2312"/>
          <w:sz w:val="32"/>
          <w:szCs w:val="32"/>
        </w:rPr>
        <w:t>财政拨款预算0万元，与2021年0万元持平。其中：</w:t>
      </w:r>
    </w:p>
    <w:p w14:paraId="2347AE29">
      <w:pPr>
        <w:spacing w:line="560" w:lineRule="exact"/>
        <w:ind w:firstLine="600"/>
        <w:rPr>
          <w:rFonts w:ascii="仿宋_GB2312" w:eastAsia="仿宋_GB2312"/>
          <w:sz w:val="32"/>
          <w:szCs w:val="32"/>
        </w:rPr>
      </w:pPr>
      <w:r>
        <w:rPr>
          <w:rFonts w:hint="eastAsia" w:ascii="仿宋_GB2312" w:eastAsia="仿宋_GB2312"/>
          <w:sz w:val="32"/>
          <w:szCs w:val="32"/>
        </w:rPr>
        <w:t>1、因公出国（境）费用。2022年预算数0万元，与2021年0万元持平。</w:t>
      </w:r>
    </w:p>
    <w:p w14:paraId="356FD7E8">
      <w:pPr>
        <w:spacing w:line="560" w:lineRule="exact"/>
        <w:ind w:firstLine="600"/>
        <w:rPr>
          <w:rFonts w:ascii="仿宋_GB2312" w:eastAsia="仿宋_GB2312"/>
          <w:sz w:val="32"/>
          <w:szCs w:val="32"/>
        </w:rPr>
      </w:pPr>
      <w:r>
        <w:rPr>
          <w:rFonts w:hint="eastAsia" w:ascii="仿宋_GB2312" w:eastAsia="仿宋_GB2312"/>
          <w:sz w:val="32"/>
          <w:szCs w:val="32"/>
        </w:rPr>
        <w:t>2、公务接待费。2022年预算0万元，与2021年0万元持平。</w:t>
      </w:r>
    </w:p>
    <w:p w14:paraId="4658399A">
      <w:pPr>
        <w:spacing w:line="560" w:lineRule="exact"/>
        <w:ind w:firstLine="600"/>
        <w:rPr>
          <w:rFonts w:ascii="仿宋_GB2312" w:eastAsia="仿宋_GB2312"/>
          <w:sz w:val="32"/>
          <w:szCs w:val="32"/>
        </w:rPr>
      </w:pPr>
      <w:r>
        <w:rPr>
          <w:rFonts w:hint="eastAsia" w:ascii="仿宋_GB2312" w:eastAsia="仿宋_GB2312"/>
          <w:sz w:val="32"/>
          <w:szCs w:val="32"/>
        </w:rPr>
        <w:t>3、公务用车购置和运行维护费。2022年预算数0万元，其中，公务用车购置费2022年预算数0万元，与2021年0万元持平；公务用车运行维护费2022年预算数0万元，与2021年0万元持平，其中：公务用车加油0万元，公务用车维修0万元，公务用车保险0万元，其他0万元，与2021年持平。</w:t>
      </w:r>
    </w:p>
    <w:p w14:paraId="12F0A429">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五、其他重要事项的情况说明</w:t>
      </w:r>
    </w:p>
    <w:p w14:paraId="119487B4">
      <w:pPr>
        <w:spacing w:line="560" w:lineRule="exact"/>
        <w:ind w:firstLine="640" w:firstLineChars="200"/>
        <w:rPr>
          <w:rFonts w:ascii="仿宋_GB2312" w:eastAsia="仿宋_GB2312"/>
          <w:sz w:val="32"/>
          <w:szCs w:val="32"/>
        </w:rPr>
      </w:pPr>
      <w:r>
        <w:rPr>
          <w:rFonts w:hint="eastAsia" w:ascii="仿宋_GB2312" w:eastAsia="仿宋_GB2312"/>
          <w:sz w:val="32"/>
          <w:szCs w:val="32"/>
        </w:rPr>
        <w:t>（一）机关运行经费情况说明</w:t>
      </w:r>
    </w:p>
    <w:p w14:paraId="57F97FC9">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本单位无</w:t>
      </w:r>
      <w:r>
        <w:rPr>
          <w:rFonts w:ascii="仿宋_GB2312" w:eastAsia="仿宋_GB2312"/>
          <w:sz w:val="32"/>
          <w:szCs w:val="32"/>
        </w:rPr>
        <w:t>机关运行经费。</w:t>
      </w:r>
    </w:p>
    <w:p w14:paraId="3EADD804">
      <w:pPr>
        <w:spacing w:line="560" w:lineRule="exact"/>
        <w:ind w:firstLine="640" w:firstLineChars="200"/>
        <w:rPr>
          <w:rFonts w:ascii="仿宋_GB2312" w:eastAsia="仿宋_GB2312"/>
          <w:sz w:val="32"/>
          <w:szCs w:val="32"/>
        </w:rPr>
      </w:pPr>
      <w:r>
        <w:rPr>
          <w:rFonts w:hint="eastAsia" w:ascii="仿宋_GB2312" w:eastAsia="仿宋_GB2312"/>
          <w:sz w:val="32"/>
          <w:szCs w:val="32"/>
        </w:rPr>
        <w:t>（二）项目支出绩效目标及评价结果情况说明</w:t>
      </w:r>
    </w:p>
    <w:p w14:paraId="27CAB05D">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本单位预算</w:t>
      </w:r>
      <w:r>
        <w:rPr>
          <w:rFonts w:ascii="仿宋_GB2312" w:eastAsia="仿宋_GB2312"/>
          <w:sz w:val="32"/>
          <w:szCs w:val="32"/>
        </w:rPr>
        <w:t>批复无项目</w:t>
      </w:r>
      <w:r>
        <w:rPr>
          <w:rFonts w:hint="eastAsia" w:ascii="仿宋_GB2312" w:eastAsia="仿宋_GB2312"/>
          <w:sz w:val="32"/>
          <w:szCs w:val="32"/>
        </w:rPr>
        <w:t>。</w:t>
      </w:r>
    </w:p>
    <w:p w14:paraId="29B9FA92">
      <w:pPr>
        <w:spacing w:line="560" w:lineRule="exact"/>
        <w:ind w:firstLine="640" w:firstLineChars="200"/>
        <w:rPr>
          <w:rFonts w:ascii="仿宋_GB2312" w:eastAsia="仿宋_GB2312"/>
          <w:sz w:val="32"/>
          <w:szCs w:val="32"/>
        </w:rPr>
      </w:pPr>
      <w:bookmarkStart w:id="0" w:name="OLE_LINK2"/>
      <w:r>
        <w:rPr>
          <w:rFonts w:hint="eastAsia" w:ascii="仿宋_GB2312" w:eastAsia="仿宋_GB2312"/>
          <w:sz w:val="32"/>
          <w:szCs w:val="32"/>
        </w:rPr>
        <w:t>（三）重点行政事业性收费情况说明</w:t>
      </w:r>
    </w:p>
    <w:bookmarkEnd w:id="0"/>
    <w:p w14:paraId="79648718">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本单位2022年无重点行政事业性收费</w:t>
      </w:r>
    </w:p>
    <w:p w14:paraId="028824E2">
      <w:pPr>
        <w:spacing w:line="560" w:lineRule="exact"/>
        <w:ind w:firstLine="640" w:firstLineChars="200"/>
        <w:rPr>
          <w:rFonts w:ascii="仿宋_GB2312" w:eastAsia="仿宋_GB2312"/>
          <w:sz w:val="32"/>
          <w:szCs w:val="32"/>
        </w:rPr>
      </w:pPr>
      <w:r>
        <w:rPr>
          <w:rFonts w:hint="eastAsia" w:ascii="仿宋_GB2312" w:eastAsia="仿宋_GB2312"/>
          <w:sz w:val="32"/>
          <w:szCs w:val="32"/>
        </w:rPr>
        <w:t>（四）国有资本经营预算财政拨款情况及国有资产占用情况说明</w:t>
      </w:r>
    </w:p>
    <w:p w14:paraId="021B0F1A">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本单位2022年无国有资本经营预算财政拨款安排的预算。</w:t>
      </w:r>
    </w:p>
    <w:p w14:paraId="7C62456D">
      <w:pPr>
        <w:spacing w:line="560" w:lineRule="exact"/>
        <w:ind w:firstLine="640" w:firstLineChars="200"/>
        <w:rPr>
          <w:rFonts w:ascii="仿宋_GB2312" w:eastAsia="仿宋_GB2312"/>
          <w:sz w:val="32"/>
          <w:szCs w:val="32"/>
        </w:rPr>
      </w:pPr>
      <w:r>
        <w:rPr>
          <w:rFonts w:hint="eastAsia" w:ascii="仿宋_GB2312" w:eastAsia="仿宋_GB2312"/>
          <w:sz w:val="32"/>
          <w:szCs w:val="32"/>
        </w:rPr>
        <w:t>截止202</w:t>
      </w:r>
      <w:r>
        <w:rPr>
          <w:rFonts w:ascii="仿宋_GB2312" w:eastAsia="仿宋_GB2312"/>
          <w:sz w:val="32"/>
          <w:szCs w:val="32"/>
        </w:rPr>
        <w:t>1</w:t>
      </w:r>
      <w:r>
        <w:rPr>
          <w:rFonts w:hint="eastAsia" w:ascii="仿宋_GB2312" w:eastAsia="仿宋_GB2312"/>
          <w:sz w:val="32"/>
          <w:szCs w:val="32"/>
        </w:rPr>
        <w:t>年12月31日，本单位货币资金</w:t>
      </w:r>
      <w:r>
        <w:rPr>
          <w:rFonts w:ascii="仿宋_GB2312" w:eastAsia="仿宋_GB2312"/>
          <w:sz w:val="32"/>
          <w:szCs w:val="32"/>
        </w:rPr>
        <w:t xml:space="preserve">  202.93  </w:t>
      </w:r>
      <w:r>
        <w:rPr>
          <w:rFonts w:hint="eastAsia" w:ascii="仿宋_GB2312" w:eastAsia="仿宋_GB2312"/>
          <w:sz w:val="32"/>
          <w:szCs w:val="32"/>
        </w:rPr>
        <w:t xml:space="preserve">万元（其中银行存款 </w:t>
      </w:r>
      <w:r>
        <w:rPr>
          <w:rFonts w:ascii="仿宋_GB2312" w:eastAsia="仿宋_GB2312"/>
          <w:sz w:val="32"/>
          <w:szCs w:val="32"/>
        </w:rPr>
        <w:t xml:space="preserve"> 205.92  </w:t>
      </w:r>
      <w:r>
        <w:rPr>
          <w:rFonts w:hint="eastAsia" w:ascii="仿宋_GB2312" w:eastAsia="仿宋_GB2312"/>
          <w:sz w:val="32"/>
          <w:szCs w:val="32"/>
        </w:rPr>
        <w:t>万元），房屋</w:t>
      </w:r>
      <w:r>
        <w:rPr>
          <w:rFonts w:ascii="仿宋_GB2312" w:eastAsia="仿宋_GB2312"/>
          <w:sz w:val="32"/>
          <w:szCs w:val="32"/>
        </w:rPr>
        <w:t xml:space="preserve">  60.37 </w:t>
      </w:r>
      <w:r>
        <w:rPr>
          <w:rFonts w:hint="eastAsia" w:ascii="仿宋_GB2312" w:eastAsia="仿宋_GB2312"/>
          <w:sz w:val="32"/>
          <w:szCs w:val="32"/>
        </w:rPr>
        <w:t>万元，车辆</w:t>
      </w:r>
      <w:r>
        <w:rPr>
          <w:rFonts w:ascii="仿宋_GB2312" w:eastAsia="仿宋_GB2312"/>
          <w:sz w:val="32"/>
          <w:szCs w:val="32"/>
        </w:rPr>
        <w:t xml:space="preserve">  12.58 </w:t>
      </w:r>
      <w:r>
        <w:rPr>
          <w:rFonts w:hint="eastAsia" w:ascii="仿宋_GB2312" w:eastAsia="仿宋_GB2312"/>
          <w:sz w:val="32"/>
          <w:szCs w:val="32"/>
        </w:rPr>
        <w:t>万元，在建工程</w:t>
      </w:r>
      <w:r>
        <w:rPr>
          <w:rFonts w:ascii="仿宋_GB2312" w:eastAsia="仿宋_GB2312"/>
          <w:sz w:val="32"/>
          <w:szCs w:val="32"/>
        </w:rPr>
        <w:t xml:space="preserve"> 0 </w:t>
      </w:r>
      <w:r>
        <w:rPr>
          <w:rFonts w:hint="eastAsia" w:ascii="仿宋_GB2312" w:eastAsia="仿宋_GB2312"/>
          <w:sz w:val="32"/>
          <w:szCs w:val="32"/>
        </w:rPr>
        <w:t>万元。</w:t>
      </w:r>
    </w:p>
    <w:p w14:paraId="04F787DA">
      <w:pPr>
        <w:spacing w:line="560" w:lineRule="exact"/>
        <w:ind w:firstLine="640" w:firstLineChars="200"/>
        <w:rPr>
          <w:rFonts w:ascii="仿宋_GB2312" w:eastAsia="仿宋_GB2312"/>
          <w:sz w:val="32"/>
          <w:szCs w:val="32"/>
        </w:rPr>
      </w:pPr>
      <w:r>
        <w:rPr>
          <w:rFonts w:hint="eastAsia" w:ascii="仿宋_GB2312" w:eastAsia="仿宋_GB2312"/>
          <w:sz w:val="32"/>
          <w:szCs w:val="32"/>
        </w:rPr>
        <w:t>截至2021年12月31日，本单位共有车辆</w:t>
      </w:r>
      <w:r>
        <w:rPr>
          <w:rFonts w:ascii="仿宋_GB2312" w:eastAsia="仿宋_GB2312"/>
          <w:sz w:val="32"/>
          <w:szCs w:val="32"/>
        </w:rPr>
        <w:t xml:space="preserve">  1  </w:t>
      </w:r>
      <w:r>
        <w:rPr>
          <w:rFonts w:hint="eastAsia" w:ascii="仿宋_GB2312" w:eastAsia="仿宋_GB2312"/>
          <w:sz w:val="32"/>
          <w:szCs w:val="32"/>
        </w:rPr>
        <w:t>辆。</w:t>
      </w:r>
    </w:p>
    <w:p w14:paraId="1EA201AB">
      <w:pPr>
        <w:spacing w:line="560" w:lineRule="exact"/>
        <w:ind w:firstLine="640" w:firstLineChars="200"/>
        <w:rPr>
          <w:rFonts w:ascii="仿宋_GB2312" w:eastAsia="仿宋_GB2312"/>
          <w:sz w:val="32"/>
          <w:szCs w:val="32"/>
        </w:rPr>
      </w:pPr>
      <w:r>
        <w:rPr>
          <w:rFonts w:hint="eastAsia" w:ascii="仿宋_GB2312" w:eastAsia="仿宋_GB2312"/>
          <w:sz w:val="32"/>
          <w:szCs w:val="32"/>
        </w:rPr>
        <w:t>（五）政府采购预算财政拨款情况说明</w:t>
      </w:r>
    </w:p>
    <w:p w14:paraId="7C319F7F">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本单位2022年无政府采购预算财政拨款安排的预算。</w:t>
      </w:r>
    </w:p>
    <w:p w14:paraId="6D330ABB">
      <w:pPr>
        <w:spacing w:line="560" w:lineRule="exact"/>
        <w:ind w:firstLine="640" w:firstLineChars="200"/>
        <w:rPr>
          <w:rFonts w:ascii="仿宋_GB2312" w:eastAsia="仿宋_GB2312"/>
          <w:sz w:val="32"/>
          <w:szCs w:val="32"/>
        </w:rPr>
      </w:pPr>
      <w:r>
        <w:rPr>
          <w:rFonts w:hint="eastAsia" w:ascii="仿宋_GB2312" w:eastAsia="仿宋_GB2312"/>
          <w:sz w:val="32"/>
          <w:szCs w:val="32"/>
        </w:rPr>
        <w:t>（六）政府购买服务预算财政拨款情况说明</w:t>
      </w:r>
    </w:p>
    <w:p w14:paraId="5B3999F4">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本单位2022年无政府购买服务预算财政拨款安排的预算。</w:t>
      </w:r>
    </w:p>
    <w:p w14:paraId="039C8CFD">
      <w:pPr>
        <w:spacing w:line="560" w:lineRule="exact"/>
        <w:ind w:firstLine="640" w:firstLineChars="200"/>
        <w:rPr>
          <w:rFonts w:ascii="仿宋_GB2312" w:eastAsia="仿宋_GB2312"/>
          <w:sz w:val="32"/>
          <w:szCs w:val="32"/>
        </w:rPr>
      </w:pPr>
      <w:r>
        <w:rPr>
          <w:rFonts w:hint="eastAsia" w:ascii="仿宋_GB2312" w:eastAsia="仿宋_GB2312"/>
          <w:sz w:val="32"/>
          <w:szCs w:val="32"/>
        </w:rPr>
        <w:t>（七）名词解释</w:t>
      </w:r>
    </w:p>
    <w:p w14:paraId="7FC5BEC2">
      <w:pPr>
        <w:spacing w:line="560" w:lineRule="exact"/>
        <w:ind w:firstLine="640" w:firstLineChars="200"/>
        <w:rPr>
          <w:rFonts w:ascii="仿宋_GB2312" w:eastAsia="仿宋_GB2312"/>
          <w:sz w:val="32"/>
          <w:szCs w:val="32"/>
        </w:rPr>
      </w:pPr>
      <w:r>
        <w:rPr>
          <w:rFonts w:hint="eastAsia" w:ascii="仿宋_GB2312" w:eastAsia="仿宋_GB2312"/>
          <w:sz w:val="32"/>
          <w:szCs w:val="32"/>
        </w:rPr>
        <w:t>预算:遵循统筹兼顾、勤俭节约、量力而行、讲求绩效和收支平衡的原则编制,经法定程序审核批准的国家年度集中性财政收支计划。政府的全部收入和支出都应当纳入预算。地方各级政府财政单位具体编制本级预算草案,各单位编制本单位预算草案。</w:t>
      </w:r>
    </w:p>
    <w:p w14:paraId="71391DC0">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一般公共预算：是对以税收为主体的财政收入，安排用于保障和改善民生、推动经济社会发展、维护国家安全、维持国家机构正常运转等方面的收支预算。</w:t>
      </w:r>
    </w:p>
    <w:p w14:paraId="3C165B50">
      <w:pPr>
        <w:spacing w:line="560" w:lineRule="exact"/>
        <w:ind w:firstLine="640" w:firstLineChars="200"/>
        <w:rPr>
          <w:rFonts w:ascii="仿宋_GB2312" w:eastAsia="仿宋_GB2312"/>
          <w:sz w:val="32"/>
          <w:szCs w:val="32"/>
        </w:rPr>
      </w:pPr>
      <w:r>
        <w:rPr>
          <w:rFonts w:hint="eastAsia" w:ascii="仿宋_GB2312" w:eastAsia="仿宋_GB2312"/>
          <w:sz w:val="32"/>
          <w:szCs w:val="32"/>
        </w:rPr>
        <w:t>政府性基金预算：是对依照法律、行政法规的规定在一定期限内向特定对象征收、收取或者以其他方式筹集的资金，专项用于特定公共事业发展的收支预算。政府性基金预算应当根据基金收入情况和实际支出需要，按基金项目编制，做到以收定支。</w:t>
      </w:r>
    </w:p>
    <w:p w14:paraId="0FE04A66">
      <w:pPr>
        <w:spacing w:line="560" w:lineRule="exact"/>
        <w:ind w:firstLine="555"/>
        <w:outlineLvl w:val="0"/>
        <w:rPr>
          <w:rFonts w:ascii="仿宋_GB2312" w:eastAsia="仿宋_GB2312"/>
          <w:sz w:val="32"/>
          <w:szCs w:val="32"/>
        </w:rPr>
      </w:pPr>
      <w:r>
        <w:rPr>
          <w:rFonts w:hint="eastAsia" w:ascii="仿宋_GB2312" w:eastAsia="仿宋_GB2312"/>
          <w:sz w:val="32"/>
          <w:szCs w:val="32"/>
        </w:rPr>
        <w:t>国有资本经营预算：是对国有资本收益作出支出安排的收支预算。国有资本经营预算应当按照收支平衡的原则编制，不列赤字，并安排资金调入一般公共预算。</w:t>
      </w:r>
    </w:p>
    <w:p w14:paraId="62E71AA3">
      <w:pPr>
        <w:spacing w:line="560" w:lineRule="exact"/>
        <w:ind w:firstLine="555"/>
        <w:outlineLvl w:val="0"/>
        <w:rPr>
          <w:rFonts w:ascii="仿宋_GB2312" w:eastAsia="仿宋_GB2312"/>
          <w:sz w:val="32"/>
          <w:szCs w:val="32"/>
        </w:rPr>
      </w:pPr>
      <w:r>
        <w:rPr>
          <w:rFonts w:hint="eastAsia" w:ascii="仿宋_GB2312" w:eastAsia="仿宋_GB2312"/>
          <w:sz w:val="32"/>
          <w:szCs w:val="32"/>
        </w:rPr>
        <w:t>“三公”经费:因公出国(境)费、公务用车购置及运行维护费和公务接待费。其中,因公出国(境)费反映单位公务出国(境)的国际旅费、国外城市间交通费、住宿费、伙食费、培训费、公杂费等支出;公务用车购置及运行维护费反映单位公务用车购置费及燃料费、维修费、过路过桥费、保险费、安全奖励费用等支出;公务接待费反映单位按规定开支的各类公务接待(含外宾接待)费用。</w:t>
      </w:r>
    </w:p>
    <w:p w14:paraId="080FCB71">
      <w:pPr>
        <w:spacing w:line="560" w:lineRule="exact"/>
        <w:ind w:firstLine="555"/>
        <w:outlineLvl w:val="0"/>
        <w:rPr>
          <w:rFonts w:ascii="仿宋_GB2312" w:eastAsia="仿宋_GB2312"/>
          <w:sz w:val="32"/>
          <w:szCs w:val="32"/>
        </w:rPr>
      </w:pPr>
      <w:r>
        <w:rPr>
          <w:rFonts w:hint="eastAsia" w:ascii="仿宋_GB2312" w:eastAsia="仿宋_GB2312"/>
          <w:sz w:val="32"/>
          <w:szCs w:val="32"/>
        </w:rPr>
        <w:t>机关运行经费:是指行政单位(含参照公务员法管理事业单位)使用一般公共预算财政拨款安排的基本支出中的日常公用经费支出,包括办公及印刷费、邮电费、差旅费、会议费、福利费、维修(护)费、专用材料费、办公用房水电费、办公用房取暖费、办公用房物业管理费、公务用车运行维护费以及其他费用。</w:t>
      </w:r>
    </w:p>
    <w:p w14:paraId="36653173">
      <w:pPr>
        <w:spacing w:line="560" w:lineRule="exact"/>
        <w:ind w:firstLine="555"/>
        <w:outlineLvl w:val="0"/>
        <w:rPr>
          <w:rFonts w:ascii="仿宋_GB2312" w:eastAsia="仿宋_GB2312"/>
          <w:sz w:val="32"/>
          <w:szCs w:val="32"/>
        </w:rPr>
      </w:pPr>
      <w:r>
        <w:rPr>
          <w:rFonts w:hint="eastAsia" w:ascii="仿宋_GB2312" w:eastAsia="仿宋_GB2312"/>
          <w:sz w:val="32"/>
          <w:szCs w:val="32"/>
        </w:rPr>
        <w:t>事前绩效评估：指在预算编制时，财政单位根据单位战略规划、事业发展规划、项目申报理由等内容，通过委托第三方的方式，运用科学、合理的评估方法，对项目实施必要性、可行性、绩效目标设置的科学性、财政支持的方式、项目预算的合理性等方面进行客观、公正的评估。</w:t>
      </w:r>
    </w:p>
    <w:p w14:paraId="76CE12A2">
      <w:pPr>
        <w:spacing w:line="560" w:lineRule="exact"/>
        <w:ind w:firstLine="555"/>
        <w:outlineLvl w:val="0"/>
        <w:rPr>
          <w:rFonts w:ascii="仿宋_GB2312" w:eastAsia="仿宋_GB2312"/>
          <w:sz w:val="32"/>
          <w:szCs w:val="32"/>
        </w:rPr>
      </w:pPr>
      <w:r>
        <w:rPr>
          <w:rFonts w:hint="eastAsia" w:ascii="仿宋_GB2312" w:eastAsia="仿宋_GB2312"/>
          <w:sz w:val="32"/>
          <w:szCs w:val="32"/>
        </w:rPr>
        <w:t>绩效评价：指财政单位和预算单位（单位）根据设定的绩效目标，运用科学、合理的绩效评价指标、评价标准和评价方法，对财政支出的经济性、效率性和效益性进行客观、公正的评价。其中，绩效目标的设立是开展绩效评价的前提和基础，绩效评价指标是绩效评价的工具和手段，财政支出的经济性、效率性和效益性是绩效评价的主要内容。</w:t>
      </w:r>
    </w:p>
    <w:p w14:paraId="152004E7">
      <w:pPr>
        <w:spacing w:line="560" w:lineRule="exact"/>
        <w:ind w:firstLine="555"/>
        <w:outlineLvl w:val="0"/>
        <w:rPr>
          <w:rFonts w:ascii="仿宋_GB2312" w:eastAsia="仿宋_GB2312"/>
          <w:sz w:val="32"/>
          <w:szCs w:val="32"/>
        </w:rPr>
      </w:pPr>
      <w:r>
        <w:rPr>
          <w:rFonts w:hint="eastAsia" w:ascii="仿宋_GB2312" w:eastAsia="仿宋_GB2312"/>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2099B42D">
      <w:pPr>
        <w:spacing w:line="560" w:lineRule="exact"/>
        <w:ind w:firstLine="555"/>
        <w:outlineLvl w:val="0"/>
        <w:rPr>
          <w:rFonts w:ascii="仿宋_GB2312" w:eastAsia="仿宋_GB2312"/>
          <w:sz w:val="32"/>
          <w:szCs w:val="32"/>
        </w:rPr>
      </w:pPr>
      <w:r>
        <w:rPr>
          <w:rFonts w:hint="eastAsia" w:ascii="仿宋_GB2312" w:eastAsia="仿宋_GB2312"/>
          <w:sz w:val="32"/>
          <w:szCs w:val="32"/>
        </w:rPr>
        <w:t>政府购买服务:通过发挥市场机制作用,把政府直接提供的一部分公共服务事项以及政府履职所需服务事项,按照一定的方式和程序,交由具备条件的社会力量和事业单位承担,并由政府根据合同约定向其支付费用。</w:t>
      </w:r>
    </w:p>
    <w:p w14:paraId="020D7BE5">
      <w:pPr>
        <w:spacing w:line="560" w:lineRule="exact"/>
        <w:ind w:firstLine="555"/>
        <w:outlineLvl w:val="0"/>
        <w:rPr>
          <w:rFonts w:ascii="仿宋_GB2312" w:eastAsia="仿宋_GB2312"/>
          <w:b/>
          <w:sz w:val="32"/>
          <w:szCs w:val="32"/>
        </w:rPr>
      </w:pPr>
      <w:r>
        <w:rPr>
          <w:rFonts w:hint="eastAsia" w:ascii="仿宋_GB2312" w:eastAsia="仿宋_GB2312"/>
          <w:sz w:val="32"/>
          <w:szCs w:val="32"/>
        </w:rPr>
        <w:t>财政监督：指财政单位在财政分配过程中，对国家机关、企事业单位、社会团体和其他组织或个人涉及财政收支、财务收支、国有权益以及其他有关财政管理事项进行监督，对其合法性进行监控、检查、稽核、督促和反映。</w:t>
      </w:r>
    </w:p>
    <w:p w14:paraId="55BE77B1">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7D62927D">
      <w:pPr>
        <w:pStyle w:val="4"/>
        <w:spacing w:before="0" w:before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详见2022年度单位预算公开报表</w:t>
      </w:r>
    </w:p>
    <w:p w14:paraId="40F267B9">
      <w:pPr>
        <w:pStyle w:val="4"/>
        <w:spacing w:before="0" w:beforeAutospacing="0" w:line="560" w:lineRule="exact"/>
        <w:ind w:firstLine="640" w:firstLineChars="200"/>
        <w:jc w:val="both"/>
        <w:rPr>
          <w:rFonts w:ascii="仿宋_GB2312" w:eastAsia="仿宋_GB2312"/>
          <w:sz w:val="32"/>
          <w:szCs w:val="32"/>
        </w:rPr>
      </w:pPr>
    </w:p>
    <w:p w14:paraId="6A1B09AB"/>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301E9">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2</w:t>
    </w:r>
    <w:r>
      <w:rPr>
        <w:rStyle w:val="7"/>
      </w:rPr>
      <w:fldChar w:fldCharType="end"/>
    </w:r>
  </w:p>
  <w:p w14:paraId="2C93CBCD">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BB15F">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30490265">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826B8"/>
    <w:multiLevelType w:val="singleLevel"/>
    <w:tmpl w:val="C6F826B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yNTExODIwZDRkOWI3MDA5NTY2YzM0NDY2YmMwZjAifQ=="/>
  </w:docVars>
  <w:rsids>
    <w:rsidRoot w:val="001F517C"/>
    <w:rsid w:val="00024AEA"/>
    <w:rsid w:val="001933E7"/>
    <w:rsid w:val="001F517C"/>
    <w:rsid w:val="00225C9E"/>
    <w:rsid w:val="00247201"/>
    <w:rsid w:val="00253596"/>
    <w:rsid w:val="002C0725"/>
    <w:rsid w:val="002C176B"/>
    <w:rsid w:val="003501DF"/>
    <w:rsid w:val="004A7E85"/>
    <w:rsid w:val="004B2A8D"/>
    <w:rsid w:val="004D2D39"/>
    <w:rsid w:val="00514F17"/>
    <w:rsid w:val="00527E78"/>
    <w:rsid w:val="006647BE"/>
    <w:rsid w:val="006A134F"/>
    <w:rsid w:val="006D1A58"/>
    <w:rsid w:val="006F3AE1"/>
    <w:rsid w:val="00761E99"/>
    <w:rsid w:val="00793C5E"/>
    <w:rsid w:val="008D2DDB"/>
    <w:rsid w:val="009D023F"/>
    <w:rsid w:val="00A364D2"/>
    <w:rsid w:val="00AA30A4"/>
    <w:rsid w:val="00AA711D"/>
    <w:rsid w:val="00AB4CCE"/>
    <w:rsid w:val="00B471ED"/>
    <w:rsid w:val="00B9346F"/>
    <w:rsid w:val="00BE38E6"/>
    <w:rsid w:val="00C14D4A"/>
    <w:rsid w:val="00C4523D"/>
    <w:rsid w:val="00C70240"/>
    <w:rsid w:val="00CB304E"/>
    <w:rsid w:val="00CD0F5F"/>
    <w:rsid w:val="00D97B70"/>
    <w:rsid w:val="00DA5A98"/>
    <w:rsid w:val="00DD207B"/>
    <w:rsid w:val="00E852EF"/>
    <w:rsid w:val="00F11C3F"/>
    <w:rsid w:val="00F23125"/>
    <w:rsid w:val="00FB57D2"/>
    <w:rsid w:val="096B6F7B"/>
    <w:rsid w:val="1D00608F"/>
    <w:rsid w:val="66324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page number"/>
    <w:qFormat/>
    <w:uiPriority w:val="0"/>
  </w:style>
  <w:style w:type="character" w:customStyle="1" w:styleId="8">
    <w:name w:val="页眉 Char"/>
    <w:basedOn w:val="6"/>
    <w:link w:val="3"/>
    <w:uiPriority w:val="99"/>
    <w:rPr>
      <w:sz w:val="18"/>
      <w:szCs w:val="18"/>
    </w:rPr>
  </w:style>
  <w:style w:type="character" w:customStyle="1" w:styleId="9">
    <w:name w:val="页脚 Char"/>
    <w:basedOn w:val="6"/>
    <w:link w:val="2"/>
    <w:semiHidden/>
    <w:uiPriority w:val="99"/>
    <w:rPr>
      <w:sz w:val="18"/>
      <w:szCs w:val="18"/>
    </w:rPr>
  </w:style>
  <w:style w:type="character" w:customStyle="1" w:styleId="10">
    <w:name w:val="页脚 字符"/>
    <w:qFormat/>
    <w:uiPriority w:val="0"/>
    <w:rPr>
      <w:kern w:val="2"/>
      <w:sz w:val="18"/>
      <w:szCs w:val="18"/>
    </w:rPr>
  </w:style>
  <w:style w:type="character" w:customStyle="1" w:styleId="11">
    <w:name w:val="font61"/>
    <w:uiPriority w:val="0"/>
    <w:rPr>
      <w:rFonts w:hint="default" w:ascii="Times New Roman" w:hAnsi="Times New Roman" w:eastAsia="楷体_GB2312" w:cs="Times New Roman"/>
      <w:sz w:val="32"/>
      <w:szCs w:val="24"/>
    </w:rPr>
  </w:style>
  <w:style w:type="paragraph" w:styleId="12">
    <w:name w:val="List Paragraph"/>
    <w:basedOn w:val="1"/>
    <w:qFormat/>
    <w:uiPriority w:val="99"/>
    <w:pPr>
      <w:ind w:firstLine="420" w:firstLineChars="200"/>
    </w:pPr>
  </w:style>
  <w:style w:type="paragraph" w:customStyle="1" w:styleId="13">
    <w:name w:val="List Paragraph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8</Pages>
  <Words>3235</Words>
  <Characters>3435</Characters>
  <Lines>25</Lines>
  <Paragraphs>7</Paragraphs>
  <TotalTime>1</TotalTime>
  <ScaleCrop>false</ScaleCrop>
  <LinksUpToDate>false</LinksUpToDate>
  <CharactersWithSpaces>3497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2022-05-23T08:18:00Z</dcterms:created>
  <dc:creator>Owner</dc:creator>
  <cp:lastModifiedBy>寇俊鹏</cp:lastModifiedBy>
  <dcterms:modified xsi:type="dcterms:W3CDTF">2025-03-24T06:58:43Z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DF71C71921DC4ECC8716989AE8D6749F</vt:lpwstr>
  </property>
  <property fmtid="{D5CDD505-2E9C-101B-9397-08002B2CF9AE}" pid="4" name="KSOTemplateDocerSaveRecord">
    <vt:lpwstr>eyJoZGlkIjoiMDY1MWZiMWEyNWMwNTVlZmNmM2QxMTdmNzZkNjNmZmYiLCJ1c2VySWQiOiI3NTk1ODIzMjQifQ==</vt:lpwstr>
  </property>
</Properties>
</file>