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3D7887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北京市通州区教工幼儿园202</w:t>
      </w:r>
      <w:bookmarkStart w:id="1" w:name="_GoBack"/>
      <w:bookmarkEnd w:id="1"/>
      <w:r>
        <w:rPr>
          <w:rFonts w:hint="eastAsia"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  <w:t>2年预算情况说明</w:t>
      </w:r>
    </w:p>
    <w:p w14:paraId="125C912F">
      <w:pPr>
        <w:spacing w:line="560" w:lineRule="exact"/>
        <w:jc w:val="center"/>
        <w:rPr>
          <w:rFonts w:ascii="方正小标宋简体" w:hAnsi="微软雅黑" w:eastAsia="方正小标宋简体" w:cs="宋体"/>
          <w:b/>
          <w:bCs/>
          <w:color w:val="333333"/>
          <w:kern w:val="0"/>
          <w:sz w:val="44"/>
          <w:szCs w:val="44"/>
        </w:rPr>
      </w:pPr>
    </w:p>
    <w:p w14:paraId="4CD866D2">
      <w:pPr>
        <w:widowControl/>
        <w:spacing w:after="240" w:line="560" w:lineRule="exact"/>
        <w:ind w:firstLine="480"/>
        <w:jc w:val="center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目    录</w:t>
      </w:r>
    </w:p>
    <w:p w14:paraId="05806645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0CA9CC05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260BE0E9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7AD286B6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四、2022年度单位“三公”经费财政拨款预算说明</w:t>
      </w:r>
    </w:p>
    <w:p w14:paraId="708663F0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五、2022年度其他重要事项的情况说明</w:t>
      </w:r>
    </w:p>
    <w:p w14:paraId="31B80547">
      <w:pPr>
        <w:widowControl/>
        <w:spacing w:after="240" w:line="560" w:lineRule="exact"/>
        <w:ind w:firstLine="1606" w:firstLineChars="500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20A5269D">
      <w:pPr>
        <w:spacing w:line="560" w:lineRule="exact"/>
        <w:ind w:firstLine="643" w:firstLineChars="200"/>
        <w:outlineLvl w:val="0"/>
        <w:rPr>
          <w:rFonts w:ascii="仿宋_GB2312" w:eastAsia="仿宋_GB2312"/>
          <w:b/>
          <w:sz w:val="32"/>
          <w:szCs w:val="32"/>
        </w:rPr>
      </w:pPr>
    </w:p>
    <w:p w14:paraId="0B76E390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一、2022年度预算单位情况说明</w:t>
      </w:r>
    </w:p>
    <w:p w14:paraId="197C0627">
      <w:pPr>
        <w:numPr>
          <w:ilvl w:val="0"/>
          <w:numId w:val="1"/>
        </w:num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单位机构设置、主要职责</w:t>
      </w:r>
    </w:p>
    <w:p w14:paraId="5392E4C9">
      <w:pPr>
        <w:spacing w:line="560" w:lineRule="exac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 xml:space="preserve">     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1.单位机构设置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园长室、保教室、总务室、办公室、财务室、保健室。</w:t>
      </w:r>
    </w:p>
    <w:p w14:paraId="2F0EE96C">
      <w:pPr>
        <w:spacing w:line="560" w:lineRule="exact"/>
        <w:ind w:firstLine="960" w:firstLineChars="300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2.单位主要职责</w:t>
      </w:r>
      <w:r>
        <w:rPr>
          <w:rFonts w:hint="eastAsia" w:ascii="仿宋_GB2312" w:eastAsia="仿宋_GB2312"/>
          <w:sz w:val="32"/>
          <w:szCs w:val="32"/>
          <w:highlight w:val="none"/>
          <w:lang w:eastAsia="zh-CN"/>
        </w:rPr>
        <w:t>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（1）、园长室负责保育、教育、卫生、安全、财务等全面工作。（2）、保教室负责教育教学工作。（3）、总务室负责后勤保障及安全工作。（4）、办公室负责协调各部门以及接受OA文件、资料的整理等工作。（5）、财务室负责单位的财务工作。（6）保健室负责卫生保健工作。</w:t>
      </w:r>
    </w:p>
    <w:p w14:paraId="12E582CF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（二）人员构成情况</w:t>
      </w:r>
    </w:p>
    <w:p w14:paraId="7FD75A99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我单位事业编制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人，实际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人；聘用人员（包括其他聘用人员--临时工等）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35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人。</w:t>
      </w:r>
    </w:p>
    <w:p w14:paraId="5A49E6B0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 xml:space="preserve">离退休人员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人，其中：离休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人，退休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 人。</w:t>
      </w:r>
    </w:p>
    <w:p w14:paraId="79F81FDB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（三）本预算年度的主要工作任务</w:t>
      </w:r>
    </w:p>
    <w:p w14:paraId="454B783F">
      <w:pPr>
        <w:widowControl/>
        <w:spacing w:after="240" w:line="560" w:lineRule="exact"/>
        <w:ind w:firstLine="1049" w:firstLineChars="328"/>
        <w:jc w:val="left"/>
        <w:rPr>
          <w:rFonts w:hint="default" w:ascii="仿宋_GB2312" w:eastAsia="仿宋_GB2312"/>
          <w:sz w:val="32"/>
          <w:szCs w:val="32"/>
          <w:highlight w:val="none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1、园内安全隐患的维修维护。2、新园教育教学设备的投入及日常教学材料及玩教具的投入。3、幼儿的保育教育工作。</w:t>
      </w:r>
    </w:p>
    <w:p w14:paraId="43897793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二、2022年度单位收入预算说明</w:t>
      </w:r>
    </w:p>
    <w:p w14:paraId="5B2B6D1C">
      <w:pPr>
        <w:spacing w:line="560" w:lineRule="exact"/>
        <w:ind w:firstLine="555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2022年收入预算1026.13万元，比2021年151.75万元增加874.38万元，增长 576.20 %。其中：财政拨款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1026.13</w:t>
      </w:r>
      <w:r>
        <w:rPr>
          <w:rFonts w:hint="eastAsia" w:ascii="仿宋_GB2312" w:eastAsia="仿宋_GB2312"/>
          <w:sz w:val="32"/>
          <w:szCs w:val="32"/>
          <w:highlight w:val="none"/>
        </w:rPr>
        <w:t>万元，比2021年151.75万元增加874.38万元；统筹使用结余资金安排预算0万元，与2021年0万元持平；其他资金0万元，与2021年0万元持平。</w:t>
      </w:r>
    </w:p>
    <w:p w14:paraId="3CA1E179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三、2022年度单位支出预算说明</w:t>
      </w:r>
    </w:p>
    <w:p w14:paraId="4F12AB33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（一）基本支出预算 1026.13万元，占总支出预算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%，比2021年151.75万元增加874.38万元，增长576.20%，主要</w:t>
      </w:r>
      <w:r>
        <w:rPr>
          <w:rFonts w:hint="eastAsia" w:ascii="仿宋_GB2312" w:eastAsia="仿宋_GB2312"/>
          <w:sz w:val="32"/>
          <w:szCs w:val="32"/>
        </w:rPr>
        <w:t>增加原因为人员经费增加。</w:t>
      </w:r>
    </w:p>
    <w:p w14:paraId="120D380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（二）项目支出预算0万元，与2021年0万元持平</w:t>
      </w:r>
    </w:p>
    <w:p w14:paraId="791E8BBC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（三）无上缴上级支出</w:t>
      </w:r>
    </w:p>
    <w:p w14:paraId="43E3CB44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（四）无事业单位经营支出</w:t>
      </w:r>
    </w:p>
    <w:p w14:paraId="57ED2F87">
      <w:pPr>
        <w:spacing w:line="560" w:lineRule="exact"/>
        <w:ind w:firstLine="555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（五）无对附属单位补助支出</w:t>
      </w:r>
    </w:p>
    <w:p w14:paraId="7D440257">
      <w:pPr>
        <w:spacing w:line="560" w:lineRule="exact"/>
        <w:jc w:val="center"/>
        <w:rPr>
          <w:rFonts w:ascii="黑体" w:eastAsia="黑体"/>
          <w:b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四、2022年度</w:t>
      </w:r>
      <w:r>
        <w:rPr>
          <w:rFonts w:hint="eastAsia" w:ascii="黑体" w:eastAsia="黑体"/>
          <w:b/>
          <w:sz w:val="32"/>
          <w:szCs w:val="32"/>
        </w:rPr>
        <w:t>单位“三公”经费财政拨款预算说明</w:t>
      </w:r>
    </w:p>
    <w:p w14:paraId="7384F009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的单位范围</w:t>
      </w:r>
    </w:p>
    <w:p w14:paraId="26484195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本单位因公出国（境）费用、公务接待费、公务用车购置和运行维护费开支单位包括0个所属单位。</w:t>
      </w:r>
    </w:p>
    <w:p w14:paraId="5140128D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财政拨款情况说明</w:t>
      </w:r>
    </w:p>
    <w:p w14:paraId="1845454C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2022年</w:t>
      </w:r>
      <w:r>
        <w:rPr>
          <w:rFonts w:hint="eastAsia" w:ascii="仿宋_GB2312" w:eastAsia="仿宋_GB2312"/>
          <w:sz w:val="32"/>
          <w:szCs w:val="32"/>
          <w:lang w:eastAsia="zh-CN"/>
        </w:rPr>
        <w:t>“三公”经费</w:t>
      </w:r>
      <w:r>
        <w:rPr>
          <w:rFonts w:hint="eastAsia" w:ascii="仿宋_GB2312" w:eastAsia="仿宋_GB2312"/>
          <w:sz w:val="32"/>
          <w:szCs w:val="32"/>
        </w:rPr>
        <w:t>财政拨款预算0万元，与2021年0万元持平。其中：</w:t>
      </w:r>
    </w:p>
    <w:p w14:paraId="0FF9E8EF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1、因公出国（境）费用。2022年预算数0万元，与2021年0万元持平。</w:t>
      </w:r>
    </w:p>
    <w:p w14:paraId="62AAEC43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2、公务接待费。2022年预算0万元，与2021年0万元持平。</w:t>
      </w:r>
    </w:p>
    <w:p w14:paraId="51552CE8">
      <w:pPr>
        <w:spacing w:line="560" w:lineRule="exact"/>
        <w:ind w:firstLine="6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、公务用车购置和运行维护费。2022年预算数0万元，其中，公务用车购置费2022年预算数0万元，与2021年0万元持平；公务用车运行维护费2022年预算数0万元，与2021年0万元持平，其中：公务用车加油0万元，公务用车维修0万元，公务用车保险0万元，其他0万元，与2021年持平。</w:t>
      </w:r>
    </w:p>
    <w:p w14:paraId="0DB46F76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五、其他重要事项的情况说明</w:t>
      </w:r>
    </w:p>
    <w:p w14:paraId="38D1D2A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（一）机关运行经费情况说明</w:t>
      </w:r>
    </w:p>
    <w:p w14:paraId="4CFEAB2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本单位无</w:t>
      </w:r>
      <w:r>
        <w:rPr>
          <w:rFonts w:ascii="仿宋_GB2312" w:eastAsia="仿宋_GB2312"/>
          <w:sz w:val="32"/>
          <w:szCs w:val="32"/>
        </w:rPr>
        <w:t>机关运行经费。</w:t>
      </w:r>
    </w:p>
    <w:p w14:paraId="2ABDCFBF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（二）项目支出绩效目标及评价结果情况说明</w:t>
      </w:r>
    </w:p>
    <w:p w14:paraId="26AD8BD3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本单位预算</w:t>
      </w:r>
      <w:r>
        <w:rPr>
          <w:rFonts w:ascii="仿宋_GB2312" w:eastAsia="仿宋_GB2312"/>
          <w:sz w:val="32"/>
          <w:szCs w:val="32"/>
        </w:rPr>
        <w:t>批复无项目</w:t>
      </w:r>
      <w:r>
        <w:rPr>
          <w:rFonts w:hint="eastAsia" w:ascii="仿宋_GB2312" w:eastAsia="仿宋_GB2312"/>
          <w:sz w:val="32"/>
          <w:szCs w:val="32"/>
        </w:rPr>
        <w:t>。</w:t>
      </w:r>
    </w:p>
    <w:p w14:paraId="4C73525C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bookmarkStart w:id="0" w:name="OLE_LINK2"/>
      <w:r>
        <w:rPr>
          <w:rFonts w:hint="eastAsia" w:ascii="仿宋_GB2312" w:eastAsia="仿宋_GB2312"/>
          <w:sz w:val="32"/>
          <w:szCs w:val="32"/>
        </w:rPr>
        <w:t>（三）重点行政事业性收费情况说明</w:t>
      </w:r>
      <w:bookmarkEnd w:id="0"/>
    </w:p>
    <w:p w14:paraId="22EA9190">
      <w:pPr>
        <w:spacing w:line="560" w:lineRule="exact"/>
        <w:ind w:firstLine="800" w:firstLineChars="25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</w:rPr>
        <w:t>保育教育费：收费依据市发展改革委、市教委和市财政局《关于规范本市幼儿园收费有关问题的通知》（京发改规〔2012〕4号），收费标准：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一级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园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750</w:t>
      </w:r>
      <w:r>
        <w:rPr>
          <w:rFonts w:hint="eastAsia" w:ascii="仿宋_GB2312" w:eastAsia="仿宋_GB2312"/>
          <w:sz w:val="32"/>
          <w:szCs w:val="32"/>
          <w:highlight w:val="none"/>
        </w:rPr>
        <w:t xml:space="preserve"> 元/生.月，收入预计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328.75</w:t>
      </w:r>
      <w:r>
        <w:rPr>
          <w:rFonts w:hint="eastAsia" w:ascii="仿宋_GB2312" w:eastAsia="仿宋_GB2312"/>
          <w:sz w:val="32"/>
          <w:szCs w:val="32"/>
          <w:highlight w:val="none"/>
        </w:rPr>
        <w:t>万元，支出已纳入一般预算统筹使用。</w:t>
      </w:r>
    </w:p>
    <w:p w14:paraId="0F874ACA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（四）国有资本经营预算财政拨款情况及国有资产占用情况说明</w:t>
      </w:r>
    </w:p>
    <w:p w14:paraId="76A50756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本单位2022年无国有资本经营预算财政拨款安排的预算。</w:t>
      </w:r>
    </w:p>
    <w:p w14:paraId="68D74151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截止202</w:t>
      </w:r>
      <w:r>
        <w:rPr>
          <w:rFonts w:ascii="仿宋_GB2312" w:eastAsia="仿宋_GB2312"/>
          <w:sz w:val="32"/>
          <w:szCs w:val="32"/>
          <w:highlight w:val="none"/>
        </w:rPr>
        <w:t>1</w:t>
      </w:r>
      <w:r>
        <w:rPr>
          <w:rFonts w:hint="eastAsia" w:ascii="仿宋_GB2312" w:eastAsia="仿宋_GB2312"/>
          <w:sz w:val="32"/>
          <w:szCs w:val="32"/>
          <w:highlight w:val="none"/>
        </w:rPr>
        <w:t>年12月31日，本单位货币资金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557.10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万元（其中银行存款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557.10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万元），房屋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万元，车辆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12.28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万元，在建工程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0</w:t>
      </w:r>
      <w:r>
        <w:rPr>
          <w:rFonts w:hint="eastAsia" w:ascii="仿宋_GB2312" w:eastAsia="仿宋_GB2312"/>
          <w:sz w:val="32"/>
          <w:szCs w:val="32"/>
          <w:highlight w:val="none"/>
        </w:rPr>
        <w:t>万元。</w:t>
      </w:r>
    </w:p>
    <w:p w14:paraId="456AE8F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  <w:highlight w:val="none"/>
        </w:rPr>
      </w:pPr>
      <w:r>
        <w:rPr>
          <w:rFonts w:hint="eastAsia" w:ascii="仿宋_GB2312" w:eastAsia="仿宋_GB2312"/>
          <w:sz w:val="32"/>
          <w:szCs w:val="32"/>
          <w:highlight w:val="none"/>
        </w:rPr>
        <w:t>截至2021年12月31日，本单位共有车辆</w:t>
      </w:r>
      <w:r>
        <w:rPr>
          <w:rFonts w:ascii="仿宋_GB2312" w:eastAsia="仿宋_GB2312"/>
          <w:sz w:val="32"/>
          <w:szCs w:val="32"/>
          <w:highlight w:val="none"/>
        </w:rPr>
        <w:t xml:space="preserve">  </w:t>
      </w:r>
      <w:r>
        <w:rPr>
          <w:rFonts w:hint="eastAsia" w:ascii="仿宋_GB2312" w:eastAsia="仿宋_GB2312"/>
          <w:sz w:val="32"/>
          <w:szCs w:val="32"/>
          <w:highlight w:val="none"/>
          <w:lang w:val="en-US" w:eastAsia="zh-CN"/>
        </w:rPr>
        <w:t>1</w:t>
      </w:r>
      <w:r>
        <w:rPr>
          <w:rFonts w:ascii="仿宋_GB2312" w:eastAsia="仿宋_GB2312"/>
          <w:sz w:val="32"/>
          <w:szCs w:val="32"/>
          <w:highlight w:val="none"/>
        </w:rPr>
        <w:t xml:space="preserve"> </w:t>
      </w:r>
      <w:r>
        <w:rPr>
          <w:rFonts w:hint="eastAsia" w:ascii="仿宋_GB2312" w:eastAsia="仿宋_GB2312"/>
          <w:sz w:val="32"/>
          <w:szCs w:val="32"/>
          <w:highlight w:val="none"/>
        </w:rPr>
        <w:t>辆。</w:t>
      </w:r>
    </w:p>
    <w:p w14:paraId="0FA765C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（五）政府采购预算财政拨款情况说明</w:t>
      </w:r>
    </w:p>
    <w:p w14:paraId="4E3441E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本单位2022年无政府采购预算财政拨款安排的预算。</w:t>
      </w:r>
    </w:p>
    <w:p w14:paraId="63CC0015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（六）政府购买服务预算财政拨款情况说明</w:t>
      </w:r>
    </w:p>
    <w:p w14:paraId="463C85BB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本单位2022年无政府购买服务预算财政拨款安排的预算。</w:t>
      </w:r>
    </w:p>
    <w:p w14:paraId="2D7459CD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（七）名词解释</w:t>
      </w:r>
    </w:p>
    <w:p w14:paraId="633C8B17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预算:遵循统筹兼顾、勤俭节约、量力而行、讲求绩效和收支平衡的原则编制,经法定程序审核批准的国家年度集中性财政收支计划。政府的全部收入和支出都应当纳入预算。地方各级政府财政单位具体编制本级预算草案,各单位编制本单位预算草案。</w:t>
      </w:r>
    </w:p>
    <w:p w14:paraId="383375F9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一般公共预算：是对以税收为主体的财政收入，安排用于保障和改善民生、推动经济社会发展、维护国家安全、维持国家机构正常运转等方面的收支预算。</w:t>
      </w:r>
    </w:p>
    <w:p w14:paraId="15B20182">
      <w:pPr>
        <w:spacing w:line="560" w:lineRule="exact"/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性基金预算：是对依照法律、行政法规的规定在一定期限内向特定对象征收、收取或者以其他方式筹集的资金，专项用于特定公共事业发展的收支预算。政府性基金预算应当根据基金收入情况和实际支出需要，按基金项目编制，做到以收定支。</w:t>
      </w:r>
    </w:p>
    <w:p w14:paraId="606B1BE5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国有资本经营预算：是对国有资本收益作出支出安排的收支预算。国有资本经营预算应当按照收支平衡的原则编制，不列赤字，并安排资金调入一般公共预算。</w:t>
      </w:r>
    </w:p>
    <w:p w14:paraId="71412644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“三公”经费:因公出国(境)费、公务用车购置及运行维护费和公务接待费。其中,因公出国(境)费反映单位公务出国(境)的国际旅费、国外城市间交通费、住宿费、伙食费、培训费、公杂费等支出;公务用车购置及运行维护费反映单位公务用车购置费及燃料费、维修费、过路过桥费、保险费、安全奖励费用等支出;公务接待费反映单位按规定开支的各类公务接待(含外宾接待)费用。</w:t>
      </w:r>
    </w:p>
    <w:p w14:paraId="0105316D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机关运行经费:是指行政单位(含参照公务员法管理事业单位)使用一般公共预算财政拨款安排的基本支出中的日常公用经费支出,包括办公及印刷费、邮电费、差旅费、会议费、福利费、维修(护)费、专用材料费、办公用房水电费、办公用房取暖费、办公用房物业管理费、公务用车运行维护费以及其他费用。</w:t>
      </w:r>
    </w:p>
    <w:p w14:paraId="15B2195C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事前绩效评估：指在预算编制时，财政单位根据单位战略规划、事业发展规划、项目申报理由等内容，通过委托第三方的方式，运用科学、合理的评估方法，对项目实施必要性、可行性、绩效目标设置的科学性、财政支持的方式、项目预算的合理性等方面进行客观、公正的评估。</w:t>
      </w:r>
    </w:p>
    <w:p w14:paraId="6F537F05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绩效评价：指财政单位和预算单位（单位）根据设定的绩效目标，运用科学、合理的绩效评价指标、评价标准和评价方法，对财政支出的经济性、效率性和效益性进行客观、公正的评价。其中，绩效目标的设立是开展绩效评价的前提和基础，绩效评价指标是绩效评价的工具和手段，财政支出的经济性、效率性和效益性是绩效评价的主要内容。</w:t>
      </w:r>
    </w:p>
    <w:p w14:paraId="64BE9D24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政府采购:各级国家机关、事业单位和团体组织,使用财政性资金采购依法制定的集中采购目录以内的,或者采购限额标准以上的货物、工程和服务的行为,是规范财政支出管理和强化预算约束的有效措施。</w:t>
      </w:r>
    </w:p>
    <w:p w14:paraId="766553D3">
      <w:pPr>
        <w:spacing w:line="560" w:lineRule="exact"/>
        <w:ind w:firstLine="555"/>
        <w:outlineLvl w:val="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政府购买服务:通过发挥市场机制作用,把政府直接提供的一部分公共服务事项以及政府履职所需服务事项,按照一定的方式和程序,交由具备条件的社会力量和事业单位承担,并由政府根据合同约定向其支付费用。</w:t>
      </w:r>
    </w:p>
    <w:p w14:paraId="1BB130B0">
      <w:pPr>
        <w:spacing w:line="560" w:lineRule="exact"/>
        <w:ind w:firstLine="555"/>
        <w:outlineLvl w:val="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财政监督：指财政单位在财政分配过程中，对国家机关、企事业单位、社会团体和其他组织或个人涉及财政收支、财务收支、国有权益以及其他有关财政管理事项进行监督，对其合法性进行监控、检查、稽核、督促和反映。</w:t>
      </w:r>
    </w:p>
    <w:p w14:paraId="249D433A">
      <w:pPr>
        <w:widowControl/>
        <w:spacing w:after="240" w:line="560" w:lineRule="exact"/>
        <w:ind w:firstLine="480"/>
        <w:jc w:val="left"/>
        <w:rPr>
          <w:rFonts w:ascii="黑体" w:hAnsi="黑体" w:eastAsia="黑体" w:cs="宋体"/>
          <w:b/>
          <w:bCs/>
          <w:color w:val="333333"/>
          <w:kern w:val="0"/>
          <w:sz w:val="32"/>
          <w:szCs w:val="32"/>
        </w:rPr>
      </w:pPr>
      <w:r>
        <w:rPr>
          <w:rFonts w:hint="eastAsia" w:ascii="黑体" w:hAnsi="黑体" w:eastAsia="黑体" w:cs="宋体"/>
          <w:b/>
          <w:bCs/>
          <w:color w:val="333333"/>
          <w:kern w:val="0"/>
          <w:sz w:val="32"/>
          <w:szCs w:val="32"/>
        </w:rPr>
        <w:t>六、2022年度单位预算附表</w:t>
      </w:r>
    </w:p>
    <w:p w14:paraId="43F30F0C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详见2022年度单位预算公开报表</w:t>
      </w:r>
    </w:p>
    <w:p w14:paraId="7897C090">
      <w:pPr>
        <w:pStyle w:val="4"/>
        <w:spacing w:before="0" w:beforeAutospacing="0" w:line="560" w:lineRule="exact"/>
        <w:ind w:firstLine="640" w:firstLineChars="200"/>
        <w:jc w:val="both"/>
        <w:rPr>
          <w:rFonts w:ascii="仿宋_GB2312" w:eastAsia="仿宋_GB2312"/>
          <w:sz w:val="32"/>
          <w:szCs w:val="32"/>
        </w:rPr>
      </w:pPr>
    </w:p>
    <w:p w14:paraId="185BB64B"/>
    <w:sectPr>
      <w:footerReference r:id="rId3" w:type="default"/>
      <w:footerReference r:id="rId4" w:type="even"/>
      <w:pgSz w:w="11906" w:h="16838"/>
      <w:pgMar w:top="2098" w:right="1474" w:bottom="1984" w:left="158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5846714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4</w:t>
    </w:r>
    <w:r>
      <w:rPr>
        <w:rStyle w:val="7"/>
      </w:rPr>
      <w:fldChar w:fldCharType="end"/>
    </w:r>
  </w:p>
  <w:p w14:paraId="6A31CBD7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1DF2E7"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77D386FD"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F826B8"/>
    <w:multiLevelType w:val="singleLevel"/>
    <w:tmpl w:val="C6F826B8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GE0Y2Q5YTA1ZTZlMDNlOWE5MjgzNjJkYmRlNGYyZTQifQ=="/>
  </w:docVars>
  <w:rsids>
    <w:rsidRoot w:val="001F517C"/>
    <w:rsid w:val="001F517C"/>
    <w:rsid w:val="00253596"/>
    <w:rsid w:val="004A7E85"/>
    <w:rsid w:val="00514F17"/>
    <w:rsid w:val="00527E78"/>
    <w:rsid w:val="006D1A58"/>
    <w:rsid w:val="00793C5E"/>
    <w:rsid w:val="009D023F"/>
    <w:rsid w:val="00A364D2"/>
    <w:rsid w:val="00AB4CCE"/>
    <w:rsid w:val="00B471ED"/>
    <w:rsid w:val="00C4523D"/>
    <w:rsid w:val="00CB304E"/>
    <w:rsid w:val="00CD0F5F"/>
    <w:rsid w:val="00D97B70"/>
    <w:rsid w:val="00E852EF"/>
    <w:rsid w:val="00F11C3F"/>
    <w:rsid w:val="00FB57D2"/>
    <w:rsid w:val="10246519"/>
    <w:rsid w:val="280A54C6"/>
    <w:rsid w:val="3A00074F"/>
    <w:rsid w:val="5D924B79"/>
    <w:rsid w:val="62365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qFormat/>
    <w:uiPriority w:val="0"/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页脚 字符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7</Pages>
  <Words>2607</Words>
  <Characters>2816</Characters>
  <Lines>21</Lines>
  <Paragraphs>6</Paragraphs>
  <TotalTime>37</TotalTime>
  <ScaleCrop>false</ScaleCrop>
  <LinksUpToDate>false</LinksUpToDate>
  <CharactersWithSpaces>2868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2022-05-22T09:00:00Z</dcterms:created>
  <dc:creator>Owner</dc:creator>
  <cp:lastModifiedBy>寇俊鹏</cp:lastModifiedBy>
  <dcterms:modified xsi:type="dcterms:W3CDTF">2025-03-24T07:00:18Z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C9A9DA34436241E39A1744325C6CDF0B</vt:lpwstr>
  </property>
  <property fmtid="{D5CDD505-2E9C-101B-9397-08002B2CF9AE}" pid="4" name="KSOTemplateDocerSaveRecord">
    <vt:lpwstr>eyJoZGlkIjoiMDY1MWZiMWEyNWMwNTVlZmNmM2QxMTdmNzZkNjNmZmYiLCJ1c2VySWQiOiI3NTk1ODIzMjQifQ==</vt:lpwstr>
  </property>
</Properties>
</file>